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>
      <w:pPr>
        <w:pStyle w:val="a3"/>
        <w:keepNext/>
        <w:spacing w:line="240" w:lineRule="auto" w:before="0" w:after="0"/>
        <w:ind w:firstLine="0"/>
        <w:jc w:val="both"/>
      </w:pPr>
      <w:r>
        <w:rPr>
          <w:rFonts w:ascii="Times New Roman" w:hAnsi="Times New Roman" w:eastAsia="Times New Roman" w:cs="Times New Roman"/>
          <w:b/>
          <w:sz w:val="28"/>
        </w:rPr>
        <w:t>Корпуса и крепления – предварительный выпуск</w:t>
      </w:r>
    </w:p>
    <w:p>
      <w:pPr>
        <w:spacing w:line="240" w:lineRule="auto" w:before="0" w:after="0"/>
        <w:ind w:firstLine="709"/>
        <w:jc w:val="both"/>
      </w:pPr>
      <w:r>
        <w:rPr>
          <w:rFonts w:ascii="Times New Roman" w:hAnsi="Times New Roman" w:eastAsia="Times New Roman" w:cs="Times New Roman"/>
          <w:sz w:val="28"/>
        </w:rPr>
        <w:t>EVT-PRE-20 · 30.09.2026 · первый лот 20 комплектов 3D-печати; программа закупки 41 станция</w:t>
      </w:r>
    </w:p>
    <w:p>
      <w:pPr>
        <w:pStyle w:val="1"/>
        <w:keepNext/>
        <w:spacing w:line="240" w:lineRule="auto" w:before="0" w:after="0"/>
        <w:ind w:firstLine="0"/>
        <w:jc w:val="both"/>
      </w:pPr>
      <w:r>
        <w:rPr>
          <w:rFonts w:ascii="Times New Roman" w:hAnsi="Times New Roman" w:eastAsia="Times New Roman" w:cs="Times New Roman"/>
          <w:b/>
          <w:sz w:val="28"/>
        </w:rPr>
        <w:t>Состав</w:t>
      </w:r>
    </w:p>
    <w:p>
      <w:pPr>
        <w:spacing w:line="240" w:lineRule="auto" w:before="0" w:after="0"/>
        <w:ind w:firstLine="709"/>
        <w:jc w:val="both"/>
      </w:pPr>
      <w:r>
        <w:rPr>
          <w:rFonts w:ascii="Times New Roman" w:hAnsi="Times New Roman"/>
          <w:sz w:val="28"/>
        </w:rPr>
        <w:t>Комплект печати содержит верхний электронный корпус, кассету PCB-PWR, четыре цилиндрических модуля DIO-3DP-MC-001B и акустическую голову DIO-3DP-AH-001A под непрозрачный поролон, а также новый нижний модуль RB40/MPPT: корпус, крышку, регулируемый кронштейн MPPT, седло мачты и пробный зажим рамки солнечной панели. Форматы новых деталей: STL в миллиметрах и редактируемая сборка Blender (.blend). Все новые STL имеют замкнутую сетку без открытых рёбер.</w:t>
      </w:r>
    </w:p>
    <w:p>
      <w:pPr>
        <w:pStyle w:val="1"/>
        <w:keepNext/>
        <w:spacing w:line="240" w:lineRule="auto" w:before="0" w:after="0"/>
        <w:ind w:firstLine="0"/>
        <w:jc w:val="both"/>
      </w:pPr>
      <w:r>
        <w:rPr>
          <w:rFonts w:ascii="Times New Roman" w:hAnsi="Times New Roman" w:eastAsia="Times New Roman" w:cs="Times New Roman"/>
          <w:b/>
          <w:sz w:val="28"/>
        </w:rPr>
        <w:t>Расчёт размеров</w:t>
      </w:r>
    </w:p>
    <w:p>
      <w:pPr>
        <w:spacing w:line="240" w:lineRule="auto" w:before="0" w:after="0"/>
        <w:ind w:firstLine="709"/>
        <w:jc w:val="both"/>
      </w:pPr>
      <w:r>
        <w:rPr>
          <w:rFonts w:ascii="Times New Roman" w:hAnsi="Times New Roman" w:eastAsia="Times New Roman" w:cs="Times New Roman"/>
          <w:sz w:val="28"/>
        </w:rPr>
        <w:t>RELiON RB40: 197 × 166 × 173 мм, 5,4 кг, выводы M8. Victron SCC075010060R: около 100 × 113 × 40 мм; окончательная сетка крепёжных отверстий сверяется с габаритным чертежом. SLD Tech SLP080S-12M: 1475 × 342 × 40 мм; модель зажима учитывает только номинальную высоту рамки, а не готовую схему крепления панели.</w:t>
      </w:r>
    </w:p>
    <w:p>
      <w:pPr>
        <w:spacing w:line="240" w:lineRule="auto" w:before="0" w:after="0"/>
        <w:ind w:firstLine="709"/>
        <w:jc w:val="both"/>
      </w:pPr>
      <w:r>
        <w:rPr>
          <w:rFonts w:ascii="Times New Roman" w:hAnsi="Times New Roman" w:eastAsia="Times New Roman" w:cs="Times New Roman"/>
          <w:sz w:val="28"/>
        </w:rPr>
        <w:t>Наружный габарит нижнего корпуса 365 × 225 × 235 мм; стенка 5 мм и дно 8 мм. Расчётная ширина батарейного отсека 218 мм даёт 21 мм суммарного зазора по длине RB40; доступная глубина 215 мм даёт 49 мм суммарного зазора по ширине. По высоте над номинальной батареей остаётся около 54 мм до верха корпуса для изоляции выводов и жгута. Отсек MPPT шириной 132 мм оставляет около 19 мм суммарно относительно номинальной ширины 113 мм. Эти оценки не подтверждают посадку выводов, проводов и крепежа.</w:t>
      </w:r>
    </w:p>
    <w:p>
      <w:pPr>
        <w:pStyle w:val="1"/>
        <w:keepNext/>
        <w:spacing w:line="240" w:lineRule="auto" w:before="0" w:after="0"/>
        <w:ind w:firstLine="0"/>
        <w:jc w:val="both"/>
      </w:pPr>
      <w:r>
        <w:rPr>
          <w:rFonts w:ascii="Times New Roman" w:hAnsi="Times New Roman" w:eastAsia="Times New Roman" w:cs="Times New Roman"/>
          <w:b/>
          <w:sz w:val="28"/>
        </w:rPr>
        <w:t>Печать и сборка первого изделия</w:t>
      </w:r>
    </w:p>
    <w:p>
      <w:pPr>
        <w:spacing w:line="240" w:lineRule="auto" w:before="0" w:after="0"/>
        <w:ind w:firstLine="709"/>
        <w:jc w:val="both"/>
      </w:pPr>
      <w:r>
        <w:rPr>
          <w:rFonts w:ascii="Times New Roman" w:hAnsi="Times New Roman" w:eastAsia="Times New Roman" w:cs="Times New Roman"/>
          <w:sz w:val="28"/>
        </w:rPr>
        <w:t>Для цельного корпуса требуется область печати не менее 380 × 240 × 250 мм. Если такого принтера нет, до заказа партии разработать контролируемый разъёмный вариант и заново проверить герметичность. Предварительный материал – ASA для наружных деталей; профиль слоёв, направление укладки, усадка и крепёжные вставки определяются по пробной печати. Два боковых отверстия Ø16 мм – только пробные места вывода жгутов. Реальный сальник и ответные части выбрать перед печатью партии.</w:t>
      </w:r>
    </w:p>
    <w:p>
      <w:pPr>
        <w:spacing w:line="240" w:lineRule="auto" w:before="0" w:after="0"/>
        <w:ind w:firstLine="709"/>
        <w:jc w:val="both"/>
      </w:pPr>
      <w:r>
        <w:rPr>
          <w:rFonts w:ascii="Times New Roman" w:hAnsi="Times New Roman" w:eastAsia="Times New Roman" w:cs="Times New Roman"/>
          <w:sz w:val="28"/>
        </w:rPr>
        <w:t>На первом образце примерить RB40, клеммы и защитный колпак, MPPT и SBS, жгуты и сальники. Проверить доступ инструмента к M8 с моментом производителя 9–11 Н·м, удержание батареи, разнесение проводов, отсутствие контакта с острыми кромками и теплоотвод MPPT. Затем выполнить проверку мачты и панели на прочность по выбранным диаметру и ветровой нагрузке, а также влагозащиту и температурный цикл.</w:t>
      </w:r>
    </w:p>
    <w:p>
      <w:pPr>
        <w:pStyle w:val="1"/>
        <w:keepNext/>
        <w:spacing w:line="240" w:lineRule="auto" w:before="0" w:after="0"/>
        <w:ind w:firstLine="0"/>
        <w:jc w:val="both"/>
      </w:pPr>
      <w:r>
        <w:rPr>
          <w:rFonts w:ascii="Times New Roman" w:hAnsi="Times New Roman" w:eastAsia="Times New Roman" w:cs="Times New Roman"/>
          <w:b/>
          <w:sz w:val="28"/>
        </w:rPr>
        <w:t>Макет для литья</w:t>
      </w:r>
    </w:p>
    <w:p>
      <w:pPr>
        <w:spacing w:line="240" w:lineRule="auto" w:before="0" w:after="0"/>
        <w:ind w:firstLine="709"/>
        <w:jc w:val="both"/>
      </w:pPr>
      <w:r>
        <w:rPr>
          <w:rFonts w:ascii="Times New Roman" w:hAnsi="Times New Roman" w:eastAsia="Times New Roman" w:cs="Times New Roman"/>
          <w:sz w:val="28"/>
        </w:rPr>
        <w:t>В папке литья находится редактируемая геометрия Blender и STL корпуса/крышки нижнего блока. Это исходный объёмный макет. Уклоны, линии разъёма, усадка, рёбра, литники и вставки не рассчитаны; изготовление пресс-формы по этому макету не разрешено до отдельного DFM и выпуска инструментальной STEP-модели.</w:t>
      </w:r>
    </w:p>
    <w:p>
      <w:pPr>
        <w:pStyle w:val="1"/>
        <w:keepNext/>
        <w:spacing w:line="240" w:lineRule="auto" w:before="0" w:after="0"/>
        <w:ind w:firstLine="0"/>
        <w:jc w:val="both"/>
      </w:pPr>
      <w:r>
        <w:rPr>
          <w:rFonts w:ascii="Times New Roman" w:hAnsi="Times New Roman" w:eastAsia="Times New Roman" w:cs="Times New Roman"/>
          <w:b/>
          <w:sz w:val="28"/>
        </w:rPr>
        <w:t>Официальные данные</w:t>
      </w:r>
    </w:p>
    <w:p>
      <w:pPr>
        <w:spacing w:line="240" w:lineRule="auto" w:before="0" w:after="0"/>
        <w:ind w:firstLine="709"/>
        <w:jc w:val="both"/>
      </w:pPr>
      <w:hyperlink r:id="rId13">
        <w:r>
          <w:rPr>
            <w:rFonts w:ascii="Times New Roman" w:hAnsi="Times New Roman" w:eastAsia="Times New Roman" w:cs="Times New Roman"/>
            <w:sz w:val="28"/>
            <w:u w:val="single"/>
          </w:rPr>
          <w:t>RB40</w:t>
        </w:r>
      </w:hyperlink>
      <w:r>
        <w:rPr>
          <w:rFonts w:ascii="Times New Roman" w:hAnsi="Times New Roman" w:eastAsia="Times New Roman" w:cs="Times New Roman"/>
          <w:sz w:val="28"/>
        </w:rPr>
        <w:t xml:space="preserve"> | </w:t>
      </w:r>
      <w:hyperlink r:id="rId14">
        <w:r>
          <w:rPr>
            <w:rFonts w:ascii="Times New Roman" w:hAnsi="Times New Roman" w:eastAsia="Times New Roman" w:cs="Times New Roman"/>
            <w:sz w:val="28"/>
            <w:u w:val="single"/>
          </w:rPr>
          <w:t>MPPT 75/10 и 75/15</w:t>
        </w:r>
      </w:hyperlink>
      <w:r>
        <w:rPr>
          <w:rFonts w:ascii="Times New Roman" w:hAnsi="Times New Roman" w:eastAsia="Times New Roman" w:cs="Times New Roman"/>
          <w:sz w:val="28"/>
        </w:rPr>
        <w:t xml:space="preserve"> | </w:t>
      </w:r>
      <w:hyperlink r:id="rId15">
        <w:r>
          <w:rPr>
            <w:rFonts w:ascii="Times New Roman" w:hAnsi="Times New Roman" w:eastAsia="Times New Roman" w:cs="Times New Roman"/>
            <w:sz w:val="28"/>
            <w:u w:val="single"/>
          </w:rPr>
          <w:t>SLD 80 Вт</w:t>
        </w:r>
      </w:hyperlink>
    </w:p>
    <w:sectPr w:rsidR="00C1460C">
      <w:headerReference w:type="default" r:id="rId7"/>
      <w:footerReference w:type="default" r:id="rId8"/>
      <w:headerReference w:type="first" r:id="rId9"/>
      <w:footerReference w:type="first" r:id="rId10"/>
      <w:headerReference w:type="even" r:id="rId11"/>
      <w:footerReference w:type="even" r:id="rId12"/>
      <w:pgSz w:w="11906" w:h="16838"/>
      <w:pgMar w:top="1134" w:right="850" w:bottom="1134" w:left="1701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line="240" w:lineRule="auto" w:before="0" w:after="0"/>
      <w:ind w:firstLine="709"/>
      <w:jc w:val="both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line="240" w:lineRule="auto" w:before="0" w:after="0"/>
      <w:ind w:firstLine="709"/>
      <w:jc w:val="both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line="240" w:lineRule="auto" w:before="0" w:after="0"/>
      <w:ind w:firstLine="709"/>
      <w:jc w:val="both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line="240" w:lineRule="auto" w:before="0" w:after="0"/>
      <w:ind w:firstLine="709"/>
      <w:jc w:val="both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line="240" w:lineRule="auto" w:before="0" w:after="0"/>
      <w:ind w:firstLine="709"/>
      <w:jc w:val="both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line="240" w:lineRule="auto" w:before="0" w:after="0"/>
      <w:ind w:firstLine="709"/>
      <w:jc w:val="both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53CB6815"/>
    <w:multiLevelType w:val="hybridMultilevel"/>
    <w:tmpl w:val="7CA66EFA"/>
    <w:lvl w:ilvl="0" w:tplc="0664AEB0">
      <w:start w:val="1"/>
      <w:numFmt w:val="bullet"/>
      <w:lvlText w:val="●"/>
      <w:lvlJc w:val="left"/>
      <w:pPr>
        <w:ind w:left="720" w:hanging="360"/>
      </w:pPr>
    </w:lvl>
    <w:lvl w:ilvl="1" w:tplc="040A714E">
      <w:start w:val="1"/>
      <w:numFmt w:val="bullet"/>
      <w:lvlText w:val="○"/>
      <w:lvlJc w:val="left"/>
      <w:pPr>
        <w:ind w:left="1440" w:hanging="360"/>
      </w:pPr>
    </w:lvl>
    <w:lvl w:ilvl="2" w:tplc="4C4A374E">
      <w:start w:val="1"/>
      <w:numFmt w:val="bullet"/>
      <w:lvlText w:val="■"/>
      <w:lvlJc w:val="left"/>
      <w:pPr>
        <w:ind w:left="2160" w:hanging="360"/>
      </w:pPr>
    </w:lvl>
    <w:lvl w:ilvl="3" w:tplc="339C33BC">
      <w:start w:val="1"/>
      <w:numFmt w:val="bullet"/>
      <w:lvlText w:val="●"/>
      <w:lvlJc w:val="left"/>
      <w:pPr>
        <w:ind w:left="2880" w:hanging="360"/>
      </w:pPr>
    </w:lvl>
    <w:lvl w:ilvl="4" w:tplc="2A9C1228">
      <w:start w:val="1"/>
      <w:numFmt w:val="bullet"/>
      <w:lvlText w:val="○"/>
      <w:lvlJc w:val="left"/>
      <w:pPr>
        <w:ind w:left="3600" w:hanging="360"/>
      </w:pPr>
    </w:lvl>
    <w:lvl w:ilvl="5" w:tplc="06AC5EE0">
      <w:start w:val="1"/>
      <w:numFmt w:val="bullet"/>
      <w:lvlText w:val="■"/>
      <w:lvlJc w:val="left"/>
      <w:pPr>
        <w:ind w:left="4320" w:hanging="360"/>
      </w:pPr>
    </w:lvl>
    <w:lvl w:ilvl="6" w:tplc="4FF4D4B6">
      <w:start w:val="1"/>
      <w:numFmt w:val="bullet"/>
      <w:lvlText w:val="●"/>
      <w:lvlJc w:val="left"/>
      <w:pPr>
        <w:ind w:left="5040" w:hanging="360"/>
      </w:pPr>
    </w:lvl>
    <w:lvl w:ilvl="7" w:tplc="EB442CA0">
      <w:start w:val="1"/>
      <w:numFmt w:val="bullet"/>
      <w:lvlText w:val="●"/>
      <w:lvlJc w:val="left"/>
      <w:pPr>
        <w:ind w:left="5760" w:hanging="360"/>
      </w:pPr>
    </w:lvl>
    <w:lvl w:ilvl="8" w:tplc="4FACCBAA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548F2FE4"/>
    <w:multiLevelType w:val="hybridMultilevel"/>
    <w:tmpl w:val="D806ED68"/>
    <w:lvl w:ilvl="0" w:tplc="49361BB8">
      <w:start w:val="1"/>
      <w:numFmt w:val="bullet"/>
      <w:lvlText w:val="–"/>
      <w:lvlJc w:val="left"/>
      <w:pPr>
        <w:ind w:left="709" w:hanging="360"/>
      </w:pPr>
    </w:lvl>
    <w:lvl w:ilvl="1" w:tplc="E3D26EB6">
      <w:numFmt w:val="decimal"/>
      <w:lvlText w:val=""/>
      <w:lvlJc w:val="left"/>
    </w:lvl>
    <w:lvl w:ilvl="2" w:tplc="966C2336">
      <w:numFmt w:val="decimal"/>
      <w:lvlText w:val=""/>
      <w:lvlJc w:val="left"/>
    </w:lvl>
    <w:lvl w:ilvl="3" w:tplc="4ACE3DC8">
      <w:numFmt w:val="decimal"/>
      <w:lvlText w:val=""/>
      <w:lvlJc w:val="left"/>
    </w:lvl>
    <w:lvl w:ilvl="4" w:tplc="9A204D6E">
      <w:numFmt w:val="decimal"/>
      <w:lvlText w:val=""/>
      <w:lvlJc w:val="left"/>
    </w:lvl>
    <w:lvl w:ilvl="5" w:tplc="E5B87016">
      <w:numFmt w:val="decimal"/>
      <w:lvlText w:val=""/>
      <w:lvlJc w:val="left"/>
    </w:lvl>
    <w:lvl w:ilvl="6" w:tplc="9FF8976A">
      <w:numFmt w:val="decimal"/>
      <w:lvlText w:val=""/>
      <w:lvlJc w:val="left"/>
    </w:lvl>
    <w:lvl w:ilvl="7" w:tplc="21AAC386">
      <w:numFmt w:val="decimal"/>
      <w:lvlText w:val=""/>
      <w:lvlJc w:val="left"/>
    </w:lvl>
    <w:lvl w:ilvl="8" w:tplc="76FAD47A">
      <w:numFmt w:val="decimal"/>
      <w:lvlText w:val=""/>
      <w:lvlJc w:val="left"/>
    </w:lvl>
  </w:abstractNum>
  <w:abstractNum w:abstractNumId="2" w15:restartNumberingAfterBreak="0">
    <w:nsid w:val="76590FD2"/>
    <w:multiLevelType w:val="hybridMultilevel"/>
    <w:tmpl w:val="2814FEC8"/>
    <w:lvl w:ilvl="0" w:tplc="C7467B06">
      <w:start w:val="1"/>
      <w:numFmt w:val="bullet"/>
      <w:lvlText w:val="–"/>
      <w:lvlJc w:val="left"/>
      <w:pPr>
        <w:ind w:left="709" w:hanging="360"/>
      </w:pPr>
    </w:lvl>
    <w:lvl w:ilvl="1" w:tplc="F950FBEE">
      <w:numFmt w:val="decimal"/>
      <w:lvlText w:val=""/>
      <w:lvlJc w:val="left"/>
    </w:lvl>
    <w:lvl w:ilvl="2" w:tplc="5F466C18">
      <w:numFmt w:val="decimal"/>
      <w:lvlText w:val=""/>
      <w:lvlJc w:val="left"/>
    </w:lvl>
    <w:lvl w:ilvl="3" w:tplc="37288B0A">
      <w:numFmt w:val="decimal"/>
      <w:lvlText w:val=""/>
      <w:lvlJc w:val="left"/>
    </w:lvl>
    <w:lvl w:ilvl="4" w:tplc="8D94FA60">
      <w:numFmt w:val="decimal"/>
      <w:lvlText w:val=""/>
      <w:lvlJc w:val="left"/>
    </w:lvl>
    <w:lvl w:ilvl="5" w:tplc="FA16C3C0">
      <w:numFmt w:val="decimal"/>
      <w:lvlText w:val=""/>
      <w:lvlJc w:val="left"/>
    </w:lvl>
    <w:lvl w:ilvl="6" w:tplc="41A85BD6">
      <w:numFmt w:val="decimal"/>
      <w:lvlText w:val=""/>
      <w:lvlJc w:val="left"/>
    </w:lvl>
    <w:lvl w:ilvl="7" w:tplc="B76053E6">
      <w:numFmt w:val="decimal"/>
      <w:lvlText w:val=""/>
      <w:lvlJc w:val="left"/>
    </w:lvl>
    <w:lvl w:ilvl="8" w:tplc="236C4C12">
      <w:numFmt w:val="decimal"/>
      <w:lvlText w:val=""/>
      <w:lvlJc w:val="left"/>
    </w:lvl>
  </w:abstractNum>
  <w:num w:numId="1">
    <w:abstractNumId w:val="0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isplayBackgroundShape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1460C"/>
    <w:rsid w:val="00C1299D"/>
    <w:rsid w:val="00C1460C"/>
    <w:rsid w:val="00DD67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92515CB"/>
  <w15:docId w15:val="{58EA10D7-BFEC-4107-84B1-97B6D1E418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sz w:val="28"/>
        <w:szCs w:val="28"/>
        <w:lang w:val="ru-RU" w:eastAsia="ru-RU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spacing w:line="240" w:lineRule="auto" w:before="0" w:after="0"/>
      <w:ind w:firstLine="709"/>
      <w:jc w:val="both"/>
    </w:pPr>
    <w:rPr>
      <w:rFonts w:ascii="Times New Roman" w:hAnsi="Times New Roman"/>
      <w:b w:val="0"/>
      <w:sz w:val="28"/>
    </w:rPr>
  </w:style>
  <w:style w:type="paragraph" w:styleId="1">
    <w:name w:val="heading 1"/>
    <w:qFormat/>
    <w:pPr>
      <w:spacing w:line="240" w:lineRule="auto" w:before="0" w:after="0"/>
      <w:ind w:firstLine="709"/>
      <w:jc w:val="both"/>
      <w:outlineLvl w:val="0"/>
    </w:pPr>
    <w:rPr>
      <w:rFonts w:ascii="Times New Roman" w:hAnsi="Times New Roman"/>
      <w:b/>
      <w:bCs/>
      <w:color w:val="000000"/>
      <w:sz w:val="28"/>
      <w:szCs w:val="32"/>
    </w:rPr>
  </w:style>
  <w:style w:type="paragraph" w:styleId="2">
    <w:name w:val="heading 2"/>
    <w:qFormat/>
    <w:pPr>
      <w:spacing w:line="240" w:lineRule="auto" w:before="0" w:after="0"/>
      <w:ind w:firstLine="709"/>
      <w:jc w:val="both"/>
      <w:outlineLvl w:val="1"/>
    </w:pPr>
    <w:rPr>
      <w:rFonts w:ascii="Times New Roman" w:hAnsi="Times New Roman"/>
      <w:b/>
      <w:bCs/>
      <w:color w:val="000000"/>
      <w:sz w:val="28"/>
    </w:rPr>
  </w:style>
  <w:style w:type="paragraph" w:styleId="3">
    <w:name w:val="heading 3"/>
    <w:qFormat/>
    <w:pPr>
      <w:spacing w:line="240" w:lineRule="auto" w:before="0" w:after="0"/>
      <w:ind w:firstLine="709"/>
      <w:jc w:val="both"/>
      <w:outlineLvl w:val="2"/>
    </w:pPr>
    <w:rPr>
      <w:rFonts w:ascii="Times New Roman" w:hAnsi="Times New Roman"/>
      <w:b/>
      <w:color w:val="1F4D78"/>
      <w:sz w:val="28"/>
      <w:szCs w:val="24"/>
    </w:rPr>
  </w:style>
  <w:style w:type="paragraph" w:styleId="4">
    <w:name w:val="heading 4"/>
    <w:qFormat/>
    <w:pPr>
      <w:spacing w:line="240" w:lineRule="auto" w:before="0" w:after="0"/>
      <w:ind w:firstLine="709"/>
      <w:jc w:val="both"/>
      <w:outlineLvl w:val="3"/>
    </w:pPr>
    <w:rPr>
      <w:rFonts w:ascii="Times New Roman" w:hAnsi="Times New Roman"/>
      <w:b/>
      <w:i/>
      <w:iCs/>
      <w:color w:val="2E74B5"/>
      <w:sz w:val="28"/>
    </w:rPr>
  </w:style>
  <w:style w:type="paragraph" w:styleId="5">
    <w:name w:val="heading 5"/>
    <w:qFormat/>
    <w:pPr>
      <w:spacing w:line="240" w:lineRule="auto" w:before="0" w:after="0"/>
      <w:ind w:firstLine="709"/>
      <w:jc w:val="both"/>
      <w:outlineLvl w:val="4"/>
    </w:pPr>
    <w:rPr>
      <w:rFonts w:ascii="Times New Roman" w:hAnsi="Times New Roman"/>
      <w:b/>
      <w:color w:val="2E74B5"/>
      <w:sz w:val="28"/>
    </w:rPr>
  </w:style>
  <w:style w:type="paragraph" w:styleId="6">
    <w:name w:val="heading 6"/>
    <w:qFormat/>
    <w:pPr>
      <w:spacing w:line="240" w:lineRule="auto" w:before="0" w:after="0"/>
      <w:ind w:firstLine="709"/>
      <w:jc w:val="both"/>
      <w:outlineLvl w:val="5"/>
    </w:pPr>
    <w:rPr>
      <w:rFonts w:ascii="Times New Roman" w:hAnsi="Times New Roman"/>
      <w:b/>
      <w:color w:val="1F4D78"/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qFormat/>
    <w:pPr>
      <w:spacing w:line="240" w:lineRule="auto" w:before="0" w:after="0"/>
      <w:ind w:firstLine="709"/>
      <w:jc w:val="both"/>
    </w:pPr>
    <w:rPr>
      <w:rFonts w:ascii="Times New Roman" w:hAnsi="Times New Roman"/>
      <w:b/>
      <w:color w:val="000000"/>
      <w:sz w:val="28"/>
      <w:szCs w:val="56"/>
    </w:rPr>
  </w:style>
  <w:style w:type="paragraph" w:customStyle="1" w:styleId="10">
    <w:name w:val="Строгий1"/>
    <w:qFormat/>
    <w:pPr>
      <w:spacing w:line="240" w:lineRule="auto" w:before="0" w:after="0"/>
      <w:ind w:firstLine="709"/>
      <w:jc w:val="both"/>
    </w:pPr>
    <w:rPr>
      <w:rFonts w:ascii="Times New Roman" w:hAnsi="Times New Roman"/>
      <w:b w:val="0"/>
      <w:bCs/>
      <w:sz w:val="28"/>
    </w:rPr>
  </w:style>
  <w:style w:type="paragraph" w:styleId="a4">
    <w:name w:val="List Paragraph"/>
    <w:qFormat/>
    <w:pPr>
      <w:spacing w:line="240" w:lineRule="auto" w:before="0" w:after="0"/>
      <w:ind w:firstLine="709"/>
      <w:jc w:val="both"/>
    </w:pPr>
    <w:rPr>
      <w:rFonts w:ascii="Times New Roman" w:hAnsi="Times New Roman"/>
      <w:b w:val="0"/>
      <w:sz w:val="28"/>
    </w:rPr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pPr>
      <w:spacing w:line="240" w:lineRule="auto" w:before="0" w:after="0"/>
      <w:ind w:firstLine="709"/>
      <w:jc w:val="both"/>
    </w:pPr>
    <w:rPr>
      <w:rFonts w:ascii="Times New Roman" w:hAnsi="Times New Roman"/>
      <w:b w:val="0"/>
      <w:sz w:val="28"/>
      <w:szCs w:val="20"/>
    </w:rPr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  <w:pPr>
      <w:spacing w:line="240" w:lineRule="auto" w:before="0" w:after="0"/>
      <w:ind w:firstLine="709"/>
      <w:jc w:val="both"/>
    </w:pPr>
    <w:rPr>
      <w:rFonts w:ascii="Times New Roman" w:hAnsi="Times New Roman"/>
      <w:b w:val="0"/>
      <w:sz w:val="28"/>
      <w:szCs w:val="20"/>
    </w:rPr>
  </w:style>
  <w:style w:type="character" w:customStyle="1" w:styleId="ab">
    <w:name w:val="Текст концевой сноски Знак"/>
    <w:link w:val="aa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header" Target="header2.xml"/><Relationship Id="rId10" Type="http://schemas.openxmlformats.org/officeDocument/2006/relationships/footer" Target="footer2.xml"/><Relationship Id="rId11" Type="http://schemas.openxmlformats.org/officeDocument/2006/relationships/header" Target="header3.xml"/><Relationship Id="rId12" Type="http://schemas.openxmlformats.org/officeDocument/2006/relationships/footer" Target="footer3.xml"/><Relationship Id="rId13" Type="http://schemas.openxmlformats.org/officeDocument/2006/relationships/hyperlink" Target="https://www.relionbattery.com/products/lithium/rb40" TargetMode="External"/><Relationship Id="rId14" Type="http://schemas.openxmlformats.org/officeDocument/2006/relationships/hyperlink" Target="https://www.victronenergy.com/upload/documents/BlueSolar-%26-SmartSolar-MPPT-75-10-%26-75-15.pdf" TargetMode="External"/><Relationship Id="rId15" Type="http://schemas.openxmlformats.org/officeDocument/2006/relationships/hyperlink" Target="https://sldtechinc.com/80w-12v-monocrystalline-solar-panel-s/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10</Pages>
  <Words>3247</Words>
  <Characters>18508</Characters>
  <Application>Microsoft Office Word</Application>
  <DocSecurity>0</DocSecurity>
  <Lines>154</Lines>
  <Paragraphs>43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21712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HP</cp:lastModifiedBy>
  <cp:revision>2</cp:revision>
  <dcterms:created xsi:type="dcterms:W3CDTF">2026-09-10T19:21:00Z</dcterms:created>
  <dcterms:modified xsi:type="dcterms:W3CDTF">2026-09-10T19:21:00Z</dcterms:modified>
</cp:coreProperties>
</file>