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jc w:val="left"/>
      </w:pPr>
      <w:r>
        <w:t>Задание на изготовление и монтаж плат EVT PRE 20</w:t>
      </w:r>
    </w:p>
    <w:p>
      <w:pPr/>
      <w:r>
        <w:t>Дионея · EVT-PRE-20 · 29 сентября 2026 года · комплект для подготовки закупки и производства</w:t>
      </w:r>
    </w:p>
    <w:p>
      <w:pPr/>
      <w:r>
        <w:t>Задание задаёт маршрут для трёх плат. PCB-PWR и PCB-MAIN передаются для оформления заказа и заводской DFM-проверки; PCB-MIC передаётся для инженерной проверки. Перед запуском панели подрядчик проверяет машинные файлы, BOM, координаты, полярность и технологические параметры и возвращает замечания для управляемого ECO.</w:t>
      </w:r>
    </w:p>
    <w:p>
      <w:pPr>
        <w:pStyle w:val="2"/>
      </w:pPr>
      <w:r>
        <w:t>PCB PWR</w:t>
      </w:r>
    </w:p>
    <w:p>
      <w:pPr/>
      <w:r>
        <w:t>Для проверки и заказа заказчиком использовать только пакет PCB_PWR_REVIEW_B_PACKAGE_REV_E: Gerber, Excellon, IPC-D-356, координаты установки, PDF схемы и сборки, хешированный манифест. Не смешивать с engineering snapshot от 24 сентября.</w:t>
      </w:r>
    </w:p>
    <w:p>
      <w:pPr/>
      <w:r>
        <w:t>Заказать четыре слоя, толщину 1,6 мм ±10 %, ENIG, наружную медь 1 oz и внутреннюю медь 1 oz. Зафиксировать stack ID выбранной фабрики, толщины слоёв, DFM и проверку средней металлизации стенки отверстия не менее 18 мкм. Проектный номинал 35 мкм готовой меди требует согласования с фабрикой, если нужен как минимум на каждом слое.</w:t>
      </w:r>
    </w:p>
    <w:p>
      <w:pPr/>
      <w:r>
        <w:t>Монтаж выполнять по текущему техническому BOM Rev B и координатам Rev E. Не устанавливать R5, R9, R13, R14, R15; NT1–NT3 являются только медными net tie. C13: плюс на pad 1 VBAT_SYS. D1: pad 1 подключён к VBAT_FUSED, но окончательный TVS подтверждается по профилю перенапряжения. До подтверждения PCBA закрыть девять Value и восемь атрибутов BOM/DNP отдельным ECO.</w:t>
      </w:r>
    </w:p>
    <w:p>
      <w:pPr>
        <w:pStyle w:val="2"/>
      </w:pPr>
      <w:r>
        <w:t>PCB MAIN и PCB MIC</w:t>
      </w:r>
    </w:p>
    <w:p>
      <w:pPr/>
      <w:r>
        <w:t>PCB-MAIN Rev B, кандидат 105, направлять на заказ с обязательной DFM-проверкой. 8 медных слоёв, 1,6 мм, ENIG; исходная плата имеет DRC 0 ошибок и 0 неразведённых соединений, ERC 0. До запуска панели получить stack ID, профиль диэлектриков, медь, импеданс, технологию 57 заполненных и металлизированных via-in-pad, подтверждение отверстий 0,15 мм и изменённых площадок J6/J7/J11. Монтаж выполнять по согласованным BOM_PCBA и POS_TOP_PCBA на 227 позиций; DNP не устанавливать. U12 microSD устанавливается на этапе сборки станции.</w:t>
      </w:r>
    </w:p>
    <w:p>
      <w:pPr/>
      <w:r>
        <w:t>PCB-MIC подготовлена к инженерной DFM-проверке, но общий Review B не подписан. На первой панели проверить чистый акустический порт, отсутствие пасты, клея и покрытия, ориентацию платы по фактическому datum, перенос и сохранность микрофона при депанелизации. Финальный заказ возможен после закрытия этих пунктов.</w:t>
      </w:r>
    </w:p>
    <w:p>
      <w:pPr>
        <w:pStyle w:val="2"/>
      </w:pPr>
      <w:r>
        <w:t>Ответ фабрики и приёмка</w:t>
      </w:r>
    </w:p>
    <w:p>
      <w:pPr/>
      <w:r>
        <w:t>Завод сообщает подтверждённую конструкцию, допустимые ширины и зазоры, сверление, кольца, маску, панель, трафарет, профиль пайки, AOI и X-ray, а также отклонения по MPN. Все комментарии и инструкции в приложенных PDF представлены на русском и английском языках; обозначения цепей и MPN сохраняются как машинные идентификаторы. Изменение платы, стека, посадочных мест или файлов возвращается в ECO с повторным экспортом.</w:t>
      </w:r>
    </w:p>
    <w:p>
      <w:pPr/>
      <w:r>
        <w:t>С первой партии получить результат электротеста PCB, отчёт AOI, X-ray для скрытых соединений, фото или измерение первого образца где это предусмотрено процессом, протоколы сопротивлений шин и функционального включения. Приёмка сборки PCBA отделена от физического EVT станции.</w:t>
      </w:r>
    </w:p>
    <w:p>
      <w:r>
        <w:t>Проверка по официальным данным JLCPCB от 30.09.2026: 8 слоёв, 1,6 мм, ENIG, медь 1/0,5 oz, переход 0,15/0,25 мм и POFV входят в опубликованные возможности. В заказе следует выбрать доступный стек и передать список 74 переходов на эпоксидное заполнение и медную крышку (57 в SMD-площадках). Контроль выбранной конфигурации и производственных файлов остаётся частью оформления заказа; отклонения обрабатываются через ECO.</w:t>
      </w:r>
    </w:p>
    <w:sectPr w:rsidR="00C1460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qFormat/>
    <w:pPr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rFonts w:ascii="Arial" w:hAnsi="Arial"/>
      <w:color w:val="000000"/>
      <w:sz w:val="3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