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Опись и статус комплекта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Документ задаёт состав передачи для закупки, запроса DFM и сборки EVT-PRE-20. PCB-MAIN Rev B имеет завершённую восьмислойную трассировку: DRC 0 ошибок, 0 неразведённых цепей, ERC 0. Заводской стек и процесс 57 переходов в площадках требуют ответа фабрики. Для PCB-MIC, физической примерки корпусов и отдельных позиций компонентной базы сохраняются открытые проверки.</w:t>
      </w:r>
    </w:p>
    <w:p>
      <w:pPr>
        <w:pStyle w:val="2"/>
      </w:pPr>
      <w:r>
        <w:t>Конфигурация поставки</w:t>
      </w:r>
    </w:p>
    <w:p>
      <w:pPr/>
      <w:r>
        <w:t>Источник PCB-PWR и сопутствующих данных: skif-ops/rs-zs-bpla, PR №100, коммит 2f94a3ad6e7a43fa6b35bc3c44d9d8ca4843301c. PCB-MAIN Rev B представлен отдельным контролируемым кандидатом 105; SHA-256 платы f828fc6b30afbd64ed67afbee9ed7a5f5cdb9c47c1112722c5a0fe315268665f. В заказном архиве находятся его полный проект KiCad, Gerber, Excellon, IPC-D-356, BOM, координаты, сборочный PDF и отчёты проверки.</w:t>
      </w:r>
    </w:p>
    <w:p>
      <w:pPr/>
      <w:r>
        <w:t>Программа закупок состоит из двух лотов по 20 станций и одного стендового образца. Первый лот из 20 корпусов заказчик планирует печатать на 3D-принтере. Печать остальных 20 корпусов возможна, но окончательное решение по второму лоту не принято. Файлы для литья хранятся отдельно как предварительные исходные данные.</w:t>
      </w:r>
    </w:p>
    <w:p>
      <w:pPr/>
      <w:r>
        <w:t>Ведомость BOM содержит 111 выбранных технических позиций, восемь DNP и исторические ориентировочные цены ведомости v.02. Итого v.02 561 805,89 ₽ для 20 базовых станций и 617 986,48 ₽ с резервом 10 %. Этот итог относится к прежней конфигурации с вакуумным литьём; текущая цена печатных корпусов не подтверждена. Недетализированный расчёт около 4 млн ₽ исключён.</w:t>
      </w:r>
    </w:p>
    <w:p>
      <w:pPr>
        <w:pStyle w:val="2"/>
      </w:pPr>
      <w:r>
        <w:t>Правило использования файлов</w:t>
      </w:r>
    </w:p>
    <w:p>
      <w:pPr>
        <w:pStyle w:val="a4"/>
      </w:pPr>
      <w:r>
        <w:t>Для закупки серийных компонентов использовать точный MPN, количество первого лота и статус строки на листе «Сводка закупки». Отсутствующая цена означает запрос котировки, а не нулевую стоимость.</w:t>
      </w:r>
    </w:p>
    <w:p>
      <w:pPr>
        <w:pStyle w:val="a4"/>
      </w:pPr>
      <w:r>
        <w:t>PCB-PWR Rev E разрешена решением заказчика для передачи фабрике на проверку и оформления заказа. Заводской stack ID, DFM и каждое замечание фиксируются в деле заказа; изменение платы или файлов проходит ECO.</w:t>
      </w:r>
    </w:p>
    <w:p>
      <w:pPr>
        <w:pStyle w:val="a4"/>
      </w:pPr>
      <w:r>
        <w:t>PCB-MAIN Rev B передавать на запрос цены, заводскую DFM-проверку и заказ с учётом ответа фабрики. Перед запуском панели зафиксировать stack ID, диэлектрики, импеданс, металлизированное закрытие 57 via-in-pad, сверловку и проверку изменённых площадок J6/J7/J11. В монтаж направлять BOM_PCBA и POS_TOP_PCBA: 227 совпадающих позиций; 15 DNP не устанавливать, U12 microSD ставить на стадии сборки станции.</w:t>
      </w:r>
    </w:p>
    <w:p>
      <w:pPr>
        <w:pStyle w:val="a4"/>
      </w:pPr>
      <w:r>
        <w:t>PCB-MIC передавать только на инженерную DFM-проверку до завершения общего Review B, панели, акустического тракта и проверки физической ориентации DIM-004.</w:t>
      </w:r>
    </w:p>
    <w:p>
      <w:pPr>
        <w:pStyle w:val="a4"/>
      </w:pPr>
      <w:r>
        <w:t>STEP/STL корпуса и жгутовых выходов имеют статус предварительных кандидатов. Они не подтверждают посадку батареи, MPPT, нижний модуль, акустическую мембрану, IP65/IP67, RF или расчёт оснастки.</w:t>
      </w:r>
    </w:p>
    <w:p>
      <w:pPr>
        <w:pStyle w:val="2"/>
      </w:pPr>
      <w:r>
        <w:t>Состав архивов</w:t>
      </w:r>
    </w:p>
    <w:p>
      <w:pPr/>
      <w:r>
        <w:t>Основной архив: закупка, сборка станций, предварительные корпуса, технический проект, исходники репозитория, реестры и проверка контрольных сумм.</w:t>
      </w:r>
    </w:p>
    <w:p>
      <w:pPr/>
      <w:r>
        <w:t>Отдельный архив плат содержит PCB-PWR для заказа с заводским checkout, PCB-MAIN Rev B для заказа с DFM и PCB-MIC для инженерного запроса DFM. Общий архив не заменяет индивидуальное подтверждение фабрики и первый образец монтажа.</w:t>
      </w:r>
    </w:p>
    <w:p>
      <w:pPr/>
      <w:r>
        <w:t>Отдельный архив EVT: программа и методики, матрицы испытаний, пустые отчётные формы и программа дополнительного дообучения сервера «Мухоед».</w:t>
      </w:r>
    </w:p>
    <w:p>
      <w:pPr>
        <w:pStyle w:val="2"/>
      </w:pPr>
      <w:r>
        <w:t>Открытые решения</w:t>
      </w:r>
    </w:p>
    <w:p>
      <w:pPr/>
      <w:r>
        <w:t>Проверить полный монтаж PCB-PWR после синхронизации девяти Value и восьми признаков BOM/DNP; отдельно закрыть D1 с профилем перенапряжения. Получить физический overlay J1/J2, корпусной CAD, крепёж и подпись механика.</w:t>
      </w:r>
    </w:p>
    <w:p>
      <w:pPr/>
      <w:r>
        <w:t>Для PCB-MAIN получить ответ фабрики по стеку, via-in-pad, импедансу и монтажу; по замечаниям выполнить ECO и повторный выпуск CAM. Для PCB-MIC закрыть Review B, акустический port и зеркальный datum. Предварительный нижний модуль и маунты уже построены; по корпусу выбрать материалы, уплотнения, вводы и окончательные крепления антенн, панели и мачты, затем выполнить пробную сборку.</w:t>
      </w:r>
    </w:p>
    <w:p>
      <w:r>
        <w:t>Проверка по официальным данным JLCPCB от 30.09.2026: 8 слоёв, 1,6 мм, ENIG, медь 1/0,5 oz, переход 0,15/0,25 мм и POFV входят в опубликованные возможности. В заказе следует выбрать доступный стек и передать список 74 переходов на эпоксидное заполнение и медную крышку (57 в SMD-площадках). Контроль выбранной конфигурации и производственных файлов остаётся частью оформления заказа; отклонения обрабатываются через ECO.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