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</w:pPr>
      <w:r>
        <w:t>Производственный комплект EVT-PRE-20 — контроль выпуска</w:t>
      </w:r>
    </w:p>
    <w:p>
      <w:r>
        <w:t>Выпуск 30.09.2026 · платы, закупка, сборка и испытания</w:t>
      </w:r>
    </w:p>
    <w:p>
      <w:r>
        <w:t>Комплект содержит закупочную ведомость для 41 станции и план первого лота на 20 печатных комплектов, машинный CSV, соединения и распайку, технический проект, три комплекта PCB, предварительные корпусные модели, программу EVT и программу дообучения Мухоеда. Отдельные архивы плат и испытаний вложены в основной архив.</w:t>
      </w:r>
    </w:p>
    <w:p>
      <w:pPr>
        <w:pStyle w:val="1"/>
      </w:pPr>
      <w:r>
        <w:t>Статус трёх плат</w:t>
      </w:r>
    </w:p>
    <w:p>
      <w:r>
        <w:t>PCB-MAIN Rev B кандидат 105: восемь слоёв, DRC 0 ошибок и 0 неразведённых, ERC 0 в контролируемом пакете; фабрика должна подтвердить стек, импеданс, отверстия и заполнение/металлизацию 57 via-in-pad. PCB-PWR Rev E: заказ с DFM и открытой примеркой к реальному корпусу/ответным разъёмам. PCB-MIC: расчётный пакет для Review B и запроса DFM; серийный заказ удержан до решения рецензента и контроля первого образца.</w:t>
      </w:r>
    </w:p>
    <w:p>
      <w:pPr>
        <w:pStyle w:val="1"/>
      </w:pPr>
      <w:r>
        <w:t>Статус цен</w:t>
      </w:r>
    </w:p>
    <w:p>
      <w:r>
        <w:t>Цены в BOM — ориентир из инженерной ведомости v.02, не актуальная оферта. Исторический итог 561 805,89 ₽ за 20 станций и 617 986,48 ₽ с резервом 10% относится к прежней конфигурации и не заменяет итог нового закупочного заказа на 41 станцию. Для строк без цены требуется коммерческое предложение. Недетализированная сумма около 4 млн ₽ в комплект не включена.</w:t>
      </w:r>
    </w:p>
    <w:p>
      <w:pPr>
        <w:pStyle w:val="1"/>
      </w:pPr>
      <w:r>
        <w:t>Статус механики</w:t>
      </w:r>
    </w:p>
    <w:p>
      <w:r>
        <w:t>Нижний батарейный корпус, монтаж MPPT и крепления панели/мачты представлены как предварительные геометрические кандидаты. Акустическая мембрана ещё не выбрана и не смоделирована. До выпуска 20 печатных корпусов обязательны натурная примерка, расчёт/испытание прочности, электрическая безопасность, влаго- и температурные испытания. Данные для литья служат макетами, а не готовым инструментальным чертежом.</w:t>
      </w:r>
    </w:p>
    <w:p>
      <w:pPr>
        <w:pStyle w:val="1"/>
      </w:pPr>
      <w:r>
        <w:t>Правило передачи</w:t>
      </w:r>
    </w:p>
    <w:p>
      <w:r>
        <w:t>Каждый архив сопровождается МАНИФЕСТ_SHA256.csv. При передаче подрядчику сохранять исходные имена файлов и SHA. Изменения платы, посадки, стека, BOM, корпуса или жгута оформлять ECO и выпускать новый согласованный комплект; замечания фабрики после оформления заказа также обрабатывать через ECO.</w:t>
      </w:r>
    </w:p>
    <w:p>
      <w:r>
        <w:t>Материалы независимого PCB-MIC Review B выпущены отдельным архивом EVT_PRE_20_PCB_MIC_REVIEW_B_20260930_REV_C.zip. В производственный архив они не входят; находящиеся в нём исходник и CAM PCB-MIC служат только запросу DFM до отдельного решения Review B.</w:t>
      </w:r>
    </w:p>
    <w:sectPr w:rsidR="00C1460C">
      <w:pgSz w:w="11906" w:h="16838"/>
      <w:pgMar w:top="1191" w:right="850" w:bottom="102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