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Заявка на сборку станций и корпусов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Заявка рассчитана на первый лот из 20 изделий DIO-EVT-001…020. Сборку можно запускать после выпуска плат, жгутов и корпуса с фиксированной ревизией; до этого документ служит маршрутом подготовки и заказа опытных деталей.</w:t>
      </w:r>
    </w:p>
    <w:p>
      <w:pPr>
        <w:pStyle w:val="2"/>
      </w:pPr>
      <w:r>
        <w:t>Материалы и идентификация</w:t>
      </w:r>
    </w:p>
    <w:p>
      <w:pPr/>
      <w:r>
        <w:t>По каждой станции выдать одну PCB-MAIN Rev B после заводского DFM и приёмки PCBA, одну PCB-PWR, четыре PCB-MIC одного MPN микрофона, карту microSD U12, батарею RB40, MPPT Victron, панель 80 Вт, три антенных комплекта и жгуты. На каждом изделии записать серийный номер платы, HW revision, firmware, SIM ICCID и хеш профиля public APN, материалы корпуса и контрольную сумму файла изготовления.</w:t>
      </w:r>
    </w:p>
    <w:p>
      <w:pPr/>
      <w:r>
        <w:t>Первый лот корпусов — 20 комплектов 3D-печати. В приложенных STEP/STL есть верхний электронный модуль, кассета PCB-PWR и микрофонные pods; дополнительно выпущены предварительные STL нижнего блока RB40/MPPT, седла мачты и зажима панели. До заказа партии необходимы примерка, расчёт прочности, герметизация и выбор акустической мембраны; подрядчик не должен самовольно менять контролируемые модели.</w:t>
      </w:r>
    </w:p>
    <w:p>
      <w:pPr>
        <w:pStyle w:val="2"/>
      </w:pPr>
      <w:r>
        <w:t>Маршрут сборки</w:t>
      </w:r>
    </w:p>
    <w:p>
      <w:pPr/>
      <w:r>
        <w:t>После входного контроля присвоить серийный номер и открыть индивидуальный traveller. Проверить полярность батареи и предохранитель; установить PCB и контролируемые жгуты по листу «Распайка жгутов». Проверить 100 % проводимости, отсутствие перекрёстных коротких замыканий и направление разъёмов. Для PCB-PWR J1 сопряжение ориентировано +Z, J2 — +X.</w:t>
      </w:r>
    </w:p>
    <w:p>
      <w:pPr/>
      <w:r>
        <w:t>Провести тест первого включения с ограничением тока, затем проверку шин 3V8, 3V3, 1V8, I2C и четырёх PDM каналов. Записать телеметрию, provisioning, EOL и результат механической посадки. Не считать прохождение EOL заменой EVT по температуре, RF, акустике, влаге и автономности.</w:t>
      </w:r>
    </w:p>
    <w:p>
      <w:pPr>
        <w:pStyle w:val="2"/>
      </w:pPr>
      <w:r>
        <w:t>Предварительные технологии корпуса</w:t>
      </w:r>
    </w:p>
    <w:p>
      <w:pPr/>
      <w:r>
        <w:t>FDM-детали проектируются под ASA и печать на FlashForge Adventurer 5M Pro. Требуются пробная печать, размеры после усадки, качество резьбовых закладных, кабельные вводы, снятие платы для сервиса и first article fit. Заявленные в моделях нулевые пересечения относятся к упрощённым телам и не подтверждают реальную посадку батареи и ответных разъёмов.</w:t>
      </w:r>
    </w:p>
    <w:p>
      <w:pPr/>
      <w:r>
        <w:t>Вакуумное литьё и ТПА представлены отдельными STEP/STL-кандидатами и инженерными BOM. До заказа формы требуются материал, усадка, уклоны, разъём формы, точки впрыска и выталкивания, допуски, пробный отливок T0/T1 и отдельный DFM. Второй лот из 20 корпусов может быть печатным; способ изготовления и заказная цена будут утверждены отдельно.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