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Программа и методики испытаний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Программа относится к фактически собранному первому лоту 20 станций. Исходные протоколы host или серверного replay не заменяют аппаратные измерения. Результат каждого испытания привязывается к серийному номеру, ревизии аппаратуры и версии прошивки.</w:t>
      </w:r>
    </w:p>
    <w:p>
      <w:pPr>
        <w:pStyle w:val="2"/>
      </w:pPr>
      <w:r>
        <w:t>Подготовка и популяция</w:t>
      </w:r>
    </w:p>
    <w:p>
      <w:pPr/>
      <w:r>
        <w:t>Перед стартом зафиксировать BOM/AVL, три платы, корпус, жгуты, прошивку, профили RU868 и public APN, калибровку приборов, площадку и пределы приёмки. Все 20 станций проходят идентификацию, визуальный контроль, питание S0…S4, четыре аудиоканала, GNSS/PPS, BLE, LTE/TLS, store-and-forward и базовый LoRa test. Разрушающие испытания назначаются отдельным списком; образец после них не возвращается в обычный полевой пул без решения.</w:t>
      </w:r>
    </w:p>
    <w:p>
      <w:pPr/>
      <w:r>
        <w:t>Для каждой станции заполнить маршрутный лист, EOL-реестр и ссылки на сырые логи. Данные отчётов хешируются; PASS без измерения, лога или отчёта запрещён.</w:t>
      </w:r>
    </w:p>
    <w:p>
      <w:pPr>
        <w:pStyle w:val="2"/>
      </w:pPr>
      <w:r>
        <w:t>Порядок</w:t>
      </w:r>
    </w:p>
    <w:p>
      <w:pPr/>
      <w:r>
        <w:t>Сначала проверить комплектность и контрольные суммы, входной контроль, оснастку и эталонные образцы. Затем собрать весь лот с индивидуальными travellers и выполнить 100 % EOL. После базового функционального EVT провести назначенные температурные, влаговые, механические, RF, акустические, энергетические и полевые проверки. После каждого стресса повторить критические функции и закрыть отклонения.</w:t>
      </w:r>
    </w:p>
    <w:p>
      <w:pPr/>
      <w:r>
        <w:t>PDM-жгут проверить на минимальной, 150 мм, максимальной и максимальной плюс 20 % длине; на всех четырёх каналах и при −40, +23 и +70 °C. Сравнить R1 0/22/33/47/49,9 Ом; зафиксировать уровни, фронты, выбросы, ringing, setup/hold, DMA/PDM ошибки и задержку каналов. Отдельно проверить помехи от BG95 и LoRa.</w:t>
      </w:r>
    </w:p>
    <w:p>
      <w:pPr/>
      <w:r>
        <w:t>Проверить корректность питания, предохранителя, cold charge inhibit, температурное поведение батареи/MPPT, RF и GNSS coexistence, ориентацию и акустическую передачу микрофонных pods. Пределы Pd/FAR, дистанции, локализации, ветровой нагрузки и IP должны быть утверждены заказчиком до формального PASS.</w:t>
      </w:r>
    </w:p>
    <w:p>
      <w:pPr>
        <w:pStyle w:val="2"/>
      </w:pPr>
      <w:r>
        <w:t>Оценка и отчёт</w:t>
      </w:r>
    </w:p>
    <w:p>
      <w:pPr/>
      <w:r>
        <w:t>PASS требует закрытия всех P0 требований, отсутствия открытого blocker/critical и сохранённого первичного evidence. CONDITIONAL допустим только для принятого заказчиком отклонения без риска безопасности с владельцем и сроком. FAIL ставится при нарушении безопасности, питания, герметизации, защищённого обновления, идентичности, целостности протокола или утверждённого критерия. NOT RUN означает отсутствие измерения или не начатый тест.</w:t>
      </w:r>
    </w:p>
    <w:p>
      <w:pPr/>
      <w:r>
        <w:t>Матрица испытаний, EOL-реестр, журнал отклонений и трассировка требований находятся в отдельной электронной книге «EVT_матрица_и_отчеты.xlsx». Для итогового протокола приложить конфигурацию, список серийных номеров, ссылки и SHA-256 сырых файлов, отклонения и решение независимого проверяющего.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