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40" w:lineRule="auto" w:before="0" w:after="0"/>
        <w:ind w:firstLine="0"/>
        <w:jc w:val="both"/>
      </w:pPr>
      <w:r>
        <w:rPr>
          <w:rFonts w:ascii="Times New Roman" w:hAnsi="Times New Roman"/>
          <w:b/>
          <w:sz w:val="28"/>
        </w:rPr>
        <w:t>Методики испытаний EVT PRE 20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Дионея · EVT-PRE-20 · 30 сентября 2026 года · Rev D1 · первый лот 20 станций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Документ задаёт воспроизводимые действия и первичные доказательства для матрицы EVT. Он применяется к фактически собранным изделиям. Значение PASS допускается только после измерения по утверждённому пределу; незавершённая проверка остаётся NOT RUN. Испытание не подтверждает годность всей партии по одному образцу.</w:t>
      </w:r>
    </w:p>
    <w:p>
      <w:pPr>
        <w:pStyle w:val="Heading2"/>
        <w:spacing w:line="240" w:lineRule="auto" w:before="0" w:after="0"/>
        <w:ind w:firstLine="0"/>
        <w:jc w:val="both"/>
      </w:pPr>
      <w:r>
        <w:rPr>
          <w:rFonts w:ascii="Times New Roman" w:hAnsi="Times New Roman"/>
          <w:b/>
          <w:sz w:val="28"/>
        </w:rPr>
        <w:t>Управляемая конфигурация и выборка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Первый комплект состоит из 20 станций с предварительными печатными корпусами. Платы заказываются полными партиями: 22 PCB-MAIN, 22 PCB-PWR и 80 PCB-MIC PCBA, без паузы после первых образцов. Две MAIN и две PWR являются резервом, а 80 MIC составляют четыре модуля на каждую станцию. После выпуска партии углублённо проверяются два MAIN, два PWR и одна MIC или панель. Все 20 собранных станций проходят EOL. Для климатических, механических и энергетических проверок назначают не менее трёх инструментированных образцов согласно строкам матрицы; серийные номера и непригодность после разрушающих воздействий фиксируют заранее.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До панели получить выбранные заводом стеки и DFM для MAIN/PWR, а для MAIN подтверждение эпоксидного заполнения с медным закрытием всех 76 переходов, включая C6.1 и D11.1. Изменение Gerber, сверловки, BOM или координат требует ECO. PCB-MAIN используется в текущей трассировке: контролируемый импеданс и гарантия 50 Ом не заказывались.</w:t>
      </w:r>
    </w:p>
    <w:p>
      <w:pPr>
        <w:pStyle w:val="Heading2"/>
        <w:spacing w:line="240" w:lineRule="auto" w:before="0" w:after="0"/>
        <w:ind w:firstLine="0"/>
        <w:jc w:val="both"/>
      </w:pPr>
      <w:r>
        <w:rPr>
          <w:rFonts w:ascii="Times New Roman" w:hAnsi="Times New Roman"/>
          <w:b/>
          <w:sz w:val="28"/>
        </w:rPr>
        <w:t>М01 Конфигурация и входной контроль плат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Связанные строки: EVT-CM-01, EVT-MFG-01. Сверить SHA-256 исходной платы, Gerber, сверловки, BOM и монтажных координат с манифестом; зафиксировать стек ID, DFM, номер партии и заводской отчёт. Проверить 22/22/80 PCBAs, полярности, DNP и ориентацию, маркировку и AOI. Для PCB-MIC проверить отсутствие пасты и посторонних отверстий в акустическом порту; для MAIN сопоставить карту 76 POFV с заводским подтверждением. Критерий: идентичность документов и изделий без неразрешённого отклонения. Evidence: протокол приёмки, фото, отчёты фабрики, манифест и таблица серийных номеров.</w:t>
      </w:r>
    </w:p>
    <w:p>
      <w:pPr>
        <w:pStyle w:val="Heading2"/>
        <w:spacing w:line="240" w:lineRule="auto" w:before="0" w:after="0"/>
        <w:ind w:firstLine="0"/>
        <w:jc w:val="both"/>
      </w:pPr>
      <w:r>
        <w:rPr>
          <w:rFonts w:ascii="Times New Roman" w:hAnsi="Times New Roman"/>
          <w:b/>
          <w:sz w:val="28"/>
        </w:rPr>
        <w:t>М02 Питание, защита и энергосистема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Связанные строки: EVT-ELEC-01, EVT-PWR-01..04, EVT-ENE-01..03 и EVT-ENV-BATT-COLD. Использовать калиброванные источник питания, электронную нагрузку, осциллограф, токовый пробник и температурные датчики. Проверить полярность, предохранитель, токи S0..S4, переходы 3V8/3V3 при нагрузке и LTE/EGPRS burst, падение на реальном жгуте 18 AWG и защитные срабатывания. Проверить установленный RB40, MPPT SCC075010060R, датчик SBS050150200 и панель SLP080S-12M по IV, холодному Voc, обратному току и профилю заряда. Ниже 0 °C заряд LiFePO4 запрещён, если выбранная система не имеет отдельно утверждённого подогрева или режима низкотемпературного заряда.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Для EVT-PWR-01 контрольные точки U8 VBAT должны оставаться не ниже 3,3 В, а сопротивление RF пути при 25 °C - не выше 100 мОм, как указано в матрице. Остальные пределы берутся из подписанной спецификации питания и утверждённой модели автономности; без них соответствующая строка не получает PASS. Сохранить осциллограммы, IV-кривые, тепловые кадры, конфигурацию MPPT, калибровку приборов и расчёт 30-дневного безсолнечного режима с измеренными входами.</w:t>
      </w:r>
    </w:p>
    <w:p>
      <w:pPr>
        <w:pStyle w:val="Heading2"/>
        <w:spacing w:line="240" w:lineRule="auto" w:before="0" w:after="0"/>
        <w:ind w:firstLine="0"/>
        <w:jc w:val="both"/>
      </w:pPr>
      <w:r>
        <w:rPr>
          <w:rFonts w:ascii="Times New Roman" w:hAnsi="Times New Roman"/>
          <w:b/>
          <w:sz w:val="28"/>
        </w:rPr>
        <w:t>М03 Микрофонный тракт и акустический порт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Связанные строки: EVT-MIC-PORT-01, EVT-AAD-01, EVT-AUD-01..02. Проверить на всех 80 PCB-MIC AOI акустического порта Ø0,80 мм и монтажа MK1; выбранную плату или панель исследовать увеличением и функциональным PDM. На каждой станции проверить четыре канала, 1V8_MIC, PDM CLK/DATA, конфигурацию AAD и WAKE, задержку каналов и калиброванный акустический сигнал. Для инженерной выборки повторить при -40, +23 и +70 °C и на реальной длине жгута 275 ±5 мм; дополнительные длины 150 мм и плюс 20 % применять только как диагностический sweep. Измерить фронты, выбросы, ошибки DMA/PDM и помехи от LTE/LoRa.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Критерий: порт не перекрыт пастой, мембраной или заусенцем; все четыре канала обнаруживают тестовый сигнал и сохраняют согласованную геометрию 3+1. Pd/FAR, дальность, отрицательный набор и допуск задержек утверждаются до формального PASS. Evidence: фото каждого дефекта, AOI, осциллограммы, четырёхканальные записи, метаданные источника и протокол разметки.</w:t>
      </w:r>
    </w:p>
    <w:p>
      <w:pPr>
        <w:pStyle w:val="Heading2"/>
        <w:spacing w:line="240" w:lineRule="auto" w:before="0" w:after="0"/>
        <w:ind w:firstLine="0"/>
        <w:jc w:val="both"/>
      </w:pPr>
      <w:r>
        <w:rPr>
          <w:rFonts w:ascii="Times New Roman" w:hAnsi="Times New Roman"/>
          <w:b/>
          <w:sz w:val="28"/>
        </w:rPr>
        <w:t>М04 Радиотракты, антенны и PCB-MAIN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Связанные строки: EVT-MAIN-RF-01, EVT-RF-ANT-01, EVT-TIM-01, EVT-CELL-01..04, EVT-LORA-RU и EVT-BLE-01. На каждой станции сверить три отдельные антенны Taoglas G30.B.108111, AA.166.A.301111, TI.89.B.2111W и три CAB.0243, разъёмы U.FL/SMA, отсутствие пережатия и радиус изгиба кабеля не менее 6,8 мм. Измерить соединение и установленный VSWR/потери VNA, затем чувствительность LTE, GNSS и RU868, совместную работу передатчиков, GNSS/PPS и BLE. Для двух PCB-MAIN после полной партии отдельно снять частотные характеристики фактического RF пути.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PASS по RF возможен только по заранее утверждённым пределам потерь, VSWR, чувствительности и сосуществования. Отсутствие заказанного контролируемого импеданса не заменяется утверждением о 50 Ом по номинальной ширине дорожки. Evidence: калибровка VNA, S-параметры, схемы подключения, серийные номера антенн, RF-логи, спектры и конфигурация профиля RU868.</w:t>
      </w:r>
    </w:p>
    <w:p>
      <w:pPr>
        <w:pStyle w:val="Heading2"/>
        <w:spacing w:line="240" w:lineRule="auto" w:before="0" w:after="0"/>
        <w:ind w:firstLine="0"/>
        <w:jc w:val="both"/>
      </w:pPr>
      <w:r>
        <w:rPr>
          <w:rFonts w:ascii="Times New Roman" w:hAnsi="Times New Roman"/>
          <w:b/>
          <w:sz w:val="28"/>
        </w:rPr>
        <w:t>М05 Печатный корпус и механическая сборка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Связанные строки: EVT-MECH-3D, EVT-MECH-IM и условно EVT-MECH-VC. Первый лот 20 корпусов печатается по предварительным CAD-моделям. Измерить посадку PCB-MAIN, PCB-PWR, четырёх MIC-модулей, RB40, MPPT, солнечной панели, кабельных вводов и антенн; проверить момент затяжки, разгрузку жгутов, ориентацию акустических портов и доступ для обслуживания. На назначенных образцах выполнить вибрацию, удар, UV, дождь/пыль и проверку герметичности. Литьевые модели проверяются как исходные данные для DFM; EVT-MECH-VC имеет статус NOT APPLICABLE для первых 20, пока литьё не выбрано отдельно.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Цель корпуса - не ниже IP65, IP67 остаётся целевой характеристикой; практический PASS требует утверждённого метода и пределов для выбранной площадки. Предварительный CAD сам по себе не подтверждает посадку, прочность, герметичность или акустику. Evidence: протоколы размеров и момента, фото, материал/профиль печати, результаты воздействия и повтор EOL.</w:t>
      </w:r>
    </w:p>
    <w:p>
      <w:pPr>
        <w:pStyle w:val="Heading2"/>
        <w:spacing w:line="240" w:lineRule="auto" w:before="0" w:after="0"/>
        <w:ind w:firstLine="0"/>
        <w:jc w:val="both"/>
      </w:pPr>
      <w:r>
        <w:rPr>
          <w:rFonts w:ascii="Times New Roman" w:hAnsi="Times New Roman"/>
          <w:b/>
          <w:sz w:val="28"/>
        </w:rPr>
        <w:t>М06 Прошивка, связь, сервер и безопасность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Связанные строки: EVT-CELL-02..04, EVT-OTA-01, EVT-SRV-01..02. На всех 20 станциях проверить обычные SIM с утверждённым публичным APN, TLS, сохранение очереди при потере связи, безопасное переключение Dual SIM, подписанное обновление с прерыванием и откатом. Серверный replay, моделирование 20 станций и полевую работу учитывать раздельно. Отрицательные тесты не должны приводить к неподписанной загрузке, потере идентичности или дублированию подтверждённых событий. Evidence: журналы устройства и сервера, версии прошивки/модели, сетевые трассы, хеши и протоколы отказов.</w:t>
      </w:r>
    </w:p>
    <w:p>
      <w:pPr>
        <w:pStyle w:val="Heading2"/>
        <w:spacing w:line="240" w:lineRule="auto" w:before="0" w:after="0"/>
        <w:ind w:firstLine="0"/>
        <w:jc w:val="both"/>
      </w:pPr>
      <w:r>
        <w:rPr>
          <w:rFonts w:ascii="Times New Roman" w:hAnsi="Times New Roman"/>
          <w:b/>
          <w:sz w:val="28"/>
        </w:rPr>
        <w:t>М07 Полевая акустика и итоговое решение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Связанные строки: EVT-AUD-02 и EVT-SYS-01. До поля зафиксировать площадку, геометрию станций, положительный и отрицательный набор, подтверждение источника, дистанции, погоду, Pd/FAR, latency и правила UNKNOWN. Не допускать перетекания одного вылета или исходной записи между обучением и проверкой. Сопоставить сырые записи, события станции и серверные решения; отдельно учитывать пропуски, ложные тревоги и интервалы отсутствия связи.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По каждой строке матрицы записать PASS, CONDITIONAL, FAIL, NOT RUN или NOT APPLICABLE с основанием. Открытый blocker/critical исключает общий PASS. CONDITIONAL требует принятого заказчиком отклонения с владельцем и сроком. Все первичные файлы перечислить с SHA-256, прибором, калибровкой, оператором и серийным номером; независимый проверяющий подписывает итоговую форму. Неподтверждённые пределы и отсутствующие измерения остаются NOT RUN.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