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color w:val="000000"/>
        </w:rPr>
        <w:t>Альтернативный акустический тракт Дионея для дальности от 2 км</w:t>
      </w:r>
    </w:p>
    <w:p>
      <w:pPr>
        <w:jc w:val="center"/>
      </w:pPr>
      <w:r>
        <w:rPr>
          <w:b/>
          <w:sz w:val="22"/>
        </w:rPr>
        <w:t>Инженерное сравнение первичной акустики и план физического прототипа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3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9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Документ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EVT_PRE_20_LONG_RANGE_ACOUSTIC_HEAD_TRADE_STUDY_REV_B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7"/>
              </w:rPr>
              <w:t>Ревизия и дата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7"/>
              </w:rPr>
              <w:t>Rev B, 27.10.2026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Исходная конфигурация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4 × TDK T5838, геометрия 3+1, максимальная база 0,165 м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7"/>
              </w:rPr>
              <w:t>Статус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7"/>
              </w:rPr>
              <w:t>Инженерное исследование. Производственная конфигурация не изменена</w:t>
            </w:r>
          </w:p>
        </w:tc>
      </w:tr>
    </w:tbl>
    <w:p>
      <w:pPr>
        <w:spacing w:after="0"/>
      </w:pPr>
    </w:p>
    <w:p>
      <w:pPr>
        <w:jc w:val="both"/>
      </w:pPr>
      <w:r>
        <w:rPr>
          <w:b/>
        </w:rPr>
        <w:t xml:space="preserve">Главный вывод. </w:t>
      </w:r>
      <w:r>
        <w:t>Текущая четырёхмикрофонная головка T5838 подходит для малопотребляющего дежурного режима, распознавания в достижимом диапазоне и оценки направления. Она не даёт физического основания обещать единую дальность 2 км для всех БПЛА. Дальность зависит от измеренного спектра и уровня конкретной цели: электрической, поршневой, роторной, винтовой или турбинной. Для дальней работы нужен отдельный крупноапертурный тракт с низким собственным шумом, выраженной направленностью и полноценной ветрозащитой. Существующий узел следует сохранить как резервный и как AAD-датчик.</w:t>
      </w:r>
    </w:p>
    <w:p>
      <w:pPr>
        <w:pStyle w:val="Heading1"/>
      </w:pPr>
      <w:r>
        <w:t>1 Что ограничивает дальность</w:t>
      </w:r>
    </w:p>
    <w:p>
      <w:r>
        <w:t>На расстоянии 2 км только сферическое расхождение даёт 66,0 дБ потерь относительно уровня на 1 м. Поглощение воздуха добавляет потери, которые быстро растут с частотой. Расчёт ниже выполнен для 15 °C, относительной влажности 70 % и давления 101,325 кПа. Он не учитывает землю, растительность, здания, ветровой и температурный градиенты, поэтому является оптимистичной свободнополевой оценкой.</w:t>
      </w:r>
    </w:p>
    <w:p>
      <w:r>
        <w:drawing>
          <wp:inline xmlns:a="http://schemas.openxmlformats.org/drawingml/2006/main" xmlns:pic="http://schemas.openxmlformats.org/drawingml/2006/picture">
            <wp:extent cx="6035040" cy="3299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oustic_path_loss_2km_rev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Рисунок 1. Расчётные потери распространения на 2 км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96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Частота, Гц</w:t>
            </w:r>
          </w:p>
        </w:tc>
        <w:tc>
          <w:tcPr>
            <w:tcW w:type="dxa" w:w="147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Поглощение за 2 км, дБ</w:t>
            </w:r>
          </w:p>
        </w:tc>
        <w:tc>
          <w:tcPr>
            <w:tcW w:type="dxa" w:w="124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Полные потери, дБ</w:t>
            </w:r>
          </w:p>
        </w:tc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При 70 дБ SPL на 1 м</w:t>
            </w:r>
          </w:p>
        </w:tc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При 85 дБ SPL на 1 м</w:t>
            </w:r>
          </w:p>
        </w:tc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При 100 дБ SPL на 1 м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0.5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66.5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3.5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18.5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33.5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250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2.2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68.3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1.7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16.7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31.7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500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4.7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70.7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-0.7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14.3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29.3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8.2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74.2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-4.2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10.8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25.8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2000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17.6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83.6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-13.6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1.4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16.4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4000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53.2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119.2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-49.2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-34.2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-19.2</w:t>
            </w:r>
          </w:p>
        </w:tc>
      </w:tr>
    </w:tbl>
    <w:p>
      <w:pPr>
        <w:spacing w:after="0"/>
      </w:pPr>
    </w:p>
    <w:p>
      <w:r>
        <w:t>Уровни 70, 85 и 100 дБ SPL в таблице являются расчётными сценариями, а не присвоенными классам БПЛА характеристиками. В полевом исследовании малых DJI авторы указали уровни не выше 70 дБ SPL на 1 м. Это один частный класс целей и нижний сценарий, а не база для всей системы. При таком источнике свободнополевая оценка на 2 км оказывается около 3,5 дБ SPL на 100 Гц и ниже нуля в среднем и высокочастотном диапазоне. Ни один алгоритм не восстановит сигнал, которого нет над физическим шумом микрофона и площадки.</w:t>
      </w:r>
    </w:p>
    <w:p>
      <w:pPr>
        <w:pStyle w:val="Heading1"/>
      </w:pPr>
      <w:r>
        <w:t>2 Классы целей и физические полосы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Класс цели</w:t>
            </w:r>
          </w:p>
        </w:tc>
        <w:tc>
          <w:tcPr>
            <w:tcW w:type="dxa" w:w="24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Физический источник</w:t>
            </w:r>
          </w:p>
        </w:tc>
        <w:tc>
          <w:tcPr>
            <w:tcW w:type="dxa" w:w="289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Полоса для первичного поиска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Что фиксировать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Малый электрический мультикоптер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Винты, электромоторы и регуляторы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Тональные линии и гармоники от низких сотен герц до нескольких килогерц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Спектр на 1 м, режим висения и пролёта, число и геометрия винтов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Крупный электрический аппарат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Крупные винты, несколько приводов и аэродинамический шум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Низкие гармоники плюс среднечастотная гребёнка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Спектр по режимам тяги, курс и высоту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Поршневой или роторный аппарат с ДВС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Выхлоп, двигатель, редуктор, винт или несущий ротор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Сильные низкие и средние гармоники, механический широкополосный фон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Тип двигателя, частоту вращения, нагрузку и выхлоп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Самолётного типа с винтом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Винт, двигатель и обтекание планера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Низкая частота прохождения лопастей и её гармоники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Режим набора, крейсерский пролёт, ракурс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Турбинный или реактивный аппарат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Турбомашина и струйный широкополосный шум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Средняя и высокая полоса при высоком исходном уровне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Спектр и уровень для каждого режима, атмосферное поглощение по частоте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Ложные источники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Транспорт, генераторы, техника, ветер и биологические источники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Перекрывает полосы всех целевых классов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Одновременные фоновые записи на каждой площадке</w:t>
            </w:r>
          </w:p>
        </w:tc>
      </w:tr>
    </w:tbl>
    <w:p>
      <w:pPr>
        <w:spacing w:after="0"/>
      </w:pPr>
    </w:p>
    <w:p>
      <w:r>
        <w:t>Требование дальности задаётся не названием аппарата, а минимальным третьоктавным или узкополосным спектром звукового давления на 1 м для каждого режима. Один аппарат может перейти между несколькими акустическими состояниями при висении, разгоне, наборе высоты и пролёте. Приёмная головка поэтому должна сочетать низкочастотную апертуру, среднечастотные рупорные сектора и широкополосный контрольный канал.</w:t>
      </w:r>
    </w:p>
    <w:p>
      <w:pPr>
        <w:pStyle w:val="Heading1"/>
      </w:pPr>
      <w:r>
        <w:t>3 Оценка текущего T5838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243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Текущее значение</w:t>
            </w:r>
          </w:p>
        </w:tc>
        <w:tc>
          <w:tcPr>
            <w:tcW w:type="dxa" w:w="521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Следствие для дальности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Количество и геометрия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 канала, 3+1, база 0,165 м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Почти нет пространственной направленности в полосе 100–500 Гц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T5838 High Quality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SNR 68 дБА, EIN 26 дБА SPL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Собственный шум заметно выше, чем у профессиональных направленных микрофонов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T5838 Low Power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SNR 65 дБА, EIN 29 дБА SPL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Режим подходит для дежурного обнаружения, но ухудшает слабосигнальный запас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Физическая диаграмма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Капсюль всенаправленный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Подавление бокового шума возможно только за счёт массива и обработки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Преимущества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AAD 20 мкА, PDM, −40…+85 °C, высокий AOP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Полезны для автономности, самоконтроля и резервного канала</w:t>
            </w:r>
          </w:p>
        </w:tc>
      </w:tr>
    </w:tbl>
    <w:p>
      <w:pPr>
        <w:spacing w:after="0"/>
      </w:pPr>
    </w:p>
    <w:p>
      <w:r>
        <w:t>Четыре одинаковых канала дают не более 6 дБ идеального выигрыша при когерентном сложении сигнала и некоррелированном собственном шуме. Это верхняя оценка второго уровня. Она не устраняет слабость первичного акустического тракта и падает при коррелированном ветровом или площадочном шуме.</w:t>
      </w:r>
    </w:p>
    <w:p>
      <w:pPr>
        <w:pStyle w:val="Heading1"/>
      </w:pPr>
      <w:r>
        <w:t>4 Кандидаты микрофонов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58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Кандидат</w:t>
            </w:r>
          </w:p>
        </w:tc>
        <w:tc>
          <w:tcPr>
            <w:tcW w:type="dxa" w:w="272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Физика и шум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Среда и интерфейс</w:t>
            </w:r>
          </w:p>
        </w:tc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Роль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TDK T5838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68 дБА SNR, 26 дБА EIN, всенаправленный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PDM, AAD, −40…+85 °C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Сохранить как дежурный и резервный канал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Infineon IM73D122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73 дБА SNR, эквивалентно около 21 дБА EIN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PDM, IP57 на уровне компонента, 20 Гц LFRO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Прямая MEMS-альтернатива, примерно 5 дБ к собственному шуму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Infineon IM73A135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73 дБА SNR, 20 Гц LFRO, всенаправленный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Дифференциальный аналоговый выход, IP57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Распределённый крупноапертурный массив и резонаторные кассеты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RØDE NTG5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Направленный, 10 дБА self-noise, 66 мВ/Па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P48, RF-bias, conformal coating, длина 203 мм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Основной кандидат физического прототипа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Sennheiser MKH 416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Суперкардиоида и лепесток, 13 дБА, 25 мВ/Па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P48, устойчив к влажности, −10…+70 °C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Уличный эталон, температурный диапазон проекта не закрыт</w:t>
            </w:r>
          </w:p>
        </w:tc>
      </w:tr>
    </w:tbl>
    <w:p>
      <w:pPr>
        <w:spacing w:after="0"/>
      </w:pPr>
    </w:p>
    <w:p>
      <w:r>
        <w:t>Переход от T5838 к IM73D122 или IM73A135 улучшает собственный шум примерно на 5 дБ, но сам по себе не создаёт направленность. Профессиональный NTG5 даёт около 16 дБ разницы по A-взвешенному собственному шуму относительно T5838 и сразу формирует направленную диаграмму. Это сравнение паспортных метрик, а не гарантия такого же выигрыша в ветреном поле. Для итогового выбора требуется одновременная запись на одной площадке.</w:t>
      </w:r>
    </w:p>
    <w:p>
      <w:pPr>
        <w:pStyle w:val="Heading1"/>
      </w:pPr>
      <w:r>
        <w:t>5 Физические варианты усиления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5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Вариант</w:t>
            </w:r>
          </w:p>
        </w:tc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Механизм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Полезная полоса</w:t>
            </w:r>
          </w:p>
        </w:tc>
        <w:tc>
          <w:tcPr>
            <w:tcW w:type="dxa" w:w="238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Ограничение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Решение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8 направленных микрофонов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Собственная секторная диаграмма и низкий шум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Ориентировочно 300–2500 Гц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Нужны перекрывающиеся сектора и крупная ветрозащита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Основной прототип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Массив 1,2–2 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Большая физическая база для низких частот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Ориентировочно 100–1200 Гц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Направленность получается после синхронного сложения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Второй приоритет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Парабола 0,6 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Фокусировка апертурой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Практически от 500 Гц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Узкий сектор, ветер, фазовая нестабильность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Вспомогательный дальний канал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Конический рупор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Плавное согласование давления от раскрыва к горлу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Размер-зависимая широкая полоса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Осесимметричная диаграмма, большая глубина и ветровой шум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Секторный эталон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Пирамидальный рупор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Раздельное управление горизонтальным и вертикальным раскрывом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Размер-зависимая широкая полоса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Дифракция на рёбрах, моды и неравномерность АЧХ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Основной рупорный прототип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Банк резонаторов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Рост давления в узких полосах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Расчётные центры 100–1000 Гц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Звон, узкая полоса, чувствительность к воде и температуре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Экспериментальный низкочастотный канал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Гитароподобный корпус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Набор механических и воздушных резонансов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Зависит от формы и материала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Неровная АЧХ и нестабильная фаза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Не принимать без FEM и натурной калибровки</w:t>
            </w:r>
          </w:p>
        </w:tc>
      </w:tr>
    </w:tbl>
    <w:p>
      <w:pPr>
        <w:spacing w:after="0"/>
      </w:pPr>
    </w:p>
    <w:p>
      <w:pPr>
        <w:pStyle w:val="Heading1"/>
      </w:pPr>
      <w:r>
        <w:t>6 Конические и пирамидальные рупоры</w:t>
      </w:r>
    </w:p>
    <w:p>
      <w:r>
        <w:t>Коническое или пирамидальное расширение следует рассматривать прежде всего как приёмный рупор, то есть акустический трансформатор между большим раскрывом и малым горлом с микрофоном. Такой тракт повышает звуковое давление до преобразования в электрический сигнал и формирует секторную диаграмму. В отличие от одиночного резонатора его можно сделать существенно шире по полосе, если подавить стоячие волны и не использовать горло как жёстко закрытую высокодобротную камеру.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Профиль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Преимущество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Ограничение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Применение в LR-1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Конический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Осесимметричная диаграмма и удобная математическая модель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Одинаковая ширина сектора по азимуту и углу места, неудобная круговая укладка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Контрольный модуль с раскрывом 0,6–0,8 м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Пирамидальный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Плоские панели и независимый горизонтальный и вертикальный раскрыв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Кромочная дифракция и разные моды в двух плоскостях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Основной сектор 0,8 × 0,4–0,6 м с широким углом места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Экспоненциальный или близкий к нему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Лучшее согласование в заданной полосе и большой рост давления у горла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Ниже расчётной границы усиление быстро падает, профиль сложнее изготовить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Вторая вставка в тот же корпус для сравнительного испытания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Кассета сужающихся четвертьволновых каналов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Перекрывающиеся резонансы в выбранных низких полосах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Групповая задержка, звон и зависимость от воды и температуры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Отдельный вспомогательный канал 100–800 Гц</w:t>
            </w:r>
          </w:p>
        </w:tc>
      </w:tr>
    </w:tbl>
    <w:p>
      <w:pPr>
        <w:spacing w:after="0"/>
      </w:pPr>
    </w:p>
    <w:p>
      <w:r>
        <w:t>Линейное сужение не отменяет длину волны. На 100 Гц длина волны около 3,43 м, на 250 Гц около 1,37 м, на 500 Гц около 0,69 м и на 1 кГц около 0,34 м. Раскрыв 0,6–0,8 м может дать полезную направленность в средней полосе, но не станет компактным узким лучом на 100–250 Гц. Эту часть спектра лучше принимать массивом с базой 1,5–2 м и низким собственным шумом.</w:t>
      </w:r>
    </w:p>
    <w:p>
      <w:r>
        <w:t>Для первой механической пары предлагаются конический модуль с диаметром раскрыва 0,7 м и пирамидальный модуль с раскрывом около 0,8 × 0,5 м. Длину 0,8–1,2 м, горло 30–60 мм и внутреннее демпфирование следует уточнить после численной модели и импедансного макета. Эти размеры являются геометрией прототипа, а не замороженным производственным чертежом.</w:t>
      </w:r>
    </w:p>
    <w:p>
      <w:pPr>
        <w:pStyle w:val="Heading2"/>
      </w:pPr>
      <w:r>
        <w:t>7 Параболические отражатели</w:t>
      </w:r>
    </w:p>
    <w:p>
      <w:r>
        <w:t>Идеальная оценка апертурного выигрыша отражателя диаметром 0,6 м при эффективности 0,5 составляет около 0 дБ на 250 Гц, 5,8 дБ на 500 Гц, 11,8 дБ на 1 кГц и 17,8 дБ на 2 кГц. Реальная конструкция будет хуже. На 2 кГц атмосферное поглощение за 2 км в принятом сценарии составляет около 17,6 дБ, поэтому высокий апертурный выигрыш в этой полосе в основном компенсирует только поглощение воздуха. На 500–1000 Гц отражатель имеет более полезный баланс, но остаётся секторным устройством.</w:t>
      </w:r>
    </w:p>
    <w:p>
      <w:r>
        <w:t>Полевое исследование 2025 года показало сильную осевую дальность 18-дюймовой параболы с NTG-2, но также отметило чувствительность к порывам, узкое частотно-зависимое поле и проблемы межканальной фазы. Поэтому отражатель предлагается как вспомогательный канал после общего обнаружения, а не как единственный круговой датчик.</w:t>
      </w:r>
    </w:p>
    <w:p>
      <w:pPr>
        <w:pStyle w:val="Heading2"/>
      </w:pPr>
      <w:r>
        <w:t>8 Резонаторный банк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Центральная частота, Гц</w:t>
            </w:r>
          </w:p>
        </w:tc>
        <w:tc>
          <w:tcPr>
            <w:tcW w:type="dxa" w:w="24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Номинальная четверть волны, м</w:t>
            </w:r>
          </w:p>
        </w:tc>
        <w:tc>
          <w:tcPr>
            <w:tcW w:type="dxa" w:w="45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Примечание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0.858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0.536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250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0.343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400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0.214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630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0.136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0.086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6"/>
              </w:rPr>
              <w:t>Требуется поправка на открытый конец и демпфирование</w:t>
            </w:r>
          </w:p>
        </w:tc>
      </w:tr>
    </w:tbl>
    <w:p>
      <w:pPr>
        <w:spacing w:after="0"/>
      </w:pPr>
    </w:p>
    <w:p>
      <w:r>
        <w:t>Один резонатор не даст широкополосного усиления. Практический вариант представляет собой кассету из нескольких труб или камер с перекрывающимися резонансами и умеренным Q. Микрофон ставится в зоне максимума давления. Резонатор повышает давление относительно собственного шума капсюля только в своей полосе, но не отделяет цель от внешнего шума той же частоты и направления. Такой канал полезен для физических предфильтров гармоник, однако не должен заменять широкополосную головку.</w:t>
      </w:r>
    </w:p>
    <w:p>
      <w:pPr>
        <w:pStyle w:val="Heading1"/>
      </w:pPr>
      <w:r>
        <w:t>9 Рекомендуемый прототип</w:t>
      </w:r>
    </w:p>
    <w:p>
      <w:r>
        <w:drawing>
          <wp:inline xmlns:a="http://schemas.openxmlformats.org/drawingml/2006/main" xmlns:pic="http://schemas.openxmlformats.org/drawingml/2006/picture">
            <wp:extent cx="5212080" cy="5212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mended_acoustic_head_layout_rev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Рисунок 2. Компоновка прототипа LR-1</w:t>
      </w:r>
    </w:p>
    <w:p>
      <w:pPr>
        <w:pStyle w:val="ListNumber"/>
      </w:pPr>
      <w:r>
        <w:t>Сохранить четыре штатных T5838 без изменения как AAD, резерв и контроль совместимости с EVT-PRE-20.</w:t>
      </w:r>
    </w:p>
    <w:p>
      <w:pPr>
        <w:pStyle w:val="ListNumber"/>
      </w:pPr>
      <w:r>
        <w:t>Собрать LR-1 как трёхполосную физическую головку: крупноапертурный массив для 80–400 Гц, секторные рупоры для ориентировочно 250–1500 Гц и направленные микрофоны для средней и высокой полосы.</w:t>
      </w:r>
    </w:p>
    <w:p>
      <w:pPr>
        <w:pStyle w:val="ListNumber"/>
      </w:pPr>
      <w:r>
        <w:t>Изготовить один конический и один пирамидальный рупор с одинаковым микрофоном и предусилителем. Сравнить их с NTG5 и NTG-2 с WS6 до размножения секторов.</w:t>
      </w:r>
    </w:p>
    <w:p>
      <w:pPr>
        <w:pStyle w:val="ListNumber"/>
      </w:pPr>
      <w:r>
        <w:t>Разместить четыре канала нижнего яруса по азимутам 0°, 90°, 180° и 270° с наклоном около 10°. Верхний ярус повернуть на 45° и наклонить на 40–45°. Окончательные углы определить измеренной диаграммой, а не геометрическим эскизом.</w:t>
      </w:r>
    </w:p>
    <w:p>
      <w:pPr>
        <w:pStyle w:val="ListNumber"/>
      </w:pPr>
      <w:r>
        <w:t>Использовать кольцо диаметром около 1,2 м как начальный механический вариант. Предусмотреть сменные штанги до 2 м для проверки низкочастотной апертуры и не требовать от рупоров узкой диаграммы ниже их физической рабочей полосы.</w:t>
      </w:r>
    </w:p>
    <w:p>
      <w:pPr>
        <w:pStyle w:val="ListNumber"/>
      </w:pPr>
      <w:r>
        <w:t>Каждый микрофон установить в полноценную корзинную ветрозащиту с внешним мехом, дренажом и развязкой от вибрации мачты. Тонкий поролон не считать достаточным для дальнего тракта.</w:t>
      </w:r>
    </w:p>
    <w:p>
      <w:pPr>
        <w:pStyle w:val="ListNumber"/>
      </w:pPr>
      <w:r>
        <w:t>Отдельно изготовить отражатель 0,6 м и кассету сужающихся четвертьволновых каналов 100–800 Гц. Все физические варианты сравнить одновременно в одном секторе, после чего выбирать конструкцию кругового покрытия.</w:t>
      </w:r>
    </w:p>
    <w:p>
      <w:pPr>
        <w:pStyle w:val="ListNumber"/>
      </w:pPr>
      <w:r>
        <w:t>Первую серию записывать автономным синхронным 8-канальным трактом 24 бит. Подключение к PCB-MAIN проектировать только после выбора физической головки.</w:t>
      </w:r>
    </w:p>
    <w:p>
      <w:pPr>
        <w:pStyle w:val="Heading1"/>
      </w:pPr>
      <w:r>
        <w:t>10 Почему не следует сразу менять PCB-MIC</w:t>
      </w:r>
    </w:p>
    <w:p>
      <w:pPr>
        <w:pStyle w:val="ListBullet"/>
      </w:pPr>
      <w:r>
        <w:t>T5838 обеспечивает AAD и температурный диапазон, которых нет в той же форме у профессиональных shotgun-микрофонов.</w:t>
      </w:r>
    </w:p>
    <w:p>
      <w:pPr>
        <w:pStyle w:val="ListBullet"/>
      </w:pPr>
      <w:r>
        <w:t>Результат на 2 км определяется источником, ветром и площадкой сильнее, чем разницей между двумя MEMS на 5 дБ.</w:t>
      </w:r>
    </w:p>
    <w:p>
      <w:pPr>
        <w:pStyle w:val="ListBullet"/>
      </w:pPr>
      <w:r>
        <w:t>Направленная головка требует другого питания, балансного аналогового тракта или локального АЦП, защиты от импульсов и новой механики.</w:t>
      </w:r>
    </w:p>
    <w:p>
      <w:pPr>
        <w:pStyle w:val="ListBullet"/>
      </w:pPr>
      <w:r>
        <w:t>Рупоры, парабола и резонаторы изменяют фазу и АЧХ. Их нельзя вводить в серийный пеленг без индивидуальной калибровки.</w:t>
      </w:r>
    </w:p>
    <w:p>
      <w:r>
        <w:t>Поэтому текущий EVT-PRE-20 остаётся базовым изделием. LR-1 оформляется как параллельный экспериментальный акустический модуль. После полевых данных можно выпустить PCB-MIC-LR и обновить корпус без риска задержать первую EVT-партию.</w:t>
      </w:r>
    </w:p>
    <w:p>
      <w:pPr>
        <w:pStyle w:val="Heading1"/>
      </w:pPr>
      <w:r>
        <w:t>11 Программа физической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Что измерять</w:t>
            </w:r>
          </w:p>
        </w:tc>
        <w:tc>
          <w:tcPr>
            <w:tcW w:type="dxa" w:w="27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Условия</w:t>
            </w:r>
          </w:p>
        </w:tc>
        <w:tc>
          <w:tcPr>
            <w:tcW w:type="dxa" w:w="26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Лаборатория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АЧХ, собственный шум, диаграмма, фазовая стабильность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80–3000 Гц, 12 азимутов, 3 уровня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Калибровочные файлы каждого канала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Ветер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Шум 20–500 Гц, импульсы, клиппинг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0–2, 2–5 и 5–8 м/с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Сравнение ветрозащит и механической развязки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Дальность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Сырой узкополосный SNR и спектр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50, 100, 250, 500, 1000 и 2000 м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Кривая SNR по частоте и расстоянию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Реальные цели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Первое обнаружение, пропуски, зависимость от курса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Электрические, поршневые, роторные, винтовые и турбинные цели; трек фиксируется заранее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5"/>
              </w:rPr>
              <w:t>Pd и дальность отдельно по классу, режиму и погоде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5"/>
              </w:rPr>
              <w:t>Сравнение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T5838, NTG-2, NTG5, конический и пирамидальный рупоры, парабола, резонатор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Одновременная запись на одной мачте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Физический выигрыш без смены алгоритма</w:t>
            </w:r>
          </w:p>
        </w:tc>
      </w:tr>
    </w:tbl>
    <w:p>
      <w:pPr>
        <w:spacing w:after="0"/>
      </w:pPr>
    </w:p>
    <w:p>
      <w:r>
        <w:t>Главная метрика первого этапа представляет собой разницу сырого SNR в одних и тех же временных и частотных окнах. Один алгоритм применяется ко всем каналам без отдельной подстройки. Только после этого сравниваются классификация и пеленг.</w:t>
      </w:r>
    </w:p>
    <w:p>
      <w:pPr>
        <w:pStyle w:val="Heading1"/>
      </w:pPr>
      <w:r>
        <w:t>12 Условие честной гарантии 2 км</w:t>
      </w:r>
    </w:p>
    <w:p>
      <w:r>
        <w:t>Гарантию нельзя задавать одной цифрой дальности. Перед фиксацией требования надо указать минимальный спектр источника на 1 м для каждого класса цели, допустимую скорость ветра, тип местности, температуру, влажность, высоту цели, сектор обзора, вероятность обнаружения и частоту ложных тревог. Без этих границ формулировка «2 км» остаётся пожеланием, а не проверяемым требованием.</w:t>
      </w:r>
    </w:p>
    <w:p>
      <w:r>
        <w:t>Для тихих целей со сценарием порядка 70 дБ SPL на 1 м расчёт показывает отсутствие достаточного физического запаса на 2 км даже при очень хорошем капсюле. Для более громких электрических, поршневых, роторных, винтовых или турбинных аппаратов задача может быть достижима в тех полосах, где у источника есть устойчивые гармоники или широкополосный запас, а атмосферные потери ещё допустимы. Надёжность сети следует повышать также плотностью расстановки станций. Это уменьшает зависимость от одной двухкилометровой акустической трассы и атмосферных теневых зон.</w:t>
      </w:r>
    </w:p>
    <w:p>
      <w:pPr>
        <w:pStyle w:val="Heading1"/>
      </w:pPr>
      <w:r>
        <w:t>13 Решение для следующего шага</w:t>
      </w:r>
    </w:p>
    <w:p>
      <w:r>
        <w:rPr>
          <w:b/>
        </w:rPr>
        <w:t xml:space="preserve">Предлагается утвердить не замену T5838, а изготовление физического прототипа LR-1. </w:t>
      </w:r>
      <w:r>
        <w:t>Состав первого стенда: низкочастотный массив с базой до 2 м, один конический и один пирамидальный рупор, NTG5 или доступный NTG-2 с профессиональной ветрозащитой, отражатель 0,6 м, кассета резонаторов и независимый синхронный рекордер. После одновременных измерений по нескольким классам целей принимается решение между рупорной секторной головкой, крупноапертурным массивом и гибридом.</w:t>
      </w:r>
    </w:p>
    <w:p>
      <w:pPr>
        <w:pStyle w:val="Heading1"/>
        <w:spacing w:before="120" w:after="60"/>
      </w:pPr>
      <w:r>
        <w:t>14 Источники</w:t>
      </w:r>
    </w:p>
    <w:p>
      <w:pPr>
        <w:spacing w:after="20" w:line="240" w:lineRule="auto"/>
        <w:ind w:left="283" w:hanging="283"/>
      </w:pPr>
      <w:r>
        <w:rPr>
          <w:sz w:val="15"/>
        </w:rPr>
        <w:t>[1] TDK InvenSense T5838 product page and DS-000383 datasheet: https://www.invensense.tdk.com/en-us/products/microphone/t5838</w:t>
      </w:r>
    </w:p>
    <w:p>
      <w:pPr>
        <w:spacing w:after="20" w:line="240" w:lineRule="auto"/>
        <w:ind w:left="283" w:hanging="283"/>
      </w:pPr>
      <w:r>
        <w:rPr>
          <w:sz w:val="15"/>
        </w:rPr>
        <w:t>[2] Infineon IM73D122 product data: https://www.infineon.com/part/IM73D122</w:t>
      </w:r>
    </w:p>
    <w:p>
      <w:pPr>
        <w:spacing w:after="20" w:line="240" w:lineRule="auto"/>
        <w:ind w:left="283" w:hanging="283"/>
      </w:pPr>
      <w:r>
        <w:rPr>
          <w:sz w:val="15"/>
        </w:rPr>
        <w:t>[3] Infineon IM73A135 datasheet: https://www.infineon.com/assets/row/public/documents/24/49/infineon-im73a135-datasheet-en.pdf</w:t>
      </w:r>
    </w:p>
    <w:p>
      <w:pPr>
        <w:spacing w:after="20" w:line="240" w:lineRule="auto"/>
        <w:ind w:left="283" w:hanging="283"/>
      </w:pPr>
      <w:r>
        <w:rPr>
          <w:sz w:val="15"/>
        </w:rPr>
        <w:t>[4] RØDE NTG5 specifications: https://rode.com/en-us/products/ntg5</w:t>
      </w:r>
    </w:p>
    <w:p>
      <w:pPr>
        <w:spacing w:after="20" w:line="240" w:lineRule="auto"/>
        <w:ind w:left="283" w:hanging="283"/>
      </w:pPr>
      <w:r>
        <w:rPr>
          <w:sz w:val="15"/>
        </w:rPr>
        <w:t>[5] Sennheiser MKH 416 specifications: https://docs.cloud.sennheiser.com/en-us/mkh-416-mkh-418-s/specs-mkh-416.html</w:t>
      </w:r>
    </w:p>
    <w:p>
      <w:pPr>
        <w:spacing w:after="20" w:line="240" w:lineRule="auto"/>
        <w:ind w:left="283" w:hanging="283"/>
      </w:pPr>
      <w:r>
        <w:rPr>
          <w:sz w:val="15"/>
        </w:rPr>
        <w:t>[6] Jekateryńczuk G., Piotrowski Z. Outdoor Microphone Range Tests and Spectral Analysis of UAV Acoustic Signatures for Array Development. Sensors 2025, 25, 7057: https://pmc.ncbi.nlm.nih.gov/articles/PMC12656299/</w:t>
      </w:r>
    </w:p>
    <w:p>
      <w:pPr>
        <w:spacing w:after="20" w:line="240" w:lineRule="auto"/>
        <w:ind w:left="283" w:hanging="283"/>
      </w:pPr>
      <w:r>
        <w:rPr>
          <w:sz w:val="15"/>
        </w:rPr>
        <w:t>[7] NASA atmospheric propagation relation and absorption discussion: https://ntrs.nasa.gov/api/citations/19750024046/downloads/19750024046.pdf</w:t>
      </w:r>
    </w:p>
    <w:p>
      <w:pPr>
        <w:spacing w:after="20" w:line="240" w:lineRule="auto"/>
        <w:ind w:left="283" w:hanging="283"/>
      </w:pPr>
      <w:r>
        <w:rPr>
          <w:sz w:val="15"/>
        </w:rPr>
        <w:t>[8] Meissner M. The response of Helmholtz resonator to external excitation. Archives of Acoustics: https://acoustics.ippt.pan.pl/index.php/aa/article/view/471</w:t>
      </w:r>
    </w:p>
    <w:p>
      <w:pPr>
        <w:spacing w:after="20" w:line="240" w:lineRule="auto"/>
        <w:ind w:left="283" w:hanging="283"/>
      </w:pPr>
      <w:r>
        <w:rPr>
          <w:sz w:val="15"/>
        </w:rPr>
        <w:t>[9] Mennitt D. J., Fristrup K. M., Notaros B. M. Characterization of gain and directivity of exponential horn receivers. JASA 142, 3257–3266: https://www.engr.colostate.edu/~notaros/Papers/JASA_Acoustic_Horns.pdf</w:t>
      </w:r>
    </w:p>
    <w:p>
      <w:pPr>
        <w:spacing w:after="20" w:line="240" w:lineRule="auto"/>
        <w:ind w:left="283" w:hanging="283"/>
      </w:pPr>
      <w:r>
        <w:rPr>
          <w:sz w:val="15"/>
        </w:rPr>
        <w:t>[10] Kim K., Kim Y. Monaural sound localization based on structure-induced acoustic resonance. Sensors 2015, 15, 3872–3895: https://pubmed.ncbi.nlm.nih.gov/25668214/</w:t>
      </w:r>
    </w:p>
    <w:p>
      <w:pPr>
        <w:spacing w:after="20" w:line="240" w:lineRule="auto"/>
        <w:ind w:left="283" w:hanging="283"/>
      </w:pPr>
      <w:r>
        <w:rPr>
          <w:sz w:val="15"/>
        </w:rPr>
        <w:t>[11] Darras K. F. A. et al. Assembling cheap, high-performance microphones for recording terrestrial wildlife. F1000Research: https://f1000research.com/articles/7-1984</w:t>
      </w:r>
    </w:p>
    <w:p>
      <w:pPr>
        <w:pStyle w:val="Heading1"/>
      </w:pPr>
      <w:r>
        <w:t>Приложение А Карта измерения акустической цели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481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Обязательные данные</w:t>
            </w:r>
          </w:p>
        </w:tc>
        <w:tc>
          <w:tcPr>
            <w:tcW w:type="dxa" w:w="32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Идентификация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Код цели, тип планера, электрическая, поршневая или турбинная силовая установка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Связь спектра с фактической конфигурацией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Режим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Холостой ход, висение, набор, крейсерский пролёт, манёвр, удаление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Раздельные требования дальности для разных акустических состояний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Геометрия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Дальность, высота, азимут, угол места, курс и скорость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Пересчёт к уровню на 1 м и диаграмме излучения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Источник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Частота вращения, число и диаметр винтов или роторов, режим двигателя и выхлопа, если доступны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Связь тональных линий с физическими механизмами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Среда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Температура, влажность, давление, ветер по скорости и направлению, тип поверхности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Расчёт атмосферных потерь и оценка фонового шума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Запись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Калиброванный WAV каждого канала, чувствительность тракта, собственный шум и синхронизация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sz w:val="14"/>
              </w:rPr>
              <w:t>Повторяемое сравнение физических головок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Результат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Узкополосный и третьоктавный SNR, диаграмма, дальность первого обнаружения и пропуски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Решение по полосе, рупору, массиву и секторному покрытию</w:t>
            </w:r>
          </w:p>
        </w:tc>
      </w:tr>
    </w:tbl>
    <w:p>
      <w:pPr>
        <w:spacing w:after="0"/>
      </w:pPr>
    </w:p>
    <w:p>
      <w:r>
        <w:t>Карта заполняется отдельно для каждого режима цели. Паспортная мощность двигателя или общее название БПЛА не заменяют калиброванный спектр звукового давления.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Дионея EVT-PRE-20    Альтернативный акустический тракт    Rev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000000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