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3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Корпуса и крепления – предварительный выпуск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EVT-PRE-20 · 30.09.2026 · первый лот 20 комплектов 3D-печати; программа закупки 41 станция</w:t>
      </w:r>
    </w:p>
    <w:p>
      <w:pPr>
        <w:pStyle w:val="1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Состав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Комплект печати содержит прежние верхний электронный корпус, кассету PCB-PWR и четыре микрофонных модуля, а также новый нижний модуль RB40/MPPT: корпус, крышку, регулируемый кронштейн MPPT, седло мачты и пробный зажим рамки солнечной панели. Форматы новых деталей: STL в миллиметрах и редактируемая сборка Blender (.blend). Все новые STL имеют замкнутую сетку без открытых рёбер.</w:t>
      </w:r>
    </w:p>
    <w:p>
      <w:pPr>
        <w:pStyle w:val="1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Расчёт размеров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RELiON RB40: 197 × 166 × 173 мм, 5,4 кг, выводы M8. Victron SCC075010060R: около 100 × 113 × 40 мм; окончательная сетка крепёжных отверстий сверяется с габаритным чертежом. SLD Tech SLP080S-12M: 1475 × 342 × 40 мм; модель зажима учитывает только номинальную высоту рамки, а не готовую схему крепления панели.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Наружный габарит нижнего корпуса 365 × 225 × 235 мм; стенка 5 мм и дно 8 мм. Расчётная ширина батарейного отсека 218 мм даёт 21 мм суммарного зазора по длине RB40; доступная глубина 215 мм даёт 49 мм суммарного зазора по ширине. По высоте над номинальной батареей остаётся около 54 мм до верха корпуса для изоляции выводов и жгута. Отсек MPPT шириной 132 мм оставляет около 19 мм суммарно относительно номинальной ширины 113 мм. Эти оценки не подтверждают посадку выводов, проводов и крепежа.</w:t>
      </w:r>
    </w:p>
    <w:p>
      <w:pPr>
        <w:pStyle w:val="1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Печать и сборка первого изделия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Для цельного корпуса требуется область печати не менее 380 × 240 × 250 мм. Если такого принтера нет, до заказа партии разработать контролируемый разъёмный вариант и заново проверить герметичность. Предварительный материал – ASA для наружных деталей; профиль слоёв, направление укладки, усадка и крепёжные вставки определяются по пробной печати. Два боковых отверстия Ø16 мм – только пробные места вывода жгутов. Реальный сальник и ответные части выбрать перед печатью партии.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На первом образце примерить RB40, клеммы и защитный колпак, MPPT и SBS, жгуты и сальники. Проверить доступ инструмента к M8 с моментом производителя 9–11 Н·м, удержание батареи, разнесение проводов, отсутствие контакта с острыми кромками и теплоотвод MPPT. Затем выполнить проверку мачты и панели на прочность по выбранным диаметру и ветровой нагрузке, а также влагозащиту и температурный цикл.</w:t>
      </w:r>
    </w:p>
    <w:p>
      <w:pPr>
        <w:pStyle w:val="1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Макет для литья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В папке литья находится редактируемая геометрия Blender и STL корпуса/крышки нижнего блока. Это исходный объёмный макет. Уклоны, линии разъёма, усадка, рёбра, литники и вставки не рассчитаны; изготовление пресс-формы по этому макету не разрешено до отдельного DFM и выпуска инструментальной STEP-модели.</w:t>
      </w:r>
    </w:p>
    <w:p>
      <w:pPr>
        <w:pStyle w:val="1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Официальные данные</w:t>
      </w:r>
    </w:p>
    <w:p>
      <w:pPr>
        <w:spacing w:line="240" w:lineRule="auto" w:before="0" w:after="0"/>
        <w:ind w:firstLine="709"/>
        <w:jc w:val="both"/>
      </w:pPr>
      <w:hyperlink r:id="rId13">
        <w:r>
          <w:rPr>
            <w:rFonts w:ascii="Times New Roman" w:hAnsi="Times New Roman" w:eastAsia="Times New Roman" w:cs="Times New Roman"/>
            <w:sz w:val="28"/>
            <w:u w:val="single"/>
          </w:rPr>
          <w:t>RB40</w:t>
        </w:r>
      </w:hyperlink>
      <w:r>
        <w:rPr>
          <w:rFonts w:ascii="Times New Roman" w:hAnsi="Times New Roman" w:eastAsia="Times New Roman" w:cs="Times New Roman"/>
          <w:sz w:val="28"/>
        </w:rPr>
        <w:t xml:space="preserve"> | </w:t>
      </w:r>
      <w:hyperlink r:id="rId14">
        <w:r>
          <w:rPr>
            <w:rFonts w:ascii="Times New Roman" w:hAnsi="Times New Roman" w:eastAsia="Times New Roman" w:cs="Times New Roman"/>
            <w:sz w:val="28"/>
            <w:u w:val="single"/>
          </w:rPr>
          <w:t>MPPT 75/10 и 75/15</w:t>
        </w:r>
      </w:hyperlink>
      <w:r>
        <w:rPr>
          <w:rFonts w:ascii="Times New Roman" w:hAnsi="Times New Roman" w:eastAsia="Times New Roman" w:cs="Times New Roman"/>
          <w:sz w:val="28"/>
        </w:rPr>
        <w:t xml:space="preserve"> | </w:t>
      </w:r>
      <w:hyperlink r:id="rId15">
        <w:r>
          <w:rPr>
            <w:rFonts w:ascii="Times New Roman" w:hAnsi="Times New Roman" w:eastAsia="Times New Roman" w:cs="Times New Roman"/>
            <w:sz w:val="28"/>
            <w:u w:val="single"/>
          </w:rPr>
          <w:t>SLD 80 Вт</w:t>
        </w:r>
      </w:hyperlink>
    </w:p>
    <w:sectPr w:rsidR="00C1460C"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B6815"/>
    <w:multiLevelType w:val="hybridMultilevel"/>
    <w:tmpl w:val="7CA66EFA"/>
    <w:lvl w:ilvl="0" w:tplc="0664AEB0">
      <w:start w:val="1"/>
      <w:numFmt w:val="bullet"/>
      <w:lvlText w:val="●"/>
      <w:lvlJc w:val="left"/>
      <w:pPr>
        <w:ind w:left="720" w:hanging="360"/>
      </w:pPr>
    </w:lvl>
    <w:lvl w:ilvl="1" w:tplc="040A714E">
      <w:start w:val="1"/>
      <w:numFmt w:val="bullet"/>
      <w:lvlText w:val="○"/>
      <w:lvlJc w:val="left"/>
      <w:pPr>
        <w:ind w:left="1440" w:hanging="360"/>
      </w:pPr>
    </w:lvl>
    <w:lvl w:ilvl="2" w:tplc="4C4A374E">
      <w:start w:val="1"/>
      <w:numFmt w:val="bullet"/>
      <w:lvlText w:val="■"/>
      <w:lvlJc w:val="left"/>
      <w:pPr>
        <w:ind w:left="2160" w:hanging="360"/>
      </w:pPr>
    </w:lvl>
    <w:lvl w:ilvl="3" w:tplc="339C33BC">
      <w:start w:val="1"/>
      <w:numFmt w:val="bullet"/>
      <w:lvlText w:val="●"/>
      <w:lvlJc w:val="left"/>
      <w:pPr>
        <w:ind w:left="2880" w:hanging="360"/>
      </w:pPr>
    </w:lvl>
    <w:lvl w:ilvl="4" w:tplc="2A9C1228">
      <w:start w:val="1"/>
      <w:numFmt w:val="bullet"/>
      <w:lvlText w:val="○"/>
      <w:lvlJc w:val="left"/>
      <w:pPr>
        <w:ind w:left="3600" w:hanging="360"/>
      </w:pPr>
    </w:lvl>
    <w:lvl w:ilvl="5" w:tplc="06AC5EE0">
      <w:start w:val="1"/>
      <w:numFmt w:val="bullet"/>
      <w:lvlText w:val="■"/>
      <w:lvlJc w:val="left"/>
      <w:pPr>
        <w:ind w:left="4320" w:hanging="360"/>
      </w:pPr>
    </w:lvl>
    <w:lvl w:ilvl="6" w:tplc="4FF4D4B6">
      <w:start w:val="1"/>
      <w:numFmt w:val="bullet"/>
      <w:lvlText w:val="●"/>
      <w:lvlJc w:val="left"/>
      <w:pPr>
        <w:ind w:left="5040" w:hanging="360"/>
      </w:pPr>
    </w:lvl>
    <w:lvl w:ilvl="7" w:tplc="EB442CA0">
      <w:start w:val="1"/>
      <w:numFmt w:val="bullet"/>
      <w:lvlText w:val="●"/>
      <w:lvlJc w:val="left"/>
      <w:pPr>
        <w:ind w:left="5760" w:hanging="360"/>
      </w:pPr>
    </w:lvl>
    <w:lvl w:ilvl="8" w:tplc="4FACC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F2FE4"/>
    <w:multiLevelType w:val="hybridMultilevel"/>
    <w:tmpl w:val="D806ED68"/>
    <w:lvl w:ilvl="0" w:tplc="49361BB8">
      <w:start w:val="1"/>
      <w:numFmt w:val="bullet"/>
      <w:lvlText w:val="–"/>
      <w:lvlJc w:val="left"/>
      <w:pPr>
        <w:ind w:left="709" w:hanging="360"/>
      </w:pPr>
    </w:lvl>
    <w:lvl w:ilvl="1" w:tplc="E3D26EB6">
      <w:numFmt w:val="decimal"/>
      <w:lvlText w:val=""/>
      <w:lvlJc w:val="left"/>
    </w:lvl>
    <w:lvl w:ilvl="2" w:tplc="966C2336">
      <w:numFmt w:val="decimal"/>
      <w:lvlText w:val=""/>
      <w:lvlJc w:val="left"/>
    </w:lvl>
    <w:lvl w:ilvl="3" w:tplc="4ACE3DC8">
      <w:numFmt w:val="decimal"/>
      <w:lvlText w:val=""/>
      <w:lvlJc w:val="left"/>
    </w:lvl>
    <w:lvl w:ilvl="4" w:tplc="9A204D6E">
      <w:numFmt w:val="decimal"/>
      <w:lvlText w:val=""/>
      <w:lvlJc w:val="left"/>
    </w:lvl>
    <w:lvl w:ilvl="5" w:tplc="E5B87016">
      <w:numFmt w:val="decimal"/>
      <w:lvlText w:val=""/>
      <w:lvlJc w:val="left"/>
    </w:lvl>
    <w:lvl w:ilvl="6" w:tplc="9FF8976A">
      <w:numFmt w:val="decimal"/>
      <w:lvlText w:val=""/>
      <w:lvlJc w:val="left"/>
    </w:lvl>
    <w:lvl w:ilvl="7" w:tplc="21AAC386">
      <w:numFmt w:val="decimal"/>
      <w:lvlText w:val=""/>
      <w:lvlJc w:val="left"/>
    </w:lvl>
    <w:lvl w:ilvl="8" w:tplc="76FAD47A">
      <w:numFmt w:val="decimal"/>
      <w:lvlText w:val=""/>
      <w:lvlJc w:val="left"/>
    </w:lvl>
  </w:abstractNum>
  <w:abstractNum w:abstractNumId="2" w15:restartNumberingAfterBreak="0">
    <w:nsid w:val="76590FD2"/>
    <w:multiLevelType w:val="hybridMultilevel"/>
    <w:tmpl w:val="2814FEC8"/>
    <w:lvl w:ilvl="0" w:tplc="C7467B06">
      <w:start w:val="1"/>
      <w:numFmt w:val="bullet"/>
      <w:lvlText w:val="–"/>
      <w:lvlJc w:val="left"/>
      <w:pPr>
        <w:ind w:left="709" w:hanging="360"/>
      </w:pPr>
    </w:lvl>
    <w:lvl w:ilvl="1" w:tplc="F950FBEE">
      <w:numFmt w:val="decimal"/>
      <w:lvlText w:val=""/>
      <w:lvlJc w:val="left"/>
    </w:lvl>
    <w:lvl w:ilvl="2" w:tplc="5F466C18">
      <w:numFmt w:val="decimal"/>
      <w:lvlText w:val=""/>
      <w:lvlJc w:val="left"/>
    </w:lvl>
    <w:lvl w:ilvl="3" w:tplc="37288B0A">
      <w:numFmt w:val="decimal"/>
      <w:lvlText w:val=""/>
      <w:lvlJc w:val="left"/>
    </w:lvl>
    <w:lvl w:ilvl="4" w:tplc="8D94FA60">
      <w:numFmt w:val="decimal"/>
      <w:lvlText w:val=""/>
      <w:lvlJc w:val="left"/>
    </w:lvl>
    <w:lvl w:ilvl="5" w:tplc="FA16C3C0">
      <w:numFmt w:val="decimal"/>
      <w:lvlText w:val=""/>
      <w:lvlJc w:val="left"/>
    </w:lvl>
    <w:lvl w:ilvl="6" w:tplc="41A85BD6">
      <w:numFmt w:val="decimal"/>
      <w:lvlText w:val=""/>
      <w:lvlJc w:val="left"/>
    </w:lvl>
    <w:lvl w:ilvl="7" w:tplc="B76053E6">
      <w:numFmt w:val="decimal"/>
      <w:lvlText w:val=""/>
      <w:lvlJc w:val="left"/>
    </w:lvl>
    <w:lvl w:ilvl="8" w:tplc="236C4C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0C"/>
    <w:rsid w:val="00C1299D"/>
    <w:rsid w:val="00C1460C"/>
    <w:rsid w:val="00D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15CB"/>
  <w15:docId w15:val="{58EA10D7-BFEC-4107-84B1-97B6D1E4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paragraph" w:styleId="1">
    <w:name w:val="heading 1"/>
    <w:qFormat/>
    <w:pPr>
      <w:spacing w:line="240" w:lineRule="auto" w:before="0" w:after="0"/>
      <w:ind w:firstLine="709"/>
      <w:jc w:val="both"/>
      <w:outlineLvl w:val="0"/>
    </w:pPr>
    <w:rPr>
      <w:rFonts w:ascii="Times New Roman" w:hAnsi="Times New Roman"/>
      <w:b/>
      <w:bCs/>
      <w:color w:val="000000"/>
      <w:sz w:val="28"/>
      <w:szCs w:val="32"/>
    </w:rPr>
  </w:style>
  <w:style w:type="paragraph" w:styleId="2">
    <w:name w:val="heading 2"/>
    <w:qFormat/>
    <w:pPr>
      <w:spacing w:line="240" w:lineRule="auto" w:before="0" w:after="0"/>
      <w:ind w:firstLine="709"/>
      <w:jc w:val="both"/>
      <w:outlineLvl w:val="1"/>
    </w:pPr>
    <w:rPr>
      <w:rFonts w:ascii="Times New Roman" w:hAnsi="Times New Roman"/>
      <w:b/>
      <w:bCs/>
      <w:color w:val="000000"/>
      <w:sz w:val="28"/>
    </w:rPr>
  </w:style>
  <w:style w:type="paragraph" w:styleId="3">
    <w:name w:val="heading 3"/>
    <w:qFormat/>
    <w:pPr>
      <w:spacing w:line="240" w:lineRule="auto" w:before="0" w:after="0"/>
      <w:ind w:firstLine="709"/>
      <w:jc w:val="both"/>
      <w:outlineLvl w:val="2"/>
    </w:pPr>
    <w:rPr>
      <w:rFonts w:ascii="Times New Roman" w:hAnsi="Times New Roman"/>
      <w:b/>
      <w:color w:val="1F4D78"/>
      <w:sz w:val="28"/>
      <w:szCs w:val="24"/>
    </w:rPr>
  </w:style>
  <w:style w:type="paragraph" w:styleId="4">
    <w:name w:val="heading 4"/>
    <w:qFormat/>
    <w:pPr>
      <w:spacing w:line="240" w:lineRule="auto" w:before="0" w:after="0"/>
      <w:ind w:firstLine="709"/>
      <w:jc w:val="both"/>
      <w:outlineLvl w:val="3"/>
    </w:pPr>
    <w:rPr>
      <w:rFonts w:ascii="Times New Roman" w:hAnsi="Times New Roman"/>
      <w:b/>
      <w:i/>
      <w:iCs/>
      <w:color w:val="2E74B5"/>
      <w:sz w:val="28"/>
    </w:rPr>
  </w:style>
  <w:style w:type="paragraph" w:styleId="5">
    <w:name w:val="heading 5"/>
    <w:qFormat/>
    <w:pPr>
      <w:spacing w:line="240" w:lineRule="auto" w:before="0" w:after="0"/>
      <w:ind w:firstLine="709"/>
      <w:jc w:val="both"/>
      <w:outlineLvl w:val="4"/>
    </w:pPr>
    <w:rPr>
      <w:rFonts w:ascii="Times New Roman" w:hAnsi="Times New Roman"/>
      <w:b/>
      <w:color w:val="2E74B5"/>
      <w:sz w:val="28"/>
    </w:rPr>
  </w:style>
  <w:style w:type="paragraph" w:styleId="6">
    <w:name w:val="heading 6"/>
    <w:qFormat/>
    <w:pPr>
      <w:spacing w:line="240" w:lineRule="auto" w:before="0" w:after="0"/>
      <w:ind w:firstLine="709"/>
      <w:jc w:val="both"/>
      <w:outlineLvl w:val="5"/>
    </w:pPr>
    <w:rPr>
      <w:rFonts w:ascii="Times New Roman" w:hAnsi="Times New Roman"/>
      <w:b/>
      <w:color w:val="1F4D78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pPr>
      <w:spacing w:line="240" w:lineRule="auto" w:before="0" w:after="0"/>
      <w:ind w:firstLine="709"/>
      <w:jc w:val="both"/>
    </w:pPr>
    <w:rPr>
      <w:rFonts w:ascii="Times New Roman" w:hAnsi="Times New Roman"/>
      <w:b/>
      <w:color w:val="000000"/>
      <w:sz w:val="28"/>
      <w:szCs w:val="56"/>
    </w:rPr>
  </w:style>
  <w:style w:type="paragraph" w:customStyle="1" w:styleId="10">
    <w:name w:val="Строгий1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bCs/>
      <w:sz w:val="28"/>
    </w:rPr>
  </w:style>
  <w:style w:type="paragraph" w:styleId="a4">
    <w:name w:val="List Paragraph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yperlink" Target="https://www.relionbattery.com/products/lithium/rb40" TargetMode="External"/><Relationship Id="rId14" Type="http://schemas.openxmlformats.org/officeDocument/2006/relationships/hyperlink" Target="https://www.victronenergy.com/upload/documents/BlueSolar-%26-SmartSolar-MPPT-75-10-%26-75-15.pdf" TargetMode="External"/><Relationship Id="rId15" Type="http://schemas.openxmlformats.org/officeDocument/2006/relationships/hyperlink" Target="https://sldtechinc.com/80w-12v-monocrystalline-solar-panel-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3247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2026-09-10T19:21:00Z</dcterms:created>
  <dcterms:modified xsi:type="dcterms:W3CDTF">2026-09-10T19:21:00Z</dcterms:modified>
</cp:coreProperties>
</file>