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color w:val="17365D"/>
          <w:sz w:val="28"/>
        </w:rPr>
        <w:t>КАРТА ВЫВОДОВ И ИНТЕРФЕЙСОВ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sz w:val="28"/>
        </w:rPr>
        <w:t>ЗС-БПЛА.007</w:t>
        <w:br/>
        <w:t>Редакция 0.7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sz w:val="28"/>
        </w:rPr>
        <w:t>Статус: OPEN</w:t>
        <w:br/>
        <w:t>РС «Дионея» - EVT-MB</w:t>
        <w:br/>
        <w:t>2026</w:t>
      </w:r>
    </w:p>
    <w:p>
      <w:pPr>
        <w:spacing w:before="1600" w:line="360" w:lineRule="auto" w:after="60"/>
        <w:ind w:firstLine="709"/>
        <w:jc w:val="center"/>
      </w:pPr>
      <w:r>
        <w:rPr>
          <w:rFonts w:ascii="Times New Roman" w:hAnsi="Times New Roman" w:eastAsia="Times New Roman"/>
          <w:i/>
          <w:sz w:val="28"/>
        </w:rPr>
        <w:t>Управляемая копия. Аппаратные результаты не считаются выполненными до заполнения протоколов.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1 Область действия</w:t>
      </w:r>
    </w:p>
    <w:p>
      <w:pPr>
        <w:spacing w:after="60" w:line="360" w:lineRule="auto"/>
        <w:ind w:firstLine="709"/>
      </w:pPr>
      <w:r>
        <w:rPr>
          <w:rFonts w:ascii="Times New Roman" w:hAnsi="Times New Roman" w:eastAsia="Times New Roman"/>
          <w:sz w:val="28"/>
        </w:rPr>
        <w:t>Карта относится только к WeAct STM32U585CIU6 для EVT-MB. Серийная STM32U585VIT6Q получает отдельный BSP и отдельную карту после EVT.</w:t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2 Выводы MCU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  <w:tblHeader w:val="true"/>
          <w:cantSplit/>
        </w:trPr>
        <w:tc>
          <w:tcPr>
            <w:tcW w:type="dxa" w:w="124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Сигнал</w:t>
            </w:r>
          </w:p>
        </w:tc>
        <w:tc>
          <w:tcPr>
            <w:tcW w:type="dxa" w:w="119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Периферия</w:t>
            </w:r>
          </w:p>
        </w:tc>
        <w:tc>
          <w:tcPr>
            <w:tcW w:type="dxa" w:w="794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Pin</w:t>
            </w:r>
          </w:p>
        </w:tc>
        <w:tc>
          <w:tcPr>
            <w:tcW w:type="dxa" w:w="680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AF</w:t>
            </w:r>
          </w:p>
        </w:tc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Назначение</w:t>
            </w:r>
          </w:p>
        </w:tc>
        <w:tc>
          <w:tcPr>
            <w:tcW w:type="dxa" w:w="2835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Условие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MIC_BCLK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SAI1_A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PA8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4× I2S BCLK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22–33 Ω у MCU; общий такт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MIC_WS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SAI1_A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PA9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AF13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4× I2S WS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общая кадровая синхронизация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MIC_PAIR_A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SAI1_A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PA10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MIC1+MIC2 DATA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L/R противоположны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MIC_PAIR_B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SAI1_B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PB5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AF13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MIC3+MIC4 DATA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L/R противоположны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BG95_TX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USART1_TX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PB6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MAIN_RXD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через 3,3/1,8 В translator, если EVB не согласует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BG95_RX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USART1_RX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PB7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MAIN_TXD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через translator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BG95_PWRKEY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PWRKEY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транзистор/open-drain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BG95_RESET_N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PB4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OD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RESET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транзистор/open-drain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BG95_STATUS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in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PB15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input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STATUS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домен уровня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BG95_DTR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PB12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output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DTR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сон/пробуждение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GNSS_TX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USART2_TX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PA2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 RXD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GNSS_RX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USART2_RX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PA3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 TXD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GNSS_PPS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TIM2_CH2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PB3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 1PPS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аппаратный input capture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BLE_TX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USART3_TX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PB10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BLE RXD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BLE_RX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USART3_RX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PB11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BLE TXD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SPI1_SCK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PA5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AF5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SX1262+microSD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≤8 МГц EVT; общий bus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SPI1_MISO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PA6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SX1262+microSD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bus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SPI1_MOSI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PA7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AF5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SX1262+microSD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bus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LORA_NSS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PB0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output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 NSS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отдельный CS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LORA_DIO1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EXTI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PB2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input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 DIO1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IRQ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LORA_BUSY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in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PB8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input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 BUSY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timeout обязателен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LORA_RESET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PB9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output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 NRESET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активный 0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SD_NSS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GPIO out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PA4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output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microSD CS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FAT32, карта 32 ГБ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I2C_SCL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I2C2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PB13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AF4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INA226+температура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pull-up 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I2C_SDA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PB14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INA226+температура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pull-up 3,3 В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SWDIO</w:t>
            </w:r>
          </w:p>
        </w:tc>
        <w:tc>
          <w:tcPr>
            <w:tcW w:type="dxa" w:w="119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SWD</w:t>
            </w:r>
          </w:p>
        </w:tc>
        <w:tc>
          <w:tcPr>
            <w:tcW w:type="dxa" w:w="79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PA13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ST-Link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переназначать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SWCLK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SWD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PA14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AF0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ST-Link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переназначать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3 Зарезервированные выводы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PA0 - USER KEY платы; PC13 - USER LED.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PA11/PA12 - USB FS service/DFU.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PA13/PA14 - SWD; NRST и VTref всегда доступны.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USART1 hardware flow control не используется; modem получает AT+IFC=0.</w:t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4 CubeMX freeze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tblHeader w:val="true"/>
          <w:cantSplit/>
        </w:trPr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Периферия</w:t>
            </w:r>
          </w:p>
        </w:tc>
        <w:tc>
          <w:tcPr>
            <w:tcW w:type="dxa" w:w="2835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Режим</w:t>
            </w:r>
          </w:p>
        </w:tc>
        <w:tc>
          <w:tcPr>
            <w:tcW w:type="dxa" w:w="3969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Параметры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Master RX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32 kHz; stereo; 32-bit slot; 24-bit data; DMA circular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SAI1_B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Synchronous Slave RX</w:t>
            </w:r>
          </w:p>
        </w:tc>
        <w:tc>
          <w:tcPr>
            <w:tcW w:type="dxa" w:w="3969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sync SAI1_A; identical frame; DMA circular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TIM2 CH2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Input capture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PB3 rising edge; 32-bit counter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USART1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Async</w:t>
            </w:r>
          </w:p>
        </w:tc>
        <w:tc>
          <w:tcPr>
            <w:tcW w:type="dxa" w:w="3969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115200 8N1; no flow control; RX circular/IDLE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Async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9600 8N1; RX circular/IDLE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USART3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Async</w:t>
            </w:r>
          </w:p>
        </w:tc>
        <w:tc>
          <w:tcPr>
            <w:tcW w:type="dxa" w:w="3969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115200 8N1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SPI1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Full duplex master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mode 0; ≤8 MHz; DMA optional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I2C2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</w:t>
            </w:r>
          </w:p>
        </w:tc>
        <w:tc>
          <w:tcPr>
            <w:tcW w:type="dxa" w:w="3969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400 kHz; external pull-ups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Источники и проверка</w:t>
      </w:r>
    </w:p>
    <w:p>
      <w:pPr>
        <w:spacing w:after="60" w:line="360" w:lineRule="auto"/>
        <w:ind w:firstLine="709"/>
      </w:pPr>
      <w:r>
        <w:rPr>
          <w:rFonts w:ascii="Times New Roman" w:hAnsi="Times New Roman" w:eastAsia="Times New Roman"/>
          <w:sz w:val="28"/>
        </w:rPr>
        <w:t>STM32U585 datasheet AF tables: https://www.st.com/resource/en/datasheet/stm32u585ai.pdf</w:t>
      </w:r>
    </w:p>
    <w:p>
      <w:pPr>
        <w:spacing w:after="60" w:line="360" w:lineRule="auto"/>
        <w:ind w:firstLine="709"/>
      </w:pPr>
      <w:r>
        <w:rPr>
          <w:rFonts w:ascii="Times New Roman" w:hAnsi="Times New Roman" w:eastAsia="Times New Roman"/>
          <w:sz w:val="28"/>
        </w:rPr>
        <w:t>WeAct board files: https://github.com/WeActStudio/WeActStudio.STM32U585Cx_CoreBoard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95959"/>
        <w:sz w:val="20"/>
      </w:rPr>
      <w:t>ЗС-БПЛА.007 · 0.7 · OPEN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РКД_07_Карта_выводов_WeAct_STM32U585CIU6_v0_7</dc:title>
  <dc:subject>РС «Дионея» EVT-MB v1.3</dc:subject>
  <dc:creator>Проект РС «Дионея»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