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PCB-PWR Rev E – диспозиция диагностики схемы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Документ фиксирует разбор 251 диагностического сообщения и производственную трактовку BOM/DNP для Rev D. Физических расхождений связности не обнаружено.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Итог проверки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171 сообщение относится к разной записи иерархических имён одной и той же цепи; одно сообщение относится к ожидаемому NC выводу U5. Эти записи не меняют связность.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62 сообщения относятся к пустому полю Datasheet на плате; 10 – к различию подробного Value схемы и короткого значения платы. Точные производственные MPN заданы в PCB-PWR_BOM_PCBA.csv и книге BOM XLSX.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Семь сообщений exclude_from_BOM относятся к пяти DNP резисторам и трём медным net tie; часть сообщений объединена по группам. Их производственная диспозиция дана отдельным CSV.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Правила монтажа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Установить 44 позиции из PCB-PWR_BOM_PCBA.csv по PCB-PWR_pos.csv и двуязычной сборочной схеме. R5, R9, R13, R14 и R15 не устанавливать и не закупать как детали.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NT1, NT2 и NT3 являются рисунком меди платы; отдельные перемычки или компоненты не устанавливаются и не закупаются. TP1–TP10 и H1–H4 также являются элементами печатной платы.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D1 применять как Littelfuse SMBJ18A, однонаправленный TVS. Физическая проверка импульсного режима выполняется в EVT и не разрешает замену MPN без ECO.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Статус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Диагностика schematic parity закрыта диспозицией для передачи в производство. Фабричный DFM, фактический stack ID, контроль первого изделия и последующие электрические/тепловые испытания выполняются по заданию на платы.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EN: schematic parity diagnostics are dispositioned for manufacturing handoff. Use the exact PCBA BOM, DNP list, position file and bilingual assembly drawing. Fabricator DFM, stack confirmation and first-article tests remain mandatory production controls.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