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PCB-MAIN Rev B – проверка по официальным данным JLCPCB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EVT-PRE-20 · 30.09.2026 · плата SHA-256 f828fc6b30afbd64ed67afbee9ed7a5f5cdb9c47c1112722c5a0fe315268665f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Вывод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Опубликованные возможности JLCPCB покрывают заказной базис: 8 слоёв, 1,6 мм, FR-4, ENIG, 1 oz наружной и 0,5 oz внутренней меди, переходы 0,15/0,25 мм, эпоксидное заполнение с медной крышкой. Это проверка возможностей, а не утверждённый производственный файл конкретного заказа.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Переходы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плате 853 перехода. В исходном KiCad 74 помечены filling=yes и capping=yes: 57 внутри SMD-площадок и 17 вне их. Заказной CSV содержит 76 точек: к этим 74 добавлены C6.1 (X41,75 Y30,40) и D11.1 (X80,01 Y20,50), частично попадающие в окна пасты. Для двух добавленных точек также требуется заполнение эпоксидом и медное закрытие. Сверло этих двух переходов 0,15 мм, диаметр 0,25 мм. Выбирать обработку только по диаметру нельзя.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Порядок заказа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Выбрать 8 слоёв, 1,6 мм, ENIG, наружная медь 1 oz, внутренняя 0,5 oz.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Выбрать опцию минимального перехода 0,15/0,25 мм и процесс POFV: эпоксидное заполнение с медной крышкой.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Передать фабрике заказные CSV и карту 76 переходов. Из них 74 имеют признаки в исходной плате, а C6.1 и D11.1 заданы как CAM-дополнение. Фабрика подтверждает обработку 76 из 76 точек до запуска панели; одно лишь закрытие маской не допускается. При невозможности выборочного POFV изменение согласовать через ECO.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Выбрать стек JLC08161H-3313, если он доступен в заказе, и проверить его действующие толщины/параметры в карточке заказа; при замене стека фиксировать ECO.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Запросить подтверждение производственных файлов до запуска панели и оформить замечания DFM через ECO.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Границы заключения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JLC08161H-3313 служит опубликованным примером восьмислойного стека 1,6 мм, а не утверждённым стеком этого заказа. Функции слоёв платы отличаются от примера; импеданс и возвратные пути оцениваются по выбранному заводскому стеку. Параметры стека и принятое решение об импедансе сохраняются в заказе. Производственные файлы фабрики проверяются до запуска панели; отклонения оформляются ECO.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EN: Published JLCPCB capabilities cover the basic board parameters and epoxy-filled, copper-capped vias. The 76-point order CSV is authoritative: 74 native flags and two CAM overrides at C6.1/D11.1. Confirm 76/76 before panel release. Record the chosen stack and impedance decision in the order; use ECO for deviations.</w:t>
      </w:r>
    </w:p>
    <w:p>
      <w:pPr>
        <w:pStyle w:val="1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Официальные источники / Official sources</w:t>
      </w:r>
    </w:p>
    <w:p>
      <w:pPr>
        <w:spacing w:line="240" w:lineRule="auto" w:before="0" w:after="0"/>
        <w:ind w:firstLine="709"/>
        <w:jc w:val="both"/>
      </w:pPr>
      <w:hyperlink r:id="rId13">
        <w:r>
          <w:rPr>
            <w:rFonts w:ascii="Times New Roman" w:hAnsi="Times New Roman" w:eastAsia="Times New Roman" w:cs="Times New Roman"/>
            <w:sz w:val="28"/>
            <w:u w:val="single"/>
          </w:rPr>
          <w:t>Возможности плат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4">
        <w:r>
          <w:rPr>
            <w:rFonts w:ascii="Times New Roman" w:hAnsi="Times New Roman" w:eastAsia="Times New Roman" w:cs="Times New Roman"/>
            <w:sz w:val="28"/>
            <w:u w:val="single"/>
          </w:rPr>
          <w:t>Стек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5">
        <w:r>
          <w:rPr>
            <w:rFonts w:ascii="Times New Roman" w:hAnsi="Times New Roman" w:eastAsia="Times New Roman" w:cs="Times New Roman"/>
            <w:sz w:val="28"/>
            <w:u w:val="single"/>
          </w:rPr>
          <w:t>Переходные отверстия</w:t>
        </w:r>
      </w:hyperlink>
      <w:r>
        <w:rPr>
          <w:rFonts w:ascii="Times New Roman" w:hAnsi="Times New Roman" w:eastAsia="Times New Roman" w:cs="Times New Roman"/>
          <w:sz w:val="28"/>
        </w:rPr>
        <w:t xml:space="preserve"> | </w:t>
      </w:r>
      <w:hyperlink r:id="rId16">
        <w:r>
          <w:rPr>
            <w:rFonts w:ascii="Times New Roman" w:hAnsi="Times New Roman" w:eastAsia="Times New Roman" w:cs="Times New Roman"/>
            <w:sz w:val="28"/>
            <w:u w:val="single"/>
          </w:rPr>
          <w:t>8 слоёв</w:t>
        </w:r>
      </w:hyperlink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yperlink" Target="https://jlcpcb.com/capabilities/pcb-capabilities/" TargetMode="External"/><Relationship Id="rId14" Type="http://schemas.openxmlformats.org/officeDocument/2006/relationships/hyperlink" Target="https://jlcpcb.com/help/article/multi-layer-pcb-standard-laminated-structures" TargetMode="External"/><Relationship Id="rId15" Type="http://schemas.openxmlformats.org/officeDocument/2006/relationships/hyperlink" Target="https://jlcpcb.com/help/article/pcb-via-covering" TargetMode="External"/><Relationship Id="rId16" Type="http://schemas.openxmlformats.org/officeDocument/2006/relationships/hyperlink" Target="https://jlcpcb.com/blog/multilayer-pcb-design-guidelin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