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Руководство по сборке, первому включению и передаче на EOL Дионея EVT-PRE-20</w:t>
      </w:r>
    </w:p>
    <w:p>
      <w:pPr>
        <w:jc w:val="both"/>
      </w:pPr>
      <w:r/>
      <w:r>
        <w:rPr>
          <w:b/>
        </w:rPr>
        <w:t>Документ:</w:t>
      </w:r>
      <w:r>
        <w:t xml:space="preserve"> EVT_PRE_20_ASSEMBLY_SETUP_INSTRUCTION_REV_B</w:t>
      </w:r>
    </w:p>
    <w:p>
      <w:pPr>
        <w:jc w:val="both"/>
      </w:pPr>
      <w:r/>
      <w:r>
        <w:rPr>
          <w:b/>
        </w:rPr>
        <w:t>Ревизия:</w:t>
      </w:r>
      <w:r>
        <w:t xml:space="preserve"> Rev B</w:t>
      </w:r>
    </w:p>
    <w:p>
      <w:pPr>
        <w:jc w:val="both"/>
      </w:pPr>
      <w:r/>
      <w:r>
        <w:rPr>
          <w:b/>
        </w:rPr>
        <w:t>Дата:</w:t>
      </w:r>
      <w:r>
        <w:t xml:space="preserve"> 16.10.2026</w:t>
      </w:r>
    </w:p>
    <w:p>
      <w:pPr>
        <w:jc w:val="both"/>
      </w:pPr>
      <w:r/>
      <w:r>
        <w:rPr>
          <w:b/>
        </w:rPr>
        <w:t>Комплект:</w:t>
      </w:r>
      <w:r>
        <w:t xml:space="preserve"> EVT-PRE-20 REV_D10</w:t>
      </w:r>
    </w:p>
    <w:p>
      <w:pPr>
        <w:jc w:val="both"/>
      </w:pPr>
      <w:r/>
      <w:r>
        <w:rPr>
          <w:b/>
        </w:rPr>
        <w:t>Статус:</w:t>
      </w:r>
      <w:r>
        <w:t xml:space="preserve"> RELEASED FOR EVT ASSEMBLY; PHYSICAL EXECUTION AND LIMIT FREEZE OPEN</w:t>
      </w:r>
    </w:p>
    <w:p>
      <w:pPr>
        <w:jc w:val="both"/>
      </w:pPr>
      <w:r/>
      <w:r>
        <w:rPr>
          <w:b/>
        </w:rPr>
        <w:t>Назначение:</w:t>
      </w:r>
      <w:r>
        <w:t xml:space="preserve"> подробная сборка 40 полевых станций и одной стендовой станции B01 с контролем каждой операции</w:t>
      </w:r>
    </w:p>
    <w:p>
      <w:pPr>
        <w:pStyle w:val="Heading1"/>
      </w:pPr>
      <w:r>
        <w:t>1. Основная конфигурация Baseline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Узел Assembly</w:t>
            </w:r>
          </w:p>
        </w:tc>
        <w:tc>
          <w:tcPr>
            <w:tcW w:type="dxa" w:w="48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Решение Baseline</w:t>
            </w:r>
          </w:p>
        </w:tc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Контроль Control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PCB-MAIN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Rev B, 8 copper layers, Altium master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DFM, stackup, impedance, DRC, AOI/X-ray and first article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PCB-PWR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 copper layers, Altium master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protection, polarity, power load and thermal test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PCB-MIC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 copper layers, Altium master, four per station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port cleanliness, identity, gain, phase and noise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Серийность Serials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DIO-EVT-001…040 plus DIO-EVT-B01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41 unique identities, no duplicates</w:t>
            </w:r>
          </w:p>
        </w:tc>
      </w:tr>
    </w:tbl>
    <w:p>
      <w:pPr>
        <w:spacing w:after="20"/>
      </w:pPr>
    </w:p>
    <w:p>
      <w:pPr>
        <w:jc w:val="both"/>
      </w:pPr>
      <w:r>
        <w:t>RU: Закупка может выполняться вариантом 21 или 41 станции, но производственный реестр и формы охватывают все 41 идентичность. Вариант закупки не изменяет плату, прошивку, распайку или критерии приемки.</w:t>
      </w:r>
    </w:p>
    <w:p>
      <w:pPr>
        <w:jc w:val="both"/>
      </w:pPr>
      <w:r>
        <w:t>EN: Procurement may use the 21- or 41-station option, while manufacturing registers and forms cover all 41 identities. Procurement quantity does not change hardware, firmware, pinout or acceptance criteria.</w:t>
      </w:r>
    </w:p>
    <w:p>
      <w:pPr>
        <w:pStyle w:val="Heading1"/>
      </w:pPr>
      <w:r>
        <w:t>2. Условия допуска Release gate</w:t>
      </w:r>
    </w:p>
    <w:p>
      <w:pPr>
        <w:spacing w:after="60"/>
        <w:ind w:left="360" w:hanging="259"/>
      </w:pPr>
      <w:r>
        <w:t>1. RU: Сверить имя архива, SHA-256, release metadata и отсутствие файлов KiCad в производственной папке. EN: Verify archive name, SHA-256, release metadata and absence of KiCad files from the manufacturing folder.</w:t>
      </w:r>
    </w:p>
    <w:p>
      <w:pPr>
        <w:spacing w:after="60"/>
        <w:ind w:left="360" w:hanging="259"/>
      </w:pPr>
      <w:r>
        <w:t>2. RU: Использовать Altium/CAM только из вложенного архива REV_D10. EN: Use Altium/CAM only from the nested REV_D10 archive.</w:t>
      </w:r>
    </w:p>
    <w:p>
      <w:pPr>
        <w:spacing w:after="60"/>
        <w:ind w:left="360" w:hanging="259"/>
      </w:pPr>
      <w:r>
        <w:t>3. RU: Проверить подписанные отклонения, NCR и ECO до вскрытия комплекта. EN: Review signed deviations, NCRs and ECOs before opening the kit.</w:t>
      </w:r>
    </w:p>
    <w:p>
      <w:pPr>
        <w:spacing w:after="60"/>
        <w:ind w:left="360" w:hanging="259"/>
      </w:pPr>
      <w:r>
        <w:t>4. RU: Назначить serial и traveller до начала сборки. EN: Assign the serial and traveller before assembly begins.</w:t>
      </w:r>
    </w:p>
    <w:p>
      <w:pPr>
        <w:pStyle w:val="Heading1"/>
      </w:pPr>
      <w:r>
        <w:t>3. Безопасность, ESD и инструменты Safety, ESD and tools</w:t>
      </w:r>
    </w:p>
    <w:p>
      <w:pPr>
        <w:spacing w:after="60"/>
        <w:ind w:left="360" w:hanging="259"/>
      </w:pPr>
      <w:r>
        <w:t>1. RU: Работать на проверенном ESD месте; платы хранить в защитной упаковке. EN: Use a verified ESD workstation and keep boards in protective packaging.</w:t>
      </w:r>
    </w:p>
    <w:p>
      <w:pPr>
        <w:spacing w:after="60"/>
        <w:ind w:left="360" w:hanging="259"/>
      </w:pPr>
      <w:r>
        <w:t>2. RU: Батарея, солнечная панель и внешнее питание отключены до шага первого включения. EN: Battery, solar panel and external power remain disconnected until first power.</w:t>
      </w:r>
    </w:p>
    <w:p>
      <w:pPr>
        <w:spacing w:after="60"/>
        <w:ind w:left="360" w:hanging="259"/>
      </w:pPr>
      <w:r>
        <w:t>3. RU: RF тракт не включать без антенны или 50 ohm load. EN: Do not enable the RF path without an antenna or 50 ohm load.</w:t>
      </w:r>
    </w:p>
    <w:p>
      <w:pPr>
        <w:spacing w:after="60"/>
        <w:ind w:left="360" w:hanging="259"/>
      </w:pPr>
      <w:r>
        <w:t>4. RU: Записать ID и калибровку DMM, лабораторного источника, torque tool, thermal camera, insulation tester and geometry jig. EN: Record IDs and calibration for the DMM, bench supply, torque tool, thermal camera, insulation tester and geometry jig.</w:t>
      </w:r>
    </w:p>
    <w:p>
      <w:pPr>
        <w:spacing w:after="60"/>
        <w:ind w:left="360" w:hanging="259"/>
      </w:pPr>
      <w:r>
        <w:t>5. RU: Не применять численный torque или test limit со слов оператора. EN: Do not use a numeric torque or test limit based on verbal instruction.</w:t>
      </w:r>
    </w:p>
    <w:p>
      <w:pPr>
        <w:pStyle w:val="Heading1"/>
      </w:pPr>
      <w:r>
        <w:t>4. Входной контроль комплекта Kit inspection</w:t>
      </w:r>
    </w:p>
    <w:p>
      <w:pPr>
        <w:spacing w:after="60"/>
        <w:ind w:left="360" w:hanging="259"/>
      </w:pPr>
      <w:r>
        <w:t>1. RU: Сверить serial на traveller, корпусе, платах и labels; до provisioning допустима временная метка. EN: Match the traveller, enclosure, PCB and label serials; a temporary label is allowed before provisioning.</w:t>
      </w:r>
    </w:p>
    <w:p>
      <w:pPr>
        <w:spacing w:after="60"/>
        <w:ind w:left="360" w:hanging="259"/>
      </w:pPr>
      <w:r>
        <w:t>2. RU: Проверить PCBA records: paste/reflow profile, AOI, visual, X-ray where required, repair log and board serial. EN: Review PCBA records: paste/reflow profile, AOI, visual, required X-ray, repair log and board serial.</w:t>
      </w:r>
    </w:p>
    <w:p>
      <w:pPr>
        <w:spacing w:after="60"/>
        <w:ind w:left="360" w:hanging="259"/>
      </w:pPr>
      <w:r>
        <w:t>3. RU: Проверить четыре PCB-MIC как отдельные принятые изделия. EN: Verify four PCB-MIC assemblies as separately accepted units.</w:t>
      </w:r>
    </w:p>
    <w:p>
      <w:pPr>
        <w:spacing w:after="60"/>
        <w:ind w:left="360" w:hanging="259"/>
      </w:pPr>
      <w:r>
        <w:t>4. RU: Проверить шесть жгутов по EVT_PRE_20_HARNESS_MANUFACTURING_WORK_INSTRUCTION_REV_B. EN: Verify six harnesses under EVT_PRE_20_HARNESS_MANUFACTURING_WORK_INSTRUCTION_REV_B.</w:t>
      </w:r>
    </w:p>
    <w:p>
      <w:pPr>
        <w:spacing w:after="60"/>
        <w:ind w:left="360" w:hanging="259"/>
      </w:pPr>
      <w:r>
        <w:t>5. RU: Проверить корпус, mounts, membranes, vents, seals, fasteners, antenna/coax, battery, MPPT and labels. EN: Inspect enclosure, mounts, membranes, vents, seals, fasteners, antenna/coax, battery, MPPT and labels.</w:t>
      </w:r>
    </w:p>
    <w:p>
      <w:pPr>
        <w:pStyle w:val="Heading1"/>
      </w:pPr>
      <w:r>
        <w:t>5. Подготовка корпуса Enclosure preparation</w:t>
      </w:r>
    </w:p>
    <w:p>
      <w:pPr>
        <w:spacing w:after="60"/>
        <w:ind w:left="360" w:hanging="259"/>
      </w:pPr>
      <w:r>
        <w:t>1. RU: Очистить посадочные места без ворса и растворителя, разрушающего пластик или мембраны. EN: Clean mounting surfaces with lint-free materials and no solvent that attacks plastics or membranes.</w:t>
      </w:r>
    </w:p>
    <w:p>
      <w:pPr>
        <w:spacing w:after="60"/>
        <w:ind w:left="360" w:hanging="259"/>
      </w:pPr>
      <w:r>
        <w:t>2. RU: Проверить отверстия, inserts, резьбу, плоскостность и отсутствие трещин. EN: Inspect holes, inserts, threads, flatness and absence of cracks.</w:t>
      </w:r>
    </w:p>
    <w:p>
      <w:pPr>
        <w:spacing w:after="60"/>
        <w:ind w:left="360" w:hanging="259"/>
      </w:pPr>
      <w:r>
        <w:t>3. RU: Выполнить сухую примерку плат и кабельных вводов; ничего не подрезать без NCR/ECO. EN: Dry-fit PCBs and glands; do not trim parts without an NCR/ECO.</w:t>
      </w:r>
    </w:p>
    <w:p>
      <w:pPr>
        <w:spacing w:after="60"/>
        <w:ind w:left="360" w:hanging="259"/>
      </w:pPr>
      <w:r>
        <w:t>4. RU: Записать lot корпуса и 3D-printed/vacuum-cast part IDs. EN: Record enclosure lot and 3D-printed/vacuum-cast part IDs.</w:t>
      </w:r>
    </w:p>
    <w:p>
      <w:pPr>
        <w:pStyle w:val="Heading1"/>
      </w:pPr>
      <w:r>
        <w:t>6. Монтаж PCB-MAIN, антенн и коаксиалов Upper electronics module</w:t>
      </w:r>
    </w:p>
    <w:p>
      <w:pPr>
        <w:spacing w:after="60"/>
        <w:ind w:left="360" w:hanging="259"/>
      </w:pPr>
      <w:r>
        <w:t>1. RU: Установить стойки и isolators по mechanical drawing. EN: Install standoffs and isolators per the mechanical drawing.</w:t>
      </w:r>
    </w:p>
    <w:p>
      <w:pPr>
        <w:spacing w:after="60"/>
        <w:ind w:left="360" w:hanging="259"/>
      </w:pPr>
      <w:r>
        <w:t>2. RU: Убедиться, что под платой нет стружки, провода или выступающего крепежа. EN: Ensure no chips, wires or protruding fasteners remain below the board.</w:t>
      </w:r>
    </w:p>
    <w:p>
      <w:pPr>
        <w:spacing w:after="60"/>
        <w:ind w:left="360" w:hanging="259"/>
      </w:pPr>
      <w:r>
        <w:t>3. RU: Установить PCB-MAIN без изгиба. Крепеж затягивать крест-накрест в два прохода. EN: Install PCB-MAIN without bending and tighten fasteners in a cross pattern in two passes.</w:t>
      </w:r>
    </w:p>
    <w:p>
      <w:pPr>
        <w:spacing w:after="60"/>
        <w:ind w:left="360" w:hanging="259"/>
      </w:pPr>
      <w:r>
        <w:t>4. RU: Фактический torque записать; PASS возможен только при APPROVED параметре PAR-A01. EN: Record actual torque; PASS requires parameter PAR-A01 APPROVED.</w:t>
      </w:r>
    </w:p>
    <w:p>
      <w:pPr>
        <w:spacing w:after="60"/>
        <w:ind w:left="360" w:hanging="259"/>
      </w:pPr>
      <w:r>
        <w:t>5. RU: Подключить antenna/coax, проверить mating, bend radius, strain relief and antenna keepout. EN: Connect antenna/coax and verify mating, bend radius, strain relief and antenna keepout.</w:t>
      </w:r>
    </w:p>
    <w:p>
      <w:pPr>
        <w:spacing w:after="60"/>
        <w:ind w:left="360" w:hanging="259"/>
      </w:pPr>
      <w:r>
        <w:t>6. RU: Сохранить фото до закрытия модуля. EN: Retain a photo before closing the module.</w:t>
      </w:r>
    </w:p>
    <w:p>
      <w:pPr>
        <w:pStyle w:val="Heading1"/>
      </w:pPr>
      <w:r>
        <w:t>7. Геометрия четырех микрофонов Four-microphone geometry</w:t>
      </w:r>
    </w:p>
    <w:p>
      <w:pPr>
        <w:spacing w:after="60"/>
        <w:ind w:left="360" w:hanging="259"/>
      </w:pPr>
      <w:r>
        <w:t>1. RU: Установить PCB-MIC1…4 по идентификаторам, не менять местами после calibration record. EN: Install PCB-MIC1…4 by identity and do not swap after the calibration record.</w:t>
      </w:r>
    </w:p>
    <w:p>
      <w:pPr>
        <w:spacing w:after="60"/>
        <w:ind w:left="360" w:hanging="259"/>
      </w:pPr>
      <w:r>
        <w:t>2. RU: Не касаться MEMS port инструментом, клеем, герметиком или сжатым воздухом. EN: Keep tools, adhesive, sealant and compressed air away from the MEMS port.</w:t>
      </w:r>
    </w:p>
    <w:p>
      <w:pPr>
        <w:spacing w:after="60"/>
        <w:ind w:left="360" w:hanging="259"/>
      </w:pPr>
      <w:r>
        <w:t>3. RU: Установить mounts, membranes and acoustic path in the documented orientation. EN: Install mounts, membranes and acoustic path in the documented orientation.</w:t>
      </w:r>
    </w:p>
    <w:p>
      <w:pPr>
        <w:spacing w:after="60"/>
        <w:ind w:left="360" w:hanging="259"/>
      </w:pPr>
      <w:r>
        <w:t>4. RU: Подключить H-MIC1…4, сохранив одинаковые длины; сервисные петли не пережимать. EN: Connect H-MIC1…4 at equal lengths and do not pinch service loops.</w:t>
      </w:r>
    </w:p>
    <w:p>
      <w:pPr>
        <w:spacing w:after="60"/>
        <w:ind w:left="360" w:hanging="259"/>
      </w:pPr>
      <w:r>
        <w:t>5. RU: Измерить triangle sides, MIC4 offset, heights and orientation with the approved jig; записать actual values and photo. EN: Measure triangle sides, MIC4 offset, heights and orientation with the approved jig and record actual values and a photo.</w:t>
      </w:r>
    </w:p>
    <w:p>
      <w:pPr>
        <w:spacing w:after="60"/>
        <w:ind w:left="360" w:hanging="259"/>
      </w:pPr>
      <w:r>
        <w:t>6. RU: До заморозки численных геометрических пределов B01 результат остается HOLD. EN: Until B01 freezes numeric geometry limits the result remains HOLD.</w:t>
      </w:r>
    </w:p>
    <w:p>
      <w:pPr>
        <w:pStyle w:val="Heading1"/>
      </w:pPr>
      <w:r>
        <w:t>8. PCB-PWR, аккумулятор и нижний модуль Lower power module</w:t>
      </w:r>
    </w:p>
    <w:p>
      <w:pPr>
        <w:spacing w:after="60"/>
        <w:ind w:left="360" w:hanging="259"/>
      </w:pPr>
      <w:r>
        <w:t>1. RU: Проверить полярность battery, fuse, BMS and MPPT на обесточенном узле. EN: Verify battery, fuse, BMS and MPPT polarity while unpowered.</w:t>
      </w:r>
    </w:p>
    <w:p>
      <w:pPr>
        <w:spacing w:after="60"/>
        <w:ind w:left="360" w:hanging="259"/>
      </w:pPr>
      <w:r>
        <w:t>2. RU: Установить PCB-PWR по drawing; фактический torque записать и сопоставить с PAR-A02. EN: Install PCB-PWR per drawing, record actual torque and compare with PAR-A02.</w:t>
      </w:r>
    </w:p>
    <w:p>
      <w:pPr>
        <w:spacing w:after="60"/>
        <w:ind w:left="360" w:hanging="259"/>
      </w:pPr>
      <w:r>
        <w:t>3. RU: Подключить H-BAT-PWR: negative остается отсоединенным до финальной проверки полярности. EN: Connect H-BAT-PWR while leaving negative disconnected until final polarity review.</w:t>
      </w:r>
    </w:p>
    <w:p>
      <w:pPr>
        <w:spacing w:after="60"/>
        <w:ind w:left="360" w:hanging="259"/>
      </w:pPr>
      <w:r>
        <w:t>4. RU: M8 torque и направление наконечника принимаются только при APPROVED PAR-A03. EN: M8 torque and lug orientation are accepted only when PAR-A03 is APPROVED.</w:t>
      </w:r>
    </w:p>
    <w:p>
      <w:pPr>
        <w:spacing w:after="60"/>
        <w:ind w:left="360" w:hanging="259"/>
      </w:pPr>
      <w:r>
        <w:t>5. RU: Установить strain relief так, чтобы нагрузка не передавалась на разъем и вывод батареи. EN: Install strain relief so no load reaches the connector or battery terminal.</w:t>
      </w:r>
    </w:p>
    <w:p>
      <w:pPr>
        <w:pStyle w:val="Heading1"/>
      </w:pPr>
      <w:r>
        <w:t>9. Межмодульные соединения Interconnect</w:t>
      </w:r>
    </w:p>
    <w:p>
      <w:pPr>
        <w:spacing w:after="60"/>
        <w:ind w:left="360" w:hanging="259"/>
      </w:pPr>
      <w:r>
        <w:t>1. RU: Подключить H-MAIN-PWR при снятом питании и проверить keying. EN: Connect H-MAIN-PWR with power removed and verify keying.</w:t>
      </w:r>
    </w:p>
    <w:p>
      <w:pPr>
        <w:spacing w:after="60"/>
        <w:ind w:left="360" w:hanging="259"/>
      </w:pPr>
      <w:r>
        <w:t>2. RU: Выполнить continuity and polarity from battery input through PCB-PWR to PCB-MAIN. EN: Check continuity and polarity from battery input through PCB-PWR to PCB-MAIN.</w:t>
      </w:r>
    </w:p>
    <w:p>
      <w:pPr>
        <w:spacing w:after="60"/>
        <w:ind w:left="360" w:hanging="259"/>
      </w:pPr>
      <w:r>
        <w:t>3. RU: Проверить отсутствие cross-short и rail-to-ground short по утвержденным пределам. EN: Verify no cross-short or rail-to-ground short against approved limits.</w:t>
      </w:r>
    </w:p>
    <w:p>
      <w:pPr>
        <w:spacing w:after="60"/>
        <w:ind w:left="360" w:hanging="259"/>
      </w:pPr>
      <w:r>
        <w:t>4. RU: Уложить силовые, RF и микрофонные линии раздельно, исключить switching-node coupling. EN: Separate power, RF and microphone routes and avoid switching-node coupling.</w:t>
      </w:r>
    </w:p>
    <w:p>
      <w:pPr>
        <w:spacing w:after="60"/>
        <w:ind w:left="360" w:hanging="259"/>
      </w:pPr>
      <w:r>
        <w:t>5. RU: Зафиксировать routing photos до закрытия корпуса. EN: Capture routing photos before closing the enclosure.</w:t>
      </w:r>
    </w:p>
    <w:p>
      <w:pPr>
        <w:pStyle w:val="Heading1"/>
      </w:pPr>
      <w:r>
        <w:t>10. Уплотнения и закрытие Seals and closure</w:t>
      </w:r>
    </w:p>
    <w:p>
      <w:pPr>
        <w:spacing w:after="60"/>
        <w:ind w:left="360" w:hanging="259"/>
      </w:pPr>
      <w:r>
        <w:t>1. RU: Осмотреть seals, membranes, vents and glands; загрязненные или поврежденные одноразовые элементы заменить. EN: Inspect seals, membranes, vents and glands and replace contaminated or damaged single-use parts.</w:t>
      </w:r>
    </w:p>
    <w:p>
      <w:pPr>
        <w:spacing w:after="60"/>
        <w:ind w:left="360" w:hanging="259"/>
      </w:pPr>
      <w:r>
        <w:t>2. RU: Уложить seal без перекручивания, растяжения или discontinuity. EN: Seat the seal without twist, stretch or discontinuity.</w:t>
      </w:r>
    </w:p>
    <w:p>
      <w:pPr>
        <w:spacing w:after="60"/>
        <w:ind w:left="360" w:hanging="259"/>
      </w:pPr>
      <w:r>
        <w:t>3. RU: Закрывать корпус по утвержденной sequence and torque plan PAR-A04/PAR-A05. EN: Close the enclosure under approved sequence and torque plan PAR-A04/PAR-A05.</w:t>
      </w:r>
    </w:p>
    <w:p>
      <w:pPr>
        <w:spacing w:after="60"/>
        <w:ind w:left="360" w:hanging="259"/>
      </w:pPr>
      <w:r>
        <w:t>4. RU: Записать фактические torques, tool ID and calibration due date. EN: Record actual torques, tool ID and calibration due date.</w:t>
      </w:r>
    </w:p>
    <w:p>
      <w:pPr>
        <w:spacing w:after="60"/>
        <w:ind w:left="360" w:hanging="259"/>
      </w:pPr>
      <w:r>
        <w:t>5. RU: Leak test выполняется после электрической безопасности и до уличного воздействия. EN: Perform leak testing after electrical safety and before outdoor exposure.</w:t>
      </w:r>
    </w:p>
    <w:p>
      <w:pPr>
        <w:pStyle w:val="Heading1"/>
      </w:pPr>
      <w:r>
        <w:t>11. Предпусковой контроль Pre-power checklist</w:t>
      </w:r>
    </w:p>
    <w:p>
      <w:pPr>
        <w:spacing w:after="60"/>
        <w:ind w:left="360" w:hanging="259"/>
      </w:pPr>
      <w:r>
        <w:t>1. RU: Отключить battery, solar input, USB-C and external interfaces, кроме измерительных. EN: Disconnect battery, solar input, USB-C and external interfaces except measurement connections.</w:t>
      </w:r>
    </w:p>
    <w:p>
      <w:pPr>
        <w:spacing w:after="60"/>
        <w:ind w:left="360" w:hanging="259"/>
      </w:pPr>
      <w:r>
        <w:t>2. RU: Проверить ориентацию всех полярных разъемов, fuse rating and protective devices. EN: Verify all polarized connectors, fuse rating and protective devices.</w:t>
      </w:r>
    </w:p>
    <w:p>
      <w:pPr>
        <w:spacing w:after="60"/>
        <w:ind w:left="360" w:hanging="259"/>
      </w:pPr>
      <w:r>
        <w:t>3. RU: Измерить resistance to ground каждой rail и записать meter range, settling time and value. EN: Measure each rail resistance to ground and record meter range, settling time and value.</w:t>
      </w:r>
    </w:p>
    <w:p>
      <w:pPr>
        <w:spacing w:after="60"/>
        <w:ind w:left="360" w:hanging="259"/>
      </w:pPr>
      <w:r>
        <w:t>4. RU: Подключить лабораторный источник с current limit, утвержденным в PAR-P01. EN: Connect a bench supply with the current limit approved in PAR-P01.</w:t>
      </w:r>
    </w:p>
    <w:p>
      <w:pPr>
        <w:spacing w:after="60"/>
        <w:ind w:left="360" w:hanging="259"/>
      </w:pPr>
      <w:r>
        <w:t>5. RU: Подключить thermal camera and voltage probes до подачи питания. EN: Connect the thermal camera and voltage probes before applying power.</w:t>
      </w:r>
    </w:p>
    <w:p>
      <w:pPr>
        <w:pStyle w:val="Heading1"/>
      </w:pPr>
      <w:r>
        <w:t>12. Первое включение Initial power-up</w:t>
      </w:r>
    </w:p>
    <w:p>
      <w:pPr>
        <w:spacing w:after="60"/>
        <w:ind w:left="360" w:hanging="259"/>
      </w:pPr>
      <w:r>
        <w:t>1. RU: Подать входное напряжение по утвержденному B01 профилю; не подключать батарею одновременно. EN: Apply input voltage under the approved B01 profile and do not connect the battery simultaneously.</w:t>
      </w:r>
    </w:p>
    <w:p>
      <w:pPr>
        <w:spacing w:after="60"/>
        <w:ind w:left="360" w:hanging="259"/>
      </w:pPr>
      <w:r>
        <w:t>2. RU: Записать inrush current, steady current, 3V3, 3V8, 1V8, input voltage and timestamps. EN: Record inrush current, steady current, 3V3, 3V8, 1V8, input voltage and timestamps.</w:t>
      </w:r>
    </w:p>
    <w:p>
      <w:pPr>
        <w:spacing w:after="60"/>
        <w:ind w:left="360" w:hanging="259"/>
      </w:pPr>
      <w:r>
        <w:t>3. RU: Наблюдать thermal image и rails в течение времени PAR-P02. EN: Observe thermal image and rails for the duration in PAR-P02.</w:t>
      </w:r>
    </w:p>
    <w:p>
      <w:pPr>
        <w:spacing w:after="60"/>
        <w:ind w:left="360" w:hanging="259"/>
      </w:pPr>
      <w:r>
        <w:t>4. RU: Немедленно снять питание при current limit, smoke, odor, abnormal sound, unstable rail or abnormal heating. EN: Remove power immediately on current limit, smoke, odor, abnormal sound, unstable rail or abnormal heating.</w:t>
      </w:r>
    </w:p>
    <w:p>
      <w:pPr>
        <w:spacing w:after="60"/>
        <w:ind w:left="360" w:hanging="259"/>
      </w:pPr>
      <w:r>
        <w:t>5. RU: Не повторять включение после аварийного события без NCR disposition. EN: Do not reapply power after an abnormal event without NCR disposition.</w:t>
      </w:r>
    </w:p>
    <w:p>
      <w:pPr>
        <w:spacing w:after="60"/>
        <w:ind w:left="360" w:hanging="259"/>
      </w:pPr>
      <w:r>
        <w:t>6. RU: Сохранить source log, waveform, thermal image and SHA-256. EN: Retain source log, waveform, thermal image and SHA-256.</w:t>
      </w:r>
    </w:p>
    <w:p>
      <w:pPr>
        <w:pStyle w:val="Heading1"/>
      </w:pPr>
      <w:r>
        <w:t>13. Подключение аккумулятора Battery connection</w:t>
      </w:r>
    </w:p>
    <w:p>
      <w:pPr>
        <w:spacing w:after="60"/>
        <w:ind w:left="360" w:hanging="259"/>
      </w:pPr>
      <w:r>
        <w:t>1. RU: Разрешается только после PASS лабораторного первого включения и независимой проверки полярности. EN: Allowed only after laboratory first-power PASS and independent polarity verification.</w:t>
      </w:r>
    </w:p>
    <w:p>
      <w:pPr>
        <w:spacing w:after="60"/>
        <w:ind w:left="360" w:hanging="259"/>
      </w:pPr>
      <w:r>
        <w:t>2. RU: Подключить positive then negative with insulated tools; disconnect in reverse order. EN: Connect positive then negative with insulated tools and disconnect in reverse order.</w:t>
      </w:r>
    </w:p>
    <w:p>
      <w:pPr>
        <w:spacing w:after="60"/>
        <w:ind w:left="360" w:hanging="259"/>
      </w:pPr>
      <w:r>
        <w:t>3. RU: Проверить отсутствие искрения, перегрева, BMS trip and reverse current. EN: Verify absence of arcing, overheating, BMS trip and reverse current.</w:t>
      </w:r>
    </w:p>
    <w:p>
      <w:pPr>
        <w:spacing w:after="60"/>
        <w:ind w:left="360" w:hanging="259"/>
      </w:pPr>
      <w:r>
        <w:t>4. RU: Выполнить charging/MPPT check по утвержденному профилю; до утверждения профиля оставить HOLD. EN: Perform charging/MPPT checks under the approved profile; keep HOLD until the profile is approved.</w:t>
      </w:r>
    </w:p>
    <w:p>
      <w:pPr>
        <w:pStyle w:val="Heading1"/>
      </w:pPr>
      <w:r>
        <w:t>14. Передача на прошивку и provisioning Handoff</w:t>
      </w:r>
    </w:p>
    <w:p>
      <w:pPr>
        <w:jc w:val="both"/>
      </w:pPr>
      <w:r>
        <w:t xml:space="preserve">RU: Передавать станцию только с закрытыми assembly and first-power checklists, PCBA evidence, harness records, torque records, board/harness IDs, NCR list and evidence SHA-256. Firmware, Android APK, certificates, time synchronization and EOL выполняются по </w:t>
      </w:r>
      <w:r>
        <w:rPr>
          <w:rFonts w:ascii="Consolas" w:hAnsi="Consolas"/>
          <w:color w:val="1F4E78"/>
          <w:sz w:val="17"/>
        </w:rPr>
        <w:t>EVT_PRE_20_FIRMWARE_COMMISSIONING_TEST_MANUAL_REV_D</w:t>
      </w:r>
      <w:r>
        <w:t>, PKI and synchronization instructions. Candidate 2026101601 не считать final production lock до аппаратной квалификации.</w:t>
      </w:r>
    </w:p>
    <w:p>
      <w:pPr>
        <w:jc w:val="both"/>
      </w:pPr>
      <w:r>
        <w:t xml:space="preserve">EN: Transfer the station only with closed assembly and first-power checklists, PCBA evidence, harness records, torque records, board/harness IDs, NCR list and evidence SHA-256. Firmware, Android APK, certificates, time synchronization and EOL follow </w:t>
      </w:r>
      <w:r>
        <w:rPr>
          <w:rFonts w:ascii="Consolas" w:hAnsi="Consolas"/>
          <w:color w:val="1F4E78"/>
          <w:sz w:val="17"/>
        </w:rPr>
        <w:t>EVT_PRE_20_FIRMWARE_COMMISSIONING_TEST_MANUAL_REV_D</w:t>
      </w:r>
      <w:r>
        <w:t xml:space="preserve"> plus PKI and synchronization instructions. Candidate 2026101601 is not the final production lock until hardware qualification closes.</w:t>
      </w:r>
    </w:p>
    <w:p>
      <w:pPr>
        <w:pStyle w:val="Heading1"/>
      </w:pPr>
      <w:r>
        <w:t>15. EOL, ремонт и повторная проверка EOL and rework</w:t>
      </w:r>
    </w:p>
    <w:p>
      <w:pPr>
        <w:spacing w:after="60"/>
        <w:ind w:left="360" w:hanging="259"/>
      </w:pPr>
      <w:r>
        <w:t>1. RU: Полный EOL обязателен для каждой из 41 station identities. EN: Complete EOL is mandatory for every one of the 41 station identities.</w:t>
      </w:r>
    </w:p>
    <w:p>
      <w:pPr>
        <w:spacing w:after="60"/>
        <w:ind w:left="360" w:hanging="259"/>
      </w:pPr>
      <w:r>
        <w:t>2. RU: После ремонта повторить затронутую операцию, electrical safety, first power and полный regression EOL. EN: After rework repeat the affected operation, electrical safety, first power and complete regression EOL.</w:t>
      </w:r>
    </w:p>
    <w:p>
      <w:pPr>
        <w:spacing w:after="60"/>
        <w:ind w:left="360" w:hanging="259"/>
      </w:pPr>
      <w:r>
        <w:t>3. RU: Результат PASS запрещен при blank mandatory field, missing evidence, OPEN parameter, expired calibration or unresolved NCR. EN: PASS is prohibited with a blank mandatory field, missing evidence, OPEN parameter, expired calibration or unresolved NCR.</w:t>
      </w:r>
    </w:p>
    <w:p>
      <w:pPr>
        <w:pStyle w:val="Heading1"/>
      </w:pPr>
      <w:r>
        <w:t>16. Записи и подписи Records and sign-off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376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Запись Record</w:t>
            </w:r>
          </w:p>
        </w:tc>
        <w:tc>
          <w:tcPr>
            <w:tcW w:type="dxa" w:w="4824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Обязательные поля Mandatory fields</w:t>
            </w:r>
          </w:p>
        </w:tc>
        <w:tc>
          <w:tcPr>
            <w:tcW w:type="dxa" w:w="2880"/>
            <w:vAlign w:val="center"/>
            <w:shd w:fill="1F4E7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Подпись Sign-off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Traveller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serial, HW IDs, operation, timestamp, result, evidence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plus QC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Torque record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joint, approved parameter, actual value, tool, calibration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plus QC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First power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setup, currents, rails, thermal, source logs, SHA-256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operator plus reviewer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NCR/rework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defect, cause, action, replaced parts, retest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DF3F8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MRB authorization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Unit passport</w:t>
            </w:r>
          </w:p>
        </w:tc>
        <w:tc>
          <w:tcPr>
            <w:tcW w:type="dxa" w:w="48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HW/FW revisions, certificates, EOL, site handoff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QA release</w:t>
            </w:r>
          </w:p>
        </w:tc>
      </w:tr>
    </w:tbl>
    <w:p>
      <w:pPr>
        <w:spacing w:after="20"/>
      </w:pPr>
    </w:p>
    <w:p>
      <w:pPr>
        <w:jc w:val="both"/>
      </w:pPr>
      <w:r>
        <w:t xml:space="preserve">RU: Рабочие формы находятся в </w:t>
      </w:r>
      <w:r>
        <w:rPr>
          <w:rFonts w:ascii="Consolas" w:hAnsi="Consolas"/>
          <w:color w:val="1F4E78"/>
          <w:sz w:val="17"/>
        </w:rPr>
        <w:t>EVT_PRE_20_OPERATION_CARDS_AND_CHECKLISTS_REV_B.xlsx</w:t>
      </w:r>
      <w:r>
        <w:t xml:space="preserve"> и соответствующих CSV. Формула или автоматически вычисленный PASS не заменяет подпись контролера.</w:t>
      </w:r>
    </w:p>
    <w:p>
      <w:pPr>
        <w:jc w:val="both"/>
      </w:pPr>
      <w:r>
        <w:t xml:space="preserve">EN: Working forms are in </w:t>
      </w:r>
      <w:r>
        <w:rPr>
          <w:rFonts w:ascii="Consolas" w:hAnsi="Consolas"/>
          <w:color w:val="1F4E78"/>
          <w:sz w:val="17"/>
        </w:rPr>
        <w:t>EVT_PRE_20_OPERATION_CARDS_AND_CHECKLISTS_REV_B.xlsx</w:t>
      </w:r>
      <w:r>
        <w:t xml:space="preserve"> and the corresponding CSV files. A formula or automatically calculated PASS does not replace reviewer approval.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REV B • EVT_PRE_20_REV_D10   </w:t>
    </w:r>
    <w:r>
      <w:t xml:space="preserve">Страница / 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595959"/>
        <w:sz w:val="16"/>
      </w:rPr>
      <w:t>Дионея EVT-PRE-20 | Контролируемый документ / Controlled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40" w:lineRule="auto" w:after="7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A4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42A4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42A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 сборке, первому включению и передаче на EOL Дионея EVT-PRE-20</dc:title>
  <dc:subject>EVT-PRE-20 bilingual controlled manufacturing instruction</dc:subject>
  <dc:creator>Проект Дионея</dc:creator>
  <cp:keywords>EVT-PRE-20, Dioneya, manufacturing, checklist, RU, EN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