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Заказ антенн и RF-кабелей EVT-PRE-20</w:t>
      </w:r>
    </w:p>
    <w:p>
      <w:pPr/>
      <w:r>
        <w:t>Дионея · EVT-PRE-20 · 30 сентября 2026 года · Rev D</w:t>
      </w:r>
    </w:p>
    <w:p>
      <w:r>
        <w:t>Заказ охватывает 22 аппаратных комплекта: 20 станций и два комплекта резерва. Использовать точные MPN без замены.</w:t>
      </w:r>
    </w:p>
    <w:p>
      <w:pPr>
        <w:pStyle w:val="2"/>
      </w:pPr>
      <w:r>
        <w:t>Состав заказа</w:t>
      </w:r>
    </w:p>
    <w:p>
      <w:r>
        <w:t>66 пигтейлов Taoglas CAB.0243: по три на комплект, длина 150 мм, кабель 1,13 мм, MHF I/U.FL-совместимый угловой разъём на стороне платы и герметичный SMA(F) bulkhead нормальной полярности.</w:t>
      </w:r>
    </w:p>
    <w:p>
      <w:r>
        <w:t>22 антенны LTE Taoglas G30.B.108111 для тракта J8; 22 активные GNSS антенны Taoglas AA.166.A.301111 для J9; 22 антенны RU868 Taoglas TI.89.B.2111W для J10.</w:t>
      </w:r>
    </w:p>
    <w:p>
      <w:pPr>
        <w:pStyle w:val="2"/>
      </w:pPr>
      <w:r>
        <w:t>Соединения</w:t>
      </w:r>
    </w:p>
    <w:p>
      <w:r>
        <w:t>J8 PCB-MAIN → CAB.0243 → SMA bulkhead → G30.B.108111. J9 PCB-MAIN → CAB.0243 → SMA bulkhead → AA.166.A.301111. J10 PCB-MAIN → CAB.0243 → SMA bulkhead → TI.89.B.2111W.</w:t>
      </w:r>
    </w:p>
    <w:p>
      <w:r>
        <w:t>Не менять местами J8/J9/J10. Радиус изгиба CAB.0243 не менее 6,8 мм. Зафиксировать маркировку CELL, GNSS и RU868 на обоих концах; кабель не прокладывать через силовые узлы и острые кромки.</w:t>
      </w:r>
    </w:p>
    <w:p>
      <w:pPr>
        <w:pStyle w:val="2"/>
      </w:pPr>
      <w:r>
        <w:t>Входной контроль и EOL</w:t>
      </w:r>
    </w:p>
    <w:p>
      <w:r>
        <w:t>Для каждого CAB.0243 проверить длину, целостность, нормальную SMA-полярность, фиксацию MHF/U.FL, отсутствие повреждений и проводимость экрана/центрального контакта без короткого замыкания. После монтажа проверить затяжку bulkhead, уплотнение, радиус изгиба и разгрузку натяжения.</w:t>
      </w:r>
    </w:p>
    <w:p>
      <w:r>
        <w:t>LTE: установленный VSWR/потери, attach и coexistence. GNSS: ток активной антенны при 3,3 В не более 50 мА, чувствительность и PPS. RU868: VSWR, мощность, чувствительность, coexistence и соответствие профилю RU868. Результаты привязать к серийному номеру станции.</w:t>
      </w:r>
    </w:p>
    <w:p>
      <w:pPr>
        <w:pStyle w:val="2"/>
      </w:pPr>
      <w:r>
        <w:t>Документы поставки</w:t>
      </w:r>
    </w:p>
    <w:p>
      <w:r>
        <w:t>Счёт и упаковочный лист должны содержать точные MPN, количество и партию. Для G30.B.108111 зафиксировать фактически заказанную конструкцию кабеля, поскольку в опубликованных материалах производителя встречались разные описания. Любая замена требует ECO.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rFonts w:ascii="Arial" w:hAnsi="Arial"/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rFonts w:ascii="Arial" w:hAnsi="Arial"/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