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Задание на изготовление и монтаж плат EVT-PRE-20</w:t>
      </w:r>
    </w:p>
    <w:p>
      <w:pPr/>
      <w:r>
        <w:t>Дионея · EVT-PRE-20 · 30 сентября 2026 года · Rev D</w:t>
      </w:r>
    </w:p>
    <w:p>
      <w:pPr/>
      <w:r>
        <w:t>Rev D заменяет Rev C. Передавать фабрике только папки из этого архива и проверять контрольные суммы манифеста.</w:t>
      </w:r>
    </w:p>
    <w:p>
      <w:pPr>
        <w:pStyle w:val="2"/>
      </w:pPr>
      <w:r>
        <w:t>PCB-MAIN</w:t>
      </w:r>
    </w:p>
    <w:p>
      <w:pPr/>
      <w:r>
        <w:t>Плата разведена: DRC 0 ошибок, 0 незавершённых соединений, ERC 0. Заказ выполняется после DFM фабрики и подтверждения stack ID/материалов/переходных отверстий по официальной технологической карте фабрики. Заказать 22 PCBA: 20 для станций и 2 резервные. U12 microSD устанавливается вне платы; DNP — 15 позиций. Базис: 8 слоёв, 1,6 мм, ENIG, 1 oz наружной и 0,5 oz внутренней меди, POFV для 74 отмеченных переходов; фактический стек и импеданс подтвердить в DFM.</w:t>
      </w:r>
    </w:p>
    <w:p>
      <w:pPr>
        <w:pStyle w:val="2"/>
      </w:pPr>
      <w:r>
        <w:t>PCB-PWR</w:t>
      </w:r>
    </w:p>
    <w:p>
      <w:pPr/>
      <w:r>
        <w:t>Заказать 22 PCBA: 20 для станций и 2 резервные. Базис JLC04161H-3313A: четыре слоя, 1,6 мм, ENIG, наружная медь 2 oz / 70 мкм, внутренняя 1 oz / 35 мкм. Фабрика подтверждает фактический stack ID, металлизацию переходных отверстий и DFM; изменения файлов проходят ECO.</w:t>
      </w:r>
    </w:p>
    <w:p>
      <w:pPr>
        <w:pStyle w:val="2"/>
      </w:pPr>
      <w:r>
        <w:t>PCB-MIC</w:t>
      </w:r>
    </w:p>
    <w:p>
      <w:pPr/>
      <w:r>
        <w:t>Review B принят для управляемого выпуска. Заказать 80 PCBA по Rev B: сначала одна плата или панель, затем остальные 79 после проверки акустического отверстия, MK1 и PDM. DRC/ERC/unconnected — 0/0/0.</w:t>
      </w:r>
    </w:p>
    <w:p>
      <w:pPr/>
      <w:r>
        <w:t>Запрещено использовать PCB-MIC из Rev C: в нём были ошибочные метки сверления и геометрия кольца MK1. Rev D содержит отдельные PTH/NPTH, исправленный трафарет и точные MPN.</w:t>
      </w:r>
    </w:p>
    <w:p>
      <w:pPr>
        <w:pStyle w:val="2"/>
      </w:pPr>
      <w:r>
        <w:t>Общие правила</w:t>
      </w:r>
    </w:p>
    <w:p>
      <w:pPr/>
      <w:r>
        <w:t>Любое предложение фабрики, изменяющее стек, CAM, отверстия, трафарет, посадочные места, MPN или панель, регистрируется до производства. Отчёты электротеста, AOI/X-ray и DFM включаются в дело заказа.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rFonts w:ascii="Arial" w:hAnsi="Arial"/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rFonts w:ascii="Arial" w:hAnsi="Arial"/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