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PCB-PWR Rev E — диспозиция диагностики схемы</w:t>
      </w:r>
    </w:p>
    <w:p>
      <w:pPr/>
      <w:r>
        <w:t>Дионея · EVT-PRE-20 · 30 сентября 2026 года · Rev D</w:t>
      </w:r>
    </w:p>
    <w:p>
      <w:pPr/>
      <w:r>
        <w:t>Документ фиксирует разбор 251 диагностического сообщения и производственную трактовку BOM/DNP для Rev D. Физических расхождений связности не обнаружено.</w:t>
      </w:r>
    </w:p>
    <w:p>
      <w:pPr>
        <w:pStyle w:val="2"/>
      </w:pPr>
      <w:r>
        <w:t>Итог проверки</w:t>
      </w:r>
    </w:p>
    <w:p>
      <w:pPr/>
      <w:r>
        <w:t>171 сообщение относится к разной записи иерархических имён одной и той же цепи; одно сообщение относится к ожидаемому NC выводу U5. Эти записи не меняют связность.</w:t>
      </w:r>
    </w:p>
    <w:p>
      <w:pPr/>
      <w:r>
        <w:t>62 сообщения относятся к пустому полю Datasheet на плате; 10 — к различию подробного Value схемы и короткого значения платы. Точные производственные MPN заданы в PCB-PWR_BOM_PCBA.csv и книге BOM XLSX.</w:t>
      </w:r>
    </w:p>
    <w:p>
      <w:pPr/>
      <w:r>
        <w:t>Семь сообщений exclude_from_BOM относятся к пяти DNP резисторам и трём медным net tie; часть сообщений объединена по группам. Их производственная диспозиция дана отдельным CSV.</w:t>
      </w:r>
    </w:p>
    <w:p>
      <w:pPr>
        <w:pStyle w:val="2"/>
      </w:pPr>
      <w:r>
        <w:t>Правила монтажа</w:t>
      </w:r>
    </w:p>
    <w:p>
      <w:pPr/>
      <w:r>
        <w:t>Установить 44 позиции из PCB-PWR_BOM_PCBA.csv по PCB-PWR_pos.csv и двуязычной сборочной схеме. R5, R9, R13, R14 и R15 не устанавливать и не закупать как детали.</w:t>
      </w:r>
    </w:p>
    <w:p>
      <w:pPr/>
      <w:r>
        <w:t>NT1, NT2 и NT3 являются рисунком меди платы; отдельные перемычки или компоненты не устанавливаются и не закупаются. TP1–TP10 и H1–H4 также являются элементами печатной платы.</w:t>
      </w:r>
    </w:p>
    <w:p>
      <w:pPr/>
      <w:r>
        <w:t>D1 применять как Littelfuse SMBJ18A, однонаправленный TVS. Физическая проверка импульсного режима выполняется в EVT и не разрешает замену MPN без ECO.</w:t>
      </w:r>
    </w:p>
    <w:p>
      <w:pPr>
        <w:pStyle w:val="2"/>
      </w:pPr>
      <w:r>
        <w:t>Статус</w:t>
      </w:r>
    </w:p>
    <w:p>
      <w:pPr/>
      <w:r>
        <w:t>Диагностика schematic parity закрыта диспозицией для передачи в производство. Фабричный DFM, фактический stack ID, контроль первого изделия и последующие электрические/тепловые испытания выполняются по заданию на платы.</w:t>
      </w:r>
    </w:p>
    <w:p>
      <w:pPr/>
      <w:r>
        <w:t>EN: schematic parity diagnostics are dispositioned for manufacturing handoff. Use the exact PCBA BOM, DNP list, position file and bilingual assembly drawing. Fabricator DFM, stack confirmation and first-article tests remain mandatory production controls.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rFonts w:ascii="Arial" w:hAnsi="Arial"/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rFonts w:ascii="Arial" w:hAnsi="Arial"/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