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50" w:line="360" w:lineRule="auto" w:after="60"/>
        <w:ind w:firstLine="709"/>
        <w:jc w:val="center"/>
      </w:pPr>
      <w:r>
        <w:rPr>
          <w:rFonts w:ascii="Times New Roman" w:hAnsi="Times New Roman" w:eastAsia="Times New Roman"/>
          <w:b/>
          <w:color w:val="182327"/>
          <w:sz w:val="28"/>
        </w:rPr>
        <w:t>МОНТАЖНАЯ СХЕМА ПАЯНОЙ МАКЕТНОЙ ПЛАТЫ 70 × 90 ММ</w:t>
      </w:r>
    </w:p>
    <w:p>
      <w:pPr>
        <w:spacing w:line="360" w:lineRule="auto" w:after="60"/>
        <w:ind w:firstLine="709"/>
        <w:jc w:val="center"/>
      </w:pPr>
      <w:r>
        <w:rPr>
          <w:rFonts w:ascii="Times New Roman" w:hAnsi="Times New Roman" w:eastAsia="Times New Roman"/>
          <w:b/>
          <w:color w:val="137A4B"/>
          <w:sz w:val="28"/>
        </w:rPr>
        <w:t>РКД.025 / EVT-MB</w:t>
      </w:r>
    </w:p>
    <w:p>
      <w:pPr>
        <w:spacing w:line="360" w:lineRule="auto" w:after="60"/>
        <w:ind w:firstLine="709"/>
        <w:jc w:val="center"/>
      </w:pPr>
      <w:r>
        <w:rPr>
          <w:rFonts w:ascii="Times New Roman" w:hAnsi="Times New Roman" w:eastAsia="Times New Roman"/>
          <w:b/>
          <w:color w:val="B33A3A"/>
          <w:sz w:val="28"/>
        </w:rPr>
        <w:t>Редакция 1.3 · статус: OPEN · 07.09.2026</w:t>
      </w:r>
    </w:p>
    <w:p>
      <w:pPr>
        <w:spacing w:line="360" w:lineRule="auto" w:after="60"/>
        <w:ind w:firstLine="709"/>
      </w:pPr>
      <w:r>
        <w:rPr>
          <w:rFonts w:ascii="Times New Roman" w:hAnsi="Times New Roman" w:eastAsia="Times New Roman"/>
          <w:sz w:val="28"/>
        </w:rPr>
        <w:t>Документ задаёт размещение элементов, распайку разъёмов, перемычки, сечения проводов, контрольные точки и порядок первого включения одной станции EVT-MB на WeAct STM32U585CIU6.</w:t>
      </w:r>
    </w:p>
    <w:p>
      <w:pPr>
        <w:pStyle w:val="Heading1"/>
        <w:keepNext/>
        <w:spacing w:line="360" w:lineRule="auto" w:after="60"/>
        <w:ind w:firstLine="0"/>
      </w:pPr>
      <w:r>
        <w:rPr>
          <w:rFonts w:ascii="Times New Roman" w:hAnsi="Times New Roman" w:eastAsia="Times New Roman"/>
          <w:sz w:val="32"/>
        </w:rPr>
        <w:t>1 Границы решения</w:t>
      </w:r>
    </w:p>
    <w:p>
      <w:pPr>
        <w:pStyle w:val="ListBullet"/>
        <w:spacing w:line="360" w:lineRule="auto" w:after="60"/>
        <w:ind w:firstLine="0"/>
      </w:pPr>
      <w:r>
        <w:rPr>
          <w:rFonts w:ascii="Times New Roman" w:hAnsi="Times New Roman" w:eastAsia="Times New Roman"/>
          <w:sz w:val="28"/>
        </w:rPr>
        <w:t>Основа - двусторонняя макетная плата 70 × 90 мм с металлизированными отверстиями и шагом 2,54 мм.</w:t>
      </w:r>
    </w:p>
    <w:p>
      <w:pPr>
        <w:pStyle w:val="ListBullet"/>
        <w:spacing w:line="360" w:lineRule="auto" w:after="60"/>
        <w:ind w:firstLine="0"/>
      </w:pPr>
      <w:r>
        <w:rPr>
          <w:rFonts w:ascii="Times New Roman" w:hAnsi="Times New Roman" w:eastAsia="Times New Roman"/>
          <w:sz w:val="28"/>
        </w:rPr>
        <w:t>Беспаечные breadboard-платы не применяются.</w:t>
      </w:r>
    </w:p>
    <w:p>
      <w:pPr>
        <w:pStyle w:val="ListBullet"/>
        <w:spacing w:line="360" w:lineRule="auto" w:after="60"/>
        <w:ind w:firstLine="0"/>
      </w:pPr>
      <w:r>
        <w:rPr>
          <w:rFonts w:ascii="Times New Roman" w:hAnsi="Times New Roman" w:eastAsia="Times New Roman"/>
          <w:sz w:val="28"/>
        </w:rPr>
        <w:t>WeAct, GNSS, SX1262, BLE, microSD, датчики и внешние микрофонные жгуты выполнены съёмными.</w:t>
      </w:r>
    </w:p>
    <w:p>
      <w:pPr>
        <w:pStyle w:val="ListBullet"/>
        <w:spacing w:line="360" w:lineRule="auto" w:after="60"/>
        <w:ind w:firstLine="0"/>
      </w:pPr>
      <w:r>
        <w:rPr>
          <w:rFonts w:ascii="Times New Roman" w:hAnsi="Times New Roman" w:eastAsia="Times New Roman"/>
          <w:sz w:val="28"/>
        </w:rPr>
        <w:t>Силовое питание BG95 проходит отдельным жгутом XT30 0,75 мм² и не заводится на carrier 70 × 90 мм.</w:t>
      </w:r>
    </w:p>
    <w:p>
      <w:pPr>
        <w:pStyle w:val="ListBullet"/>
        <w:spacing w:line="360" w:lineRule="auto" w:after="60"/>
        <w:ind w:firstLine="0"/>
      </w:pPr>
      <w:r>
        <w:rPr>
          <w:rFonts w:ascii="Times New Roman" w:hAnsi="Times New Roman" w:eastAsia="Times New Roman"/>
          <w:sz w:val="28"/>
        </w:rPr>
        <w:t>До пайки гребёнок U1 обязателен входной замер конкретной ревизии WeAct; вывод выбирается по шелкографии PAx/PBx, а не только по номеру контакта.</w:t>
      </w:r>
    </w:p>
    <w:p>
      <w:pPr>
        <w:spacing w:line="360" w:lineRule="auto" w:after="60"/>
        <w:ind w:firstLine="709"/>
      </w:pPr>
      <w:r>
        <w:rPr>
          <w:rFonts w:ascii="Times New Roman" w:hAnsi="Times New Roman" w:eastAsia="Times New Roman"/>
          <w:sz w:val="28"/>
        </w:rPr>
        <w:br w:type="page"/>
      </w:r>
    </w:p>
    <w:p>
      <w:pPr>
        <w:pStyle w:val="Heading1"/>
        <w:keepNext/>
        <w:spacing w:line="360" w:lineRule="auto" w:after="60"/>
        <w:ind w:firstLine="0"/>
      </w:pPr>
      <w:r>
        <w:rPr>
          <w:rFonts w:ascii="Times New Roman" w:hAnsi="Times New Roman" w:eastAsia="Times New Roman"/>
          <w:sz w:val="32"/>
        </w:rPr>
        <w:t>2 Размещение элементов</w:t>
      </w:r>
    </w:p>
    <w:p>
      <w:pPr>
        <w:spacing w:line="360" w:lineRule="auto" w:after="60"/>
        <w:ind w:firstLine="709"/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7020000" cy="5357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erfboard_70x90_component_s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535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0"/>
        <w:ind w:firstLine="709"/>
      </w:pPr>
      <w:r>
        <w:rPr>
          <w:rFonts w:ascii="Times New Roman" w:hAnsi="Times New Roman" w:eastAsia="Times New Roman"/>
          <w:sz w:val="28"/>
        </w:rPr>
        <w:br w:type="page"/>
      </w:r>
    </w:p>
    <w:p>
      <w:pPr>
        <w:pStyle w:val="Heading1"/>
        <w:keepNext/>
        <w:spacing w:line="360" w:lineRule="auto" w:after="60"/>
        <w:ind w:firstLine="0"/>
      </w:pPr>
      <w:r>
        <w:rPr>
          <w:rFonts w:ascii="Times New Roman" w:hAnsi="Times New Roman" w:eastAsia="Times New Roman"/>
          <w:sz w:val="32"/>
        </w:rPr>
        <w:t>2.1 Таблица размещения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  <w:gridCol w:w="2041"/>
        <w:gridCol w:w="2041"/>
      </w:tblGrid>
      <w:tr>
        <w:trPr>
          <w:tblHeader w:val="true"/>
          <w:cantSplit/>
          <w:tblHeader w:val="true"/>
          <w:cantSplit/>
        </w:trPr>
        <w:tc>
          <w:tcPr>
            <w:tcW w:type="dxa" w:w="2041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Поз.</w:t>
            </w:r>
          </w:p>
        </w:tc>
        <w:tc>
          <w:tcPr>
            <w:tcW w:type="dxa" w:w="2041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Элемент</w:t>
            </w:r>
          </w:p>
        </w:tc>
        <w:tc>
          <w:tcPr>
            <w:tcW w:type="dxa" w:w="2041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Сторона</w:t>
            </w:r>
          </w:p>
        </w:tc>
        <w:tc>
          <w:tcPr>
            <w:tcW w:type="dxa" w:w="2041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Координаты сетки</w:t>
            </w:r>
          </w:p>
        </w:tc>
        <w:tc>
          <w:tcPr>
            <w:tcW w:type="dxa" w:w="2041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Ориентация</w:t>
            </w:r>
          </w:p>
        </w:tc>
        <w:tc>
          <w:tcPr>
            <w:tcW w:type="dxa" w:w="2041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Монтаж</w:t>
            </w:r>
          </w:p>
        </w:tc>
        <w:tc>
          <w:tcPr>
            <w:tcW w:type="dxa" w:w="2041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Контроль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MIC1, JST-XH-8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C1-C8 / R1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ключ наружу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вертикальный разъём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MIC1, L/R=LEFT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J2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MIC2, JST-XH-8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C10-C17 / R1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ключ наружу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вертикальный разъём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MIC2, L/R=RIGHT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J3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MIC3, JST-XH-8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C19-C26 / R1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ключ наружу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вертикальный разъём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MIC3, L/R=LEFT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J4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MIC4, JST-XH-8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C28-C35 / R1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ключ наружу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вертикальный разъём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MIC4, L/R=RIGHT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WeAct STM32U585CIU6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C7-C27 / R9-R17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USB вправо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2 съёмные гребёнки 2,54 мм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 пайки измерить конкретную ревизию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U2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Преобразователь уровней 3,3/1,8 В, 2 канала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C29-C33 / R9-R14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1,8 В к J10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панелька/штыри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ставить только если BG95 EVB не согласует уровни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Q1,Q2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2N7002 + резисторы PWRKEY/RESET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C29-C33 / R15-R17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затворы к U1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пайка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open-drain, активный 0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J5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GNSS, JST-XH-6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C1-C6 / R27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ключ наружу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угловой разъём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PPS обязателен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J6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SX1262, JST-XH-10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C8-C17 / R27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ключ наружу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угловой разъём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RU868, SPI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J7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microSD, JST-XH-6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C19-C24 / R27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ключ наружу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угловой разъём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SPI, отдельный CS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J8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BLE, JST-XH-4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C26-C29 / R27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ключ наружу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угловой разъём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UART 3,3 В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J9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I2C, JST-XH-4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C32-C35 / R27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ключ наружу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угловой разъём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INA226 + датчик температуры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BG95 logic, JST-XH-8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C35 / R9-R16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ключ вправо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угловой разъём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силовое питание BG95 сюда не заводить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J11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+5V carrier, JST-XH-2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C34-C35 / R19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ключ вправо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разъём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0,35 мм², предохранитель во внешнем жгуте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J12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SWD, JST-XH-5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C1 / R9-R13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ключ влево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угловой разъём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VTref=3,3 В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J13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TAMPER, JST-XH-2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C34-C35 / R21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ключ вправо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разъём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геркон, опция EVT-MB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R1,R2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33 Ом BCLK/WS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рядом с PA8/PA9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 критично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пайка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 далее 10 мм от гребёнки U1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R3,R4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4,7 кОм I2C pull-up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рядом с J9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 критично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пайка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на 3,3 В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C1-C10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0,1 мкФ + локально 10 мкФ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 разъёмов питания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короткая земля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пайка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проверить полярность 10 мкФ</w:t>
            </w:r>
          </w:p>
        </w:tc>
      </w:tr>
      <w:tr>
        <w:trPr>
          <w:cantSplit/>
          <w:cantSplit/>
        </w:trPr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TP1-TP6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3V3,GND,5V,BCLK,WS,PPS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компоненты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свободные площадки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маркировка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петля/штырь</w:t>
            </w:r>
          </w:p>
        </w:tc>
        <w:tc>
          <w:tcPr>
            <w:tcW w:type="dxa" w:w="204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 щупом после установки U1</w:t>
            </w:r>
          </w:p>
        </w:tc>
      </w:tr>
    </w:tbl>
    <w:p>
      <w:pPr>
        <w:spacing w:line="360" w:lineRule="auto" w:after="60"/>
        <w:ind w:firstLine="709"/>
      </w:pPr>
      <w:r>
        <w:rPr>
          <w:rFonts w:ascii="Times New Roman" w:hAnsi="Times New Roman" w:eastAsia="Times New Roman"/>
          <w:sz w:val="28"/>
        </w:rPr>
        <w:br w:type="page"/>
      </w:r>
    </w:p>
    <w:p>
      <w:pPr>
        <w:pStyle w:val="Heading1"/>
        <w:keepNext/>
        <w:spacing w:line="360" w:lineRule="auto" w:after="60"/>
        <w:ind w:firstLine="0"/>
      </w:pPr>
      <w:r>
        <w:rPr>
          <w:rFonts w:ascii="Times New Roman" w:hAnsi="Times New Roman" w:eastAsia="Times New Roman"/>
          <w:sz w:val="32"/>
        </w:rPr>
        <w:t>3 Сторона пайки и шины</w:t>
      </w:r>
    </w:p>
    <w:p>
      <w:pPr>
        <w:spacing w:line="360" w:lineRule="auto" w:after="60"/>
        <w:ind w:firstLine="709"/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7020000" cy="5357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erfboard_70x90_solder_si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535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60"/>
        <w:ind w:firstLine="709"/>
      </w:pPr>
      <w:r>
        <w:rPr>
          <w:rFonts w:ascii="Times New Roman" w:hAnsi="Times New Roman" w:eastAsia="Times New Roman"/>
          <w:sz w:val="28"/>
        </w:rPr>
        <w:br w:type="page"/>
      </w:r>
    </w:p>
    <w:p>
      <w:pPr>
        <w:spacing w:line="360" w:lineRule="auto" w:after="60"/>
        <w:ind w:firstLine="709"/>
      </w:pPr>
      <w:r>
        <w:rPr>
          <w:rFonts w:ascii="Times New Roman" w:hAnsi="Times New Roman" w:eastAsia="Times New Roman"/>
          <w:sz w:val="28"/>
        </w:rPr>
        <w:t>Шины GND, +3V3 и +5V выполняются непрерывными лужёными проводниками указанного сечения. Сигнальные перемычки выполняются МГТФ 0,12 мм²; I2S и PPS делают кратчайшими, без петель вокруг силового узла модема.</w:t>
      </w:r>
    </w:p>
    <w:p>
      <w:pPr>
        <w:pStyle w:val="Heading1"/>
        <w:keepNext/>
        <w:spacing w:line="360" w:lineRule="auto" w:after="60"/>
        <w:ind w:firstLine="0"/>
      </w:pPr>
      <w:r>
        <w:rPr>
          <w:rFonts w:ascii="Times New Roman" w:hAnsi="Times New Roman" w:eastAsia="Times New Roman"/>
          <w:sz w:val="32"/>
        </w:rPr>
        <w:t>4 Полная распайка съёмных разъёмов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72"/>
        <w:gridCol w:w="3572"/>
        <w:gridCol w:w="3572"/>
        <w:gridCol w:w="3572"/>
      </w:tblGrid>
      <w:tr>
        <w:trPr>
          <w:tblHeader w:val="true"/>
          <w:cantSplit/>
          <w:tblHeader w:val="true"/>
          <w:cantSplit/>
        </w:trPr>
        <w:tc>
          <w:tcPr>
            <w:tcW w:type="dxa" w:w="3572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Разъём</w:t>
            </w:r>
          </w:p>
        </w:tc>
        <w:tc>
          <w:tcPr>
            <w:tcW w:type="dxa" w:w="3572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Контакты по порядку</w:t>
            </w:r>
          </w:p>
        </w:tc>
        <w:tc>
          <w:tcPr>
            <w:tcW w:type="dxa" w:w="3572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Сечение</w:t>
            </w:r>
          </w:p>
        </w:tc>
        <w:tc>
          <w:tcPr>
            <w:tcW w:type="dxa" w:w="3572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Примечание</w:t>
            </w:r>
          </w:p>
        </w:tc>
      </w:tr>
      <w:tr>
        <w:trPr>
          <w:cantSplit/>
          <w:cantSplit/>
        </w:trPr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1=3V3; 2=GND; 3=BCLK; 4=GND; 5=WS; 6=GND; 7=DATA_A; 8=GND/SHIELD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0,20-0,22 мм²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питание микрофона; витая пара с 3V3; витая пара с GND; возврат BCLK; возврат WS; I2S, strap L/R=LEFT; экран со стороны carrier</w:t>
            </w:r>
          </w:p>
        </w:tc>
      </w:tr>
      <w:tr>
        <w:trPr>
          <w:cantSplit/>
          <w:cantSplit/>
        </w:trPr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J2</w:t>
            </w:r>
          </w:p>
        </w:tc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1=3V3; 2=GND; 3=BCLK; 4=GND; 5=WS; 6=GND; 7=DATA_A; 8=GND/SHIELD</w:t>
            </w:r>
          </w:p>
        </w:tc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0,20-0,22 мм²</w:t>
            </w:r>
          </w:p>
        </w:tc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питание микрофона; витая пара с 3V3; витая пара с GND; возврат BCLK; возврат WS; I2S, strap L/R=RIGHT; экран со стороны carrier</w:t>
            </w:r>
          </w:p>
        </w:tc>
      </w:tr>
      <w:tr>
        <w:trPr>
          <w:cantSplit/>
          <w:cantSplit/>
        </w:trPr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J3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1=3V3; 2=GND; 3=BCLK; 4=GND; 5=WS; 6=GND; 7=DATA_B; 8=GND/SHIELD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0,20-0,22 мм²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питание микрофона; витая пара с 3V3; витая пара с GND; возврат BCLK; возврат WS; I2S, strap L/R=LEFT; экран со стороны carrier</w:t>
            </w:r>
          </w:p>
        </w:tc>
      </w:tr>
      <w:tr>
        <w:trPr>
          <w:cantSplit/>
          <w:cantSplit/>
        </w:trPr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J4</w:t>
            </w:r>
          </w:p>
        </w:tc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1=3V3; 2=GND; 3=BCLK; 4=GND; 5=WS; 6=GND; 7=DATA_B; 8=GND/SHIELD</w:t>
            </w:r>
          </w:p>
        </w:tc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0,20-0,22 мм²</w:t>
            </w:r>
          </w:p>
        </w:tc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питание микрофона; витая пара с 3V3; витая пара с GND; возврат BCLK; возврат WS; I2S, strap L/R=RIGHT; экран со стороны carrier</w:t>
            </w:r>
          </w:p>
        </w:tc>
      </w:tr>
      <w:tr>
        <w:trPr>
          <w:cantSplit/>
          <w:cantSplit/>
        </w:trPr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J5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1=3V3; 2=GND; 3=GNSS_RX; 4=GNSS_TX; 5=PPS; 6=NC/SHIELD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0,12-0,20 мм²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GNSS; PA2 → RX модуля; TX модуля → PA3; → PB3/TIM2_CH2; не соединять без проверки модуля</w:t>
            </w:r>
          </w:p>
        </w:tc>
      </w:tr>
      <w:tr>
        <w:trPr>
          <w:cantSplit/>
          <w:cantSplit/>
        </w:trPr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J6</w:t>
            </w:r>
          </w:p>
        </w:tc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1=3V3; 2=GND; 3=SCK; 4=MISO; 5=MOSI; 6=NSS; 7=DIO1; 8=BUSY; 9=RESET; 10=GND</w:t>
            </w:r>
          </w:p>
        </w:tc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0,12-0,20 мм²</w:t>
            </w:r>
          </w:p>
        </w:tc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SX1262; PA5; PA6; PA7; PB0; PB2; PB8; PB9; возврат</w:t>
            </w:r>
          </w:p>
        </w:tc>
      </w:tr>
      <w:tr>
        <w:trPr>
          <w:cantSplit/>
          <w:cantSplit/>
        </w:trPr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J7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1=3V3; 2=GND; 3=SCK; 4=MISO; 5=MOSI; 6=CS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0,12-0,20 мм²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microSD; PA5; PA6; PA7; PA4</w:t>
            </w:r>
          </w:p>
        </w:tc>
      </w:tr>
      <w:tr>
        <w:trPr>
          <w:cantSplit/>
          <w:cantSplit/>
        </w:trPr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J8</w:t>
            </w:r>
          </w:p>
        </w:tc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1=3V3; 2=GND; 3=BLE_RX; 4=BLE_TX</w:t>
            </w:r>
          </w:p>
        </w:tc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0,12-0,20 мм²</w:t>
            </w:r>
          </w:p>
        </w:tc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BLE; PB10 → RX модуля; TX модуля → PB11</w:t>
            </w:r>
          </w:p>
        </w:tc>
      </w:tr>
      <w:tr>
        <w:trPr>
          <w:cantSplit/>
          <w:cantSplit/>
        </w:trPr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J9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1=3V3; 2=GND; 3=SCL; 4=SDA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0,12-0,20 мм²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I2C; PB13, pull-up 4,7 кОм; PB14, pull-up 4,7 кОм</w:t>
            </w:r>
          </w:p>
        </w:tc>
      </w:tr>
      <w:tr>
        <w:trPr>
          <w:cantSplit/>
          <w:cantSplit/>
        </w:trPr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J10</w:t>
            </w:r>
          </w:p>
        </w:tc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1=GND; 2=1V8_REF; 3=BG95_RX; 4=BG95_TX; 5=PWRKEY; 6=RESET_N; 7=STATUS; 8=DTR</w:t>
            </w:r>
          </w:p>
        </w:tc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0,12-0,20 мм²</w:t>
            </w:r>
          </w:p>
        </w:tc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общая логическая земля; опорный уровень EVB; PB6 через U2 → MAIN_RXD; MAIN_TXD через U2 → PB7; PB1 через Q1; PB4 через Q2; → PB15, проверить уровень; PB12, сон/пробуждение</w:t>
            </w:r>
          </w:p>
        </w:tc>
      </w:tr>
      <w:tr>
        <w:trPr>
          <w:cantSplit/>
          <w:cantSplit/>
        </w:trPr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J11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1=+5V; 2=GND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0,35 мм²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питание carrier/WeAct; звездная земля</w:t>
            </w:r>
          </w:p>
        </w:tc>
      </w:tr>
      <w:tr>
        <w:trPr>
          <w:cantSplit/>
          <w:cantSplit/>
        </w:trPr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J12</w:t>
            </w:r>
          </w:p>
        </w:tc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1=VTREF_3V3; 2=SWDIO; 3=GND; 4=SWCLK; 5=NRST</w:t>
            </w:r>
          </w:p>
        </w:tc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0,08-0,12 мм²</w:t>
            </w:r>
          </w:p>
        </w:tc>
        <w:tc>
          <w:tcPr>
            <w:tcW w:type="dxa" w:w="357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ST-Link; PA13; PA14; NRST</w:t>
            </w:r>
          </w:p>
        </w:tc>
      </w:tr>
      <w:tr>
        <w:trPr>
          <w:cantSplit/>
          <w:cantSplit/>
        </w:trPr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J13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1=TAMPER; 2=GND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0,12-0,20 мм²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PC13/вход по принятой BSP карте; геркон</w:t>
            </w:r>
          </w:p>
        </w:tc>
      </w:tr>
    </w:tbl>
    <w:p>
      <w:pPr>
        <w:pStyle w:val="Heading1"/>
        <w:keepNext/>
        <w:spacing w:line="360" w:lineRule="auto" w:after="60"/>
        <w:ind w:firstLine="0"/>
      </w:pPr>
      <w:r>
        <w:rPr>
          <w:rFonts w:ascii="Times New Roman" w:hAnsi="Times New Roman" w:eastAsia="Times New Roman"/>
          <w:sz w:val="32"/>
        </w:rPr>
        <w:t>5 Netlist пайки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  <w:gridCol w:w="2381"/>
        <w:gridCol w:w="2381"/>
      </w:tblGrid>
      <w:tr>
        <w:trPr>
          <w:tblHeader w:val="true"/>
          <w:cantSplit/>
          <w:tblHeader w:val="true"/>
          <w:cantSplit/>
        </w:trPr>
        <w:tc>
          <w:tcPr>
            <w:tcW w:type="dxa" w:w="2381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ID</w:t>
            </w:r>
          </w:p>
        </w:tc>
        <w:tc>
          <w:tcPr>
            <w:tcW w:type="dxa" w:w="2381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Откуда</w:t>
            </w:r>
          </w:p>
        </w:tc>
        <w:tc>
          <w:tcPr>
            <w:tcW w:type="dxa" w:w="2381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Куда</w:t>
            </w:r>
          </w:p>
        </w:tc>
        <w:tc>
          <w:tcPr>
            <w:tcW w:type="dxa" w:w="2381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Сигнал</w:t>
            </w:r>
          </w:p>
        </w:tc>
        <w:tc>
          <w:tcPr>
            <w:tcW w:type="dxa" w:w="2381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Исполнение на плате</w:t>
            </w:r>
          </w:p>
        </w:tc>
        <w:tc>
          <w:tcPr>
            <w:tcW w:type="dxa" w:w="2381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Проверка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W001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PA8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R1.1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BCLK_RAW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мм², ≤10 мм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нет КЗ на GND/3V3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W002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R1.2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J1.3,J2.3,J3.3,J4.3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BCLK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мм², дерево с короткими ответвлениями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R=33 Ом последовательно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W003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PA9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R2.1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WS_RAW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мм², ≤10 мм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нет КЗ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W004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R2.2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J1.5,J2.5,J3.5,J4.5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WS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R=33 Ом последовательно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W005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PA10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J1.7,J2.7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DATA_A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 объединять с DATA_B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W006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PB5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J3.7,J4.7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DATA_B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 объединять с DATA_A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W007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PA2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J5.3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GNSS_RX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TX→RX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W008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J5.4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PA3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GNSS_TX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RX←TX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W009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J5.5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PB3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PPS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мм², кратчайший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фронт на TIM2_CH2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W010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PA5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J6.3,J7.3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SPI_SCK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≤8 МГц EVT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W011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J6.4,J7.4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PA6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SPI_MISO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общая шина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W012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PA7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J6.5,J7.5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SPI_MOSI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общая шина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W013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PB0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J6.6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LORA_NSS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отдельный CS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W014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J6.7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PB2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LORA_DIO1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EXTI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W015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J6.8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PB8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LORA_BUSY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timeout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W016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PB9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J6.9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LORA_RESET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активный 0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W017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PA4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J7.6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SD_NSS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отдельный CS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W018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PB10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J8.3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BLE_RX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TX→RX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W019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J8.4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PB11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BLE_TX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RX←TX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W020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PB13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R3/J9.3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I2C_SCL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pull-up 4,7 кОм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W021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PB14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R4/J9.4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I2C_SDA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pull-up 4,7 кОм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W022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PB6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U2.AIN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BG95_RX_3V3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через U2 либо 0 Ом после входного контроля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W023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U2.AOUT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J10.3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BG95_RX_1V8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проверить 1,8 В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W024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J10.4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U2.BIN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BG95_TX_1V8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проверить 1,8 В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W025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U2.BOUT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PB7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BG95_TX_3V3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UART 115200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W026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PB1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Q1 gate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BG95_PWRKEY_CTL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open-drain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W027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Q1 drain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J10.5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PWRKEY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активный 0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W028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PB4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Q2 gate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BG95_RESET_CTL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open-drain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W029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Q2 drain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J10.6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RESET_N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активный 0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W030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J10.7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PB15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BG95_STATUS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уровень подтвержден входным контролем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W031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PB12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J10.8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BG95_DTR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0,12 мм²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сон/пробуждение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W032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J12.2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PA13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SWDIO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0,08-0,12 мм²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 переназначать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W033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J12.4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PA14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SWCLK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0,08-0,12 мм²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 переназначать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W034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J12.5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NRST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NRST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МГТФ 0,08-0,12 мм²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доступен при установленном U1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P001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J11.1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5V/VIN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+5V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шина 0,35 мм²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4,75-5,25 В под нагрузкой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P002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U1 3V3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J1-9 3V3 pins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+3V3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лужёная Cu шина 0,35 мм²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3,20-3,40 В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P003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J11.2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все GND pins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GND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звезда + лужёная Cu шина 0,50 мм²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&lt;0,1 Ом до каждой точки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P004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DC/DC 4V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BG95 EVB VBAT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MODEM_4V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отдельный XT30, 0,75 мм²</w:t>
            </w:r>
          </w:p>
        </w:tc>
        <w:tc>
          <w:tcPr>
            <w:tcW w:type="dxa" w:w="2381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 проходит через плату 70×90</w:t>
            </w:r>
          </w:p>
        </w:tc>
      </w:tr>
    </w:tbl>
    <w:p>
      <w:pPr>
        <w:pStyle w:val="Heading1"/>
        <w:keepNext/>
        <w:spacing w:line="360" w:lineRule="auto" w:after="60"/>
        <w:ind w:firstLine="0"/>
      </w:pPr>
      <w:r>
        <w:rPr>
          <w:rFonts w:ascii="Times New Roman" w:hAnsi="Times New Roman" w:eastAsia="Times New Roman"/>
          <w:sz w:val="32"/>
        </w:rPr>
        <w:t>6 Порядок сборки</w:t>
      </w:r>
    </w:p>
    <w:p>
      <w:pPr>
        <w:spacing w:line="360" w:lineRule="auto" w:after="60"/>
        <w:ind w:firstLine="709"/>
      </w:pPr>
      <w:r>
        <w:rPr>
          <w:rFonts w:ascii="Times New Roman" w:hAnsi="Times New Roman" w:eastAsia="Times New Roman"/>
          <w:sz w:val="28"/>
        </w:rPr>
        <w:t>1. Нанести маркировку C1-C35 и R1-R27, проверить фактический размер платы.</w:t>
      </w:r>
    </w:p>
    <w:p>
      <w:pPr>
        <w:spacing w:line="360" w:lineRule="auto" w:after="60"/>
        <w:ind w:firstLine="709"/>
      </w:pPr>
      <w:r>
        <w:rPr>
          <w:rFonts w:ascii="Times New Roman" w:hAnsi="Times New Roman" w:eastAsia="Times New Roman"/>
          <w:sz w:val="28"/>
        </w:rPr>
        <w:t>2. Примерить WeAct, разъёмы и корпус без пайки. Зафиксировать ревизию и ориентацию USB.</w:t>
      </w:r>
    </w:p>
    <w:p>
      <w:pPr>
        <w:spacing w:line="360" w:lineRule="auto" w:after="60"/>
        <w:ind w:firstLine="709"/>
      </w:pPr>
      <w:r>
        <w:rPr>
          <w:rFonts w:ascii="Times New Roman" w:hAnsi="Times New Roman" w:eastAsia="Times New Roman"/>
          <w:sz w:val="28"/>
        </w:rPr>
        <w:t>3. Впаять шины GND, +3V3 и +5V; прозвонить сопротивление между шинами.</w:t>
      </w:r>
    </w:p>
    <w:p>
      <w:pPr>
        <w:spacing w:line="360" w:lineRule="auto" w:after="60"/>
        <w:ind w:firstLine="709"/>
      </w:pPr>
      <w:r>
        <w:rPr>
          <w:rFonts w:ascii="Times New Roman" w:hAnsi="Times New Roman" w:eastAsia="Times New Roman"/>
          <w:sz w:val="28"/>
        </w:rPr>
        <w:t>4. Впаять разъёмы J1-J13, гребёнки U1, R1-R4, Q1/Q2, U2/перемычки и конденсаторы.</w:t>
      </w:r>
    </w:p>
    <w:p>
      <w:pPr>
        <w:spacing w:line="360" w:lineRule="auto" w:after="60"/>
        <w:ind w:firstLine="709"/>
      </w:pPr>
      <w:r>
        <w:rPr>
          <w:rFonts w:ascii="Times New Roman" w:hAnsi="Times New Roman" w:eastAsia="Times New Roman"/>
          <w:sz w:val="28"/>
        </w:rPr>
        <w:t>5. Выполнить W001-W034 и P001-P004 строго по таблице netlist, маркируя каждый закрытый провод.</w:t>
      </w:r>
    </w:p>
    <w:p>
      <w:pPr>
        <w:spacing w:line="360" w:lineRule="auto" w:after="60"/>
        <w:ind w:firstLine="709"/>
      </w:pPr>
      <w:r>
        <w:rPr>
          <w:rFonts w:ascii="Times New Roman" w:hAnsi="Times New Roman" w:eastAsia="Times New Roman"/>
          <w:sz w:val="28"/>
        </w:rPr>
        <w:t>6. До установки модулей проверить отсутствие КЗ, полярность и сопротивление GND до каждого контакта.</w:t>
      </w:r>
    </w:p>
    <w:p>
      <w:pPr>
        <w:spacing w:line="360" w:lineRule="auto" w:after="60"/>
        <w:ind w:firstLine="709"/>
      </w:pPr>
      <w:r>
        <w:rPr>
          <w:rFonts w:ascii="Times New Roman" w:hAnsi="Times New Roman" w:eastAsia="Times New Roman"/>
          <w:sz w:val="28"/>
        </w:rPr>
        <w:t>7. Первое включение выполнить от лабораторного источника 5,0 В с ограничением 0,20 А и без BG95.</w:t>
      </w:r>
    </w:p>
    <w:p>
      <w:pPr>
        <w:spacing w:line="360" w:lineRule="auto" w:after="60"/>
        <w:ind w:firstLine="709"/>
      </w:pPr>
      <w:r>
        <w:rPr>
          <w:rFonts w:ascii="Times New Roman" w:hAnsi="Times New Roman" w:eastAsia="Times New Roman"/>
          <w:sz w:val="28"/>
        </w:rPr>
        <w:t>8. Установить WeAct, прошить тест GPIO/UART, затем подключать модули по одному: GNSS, I2S, SX1262, microSD, BLE, I2C и последним BG95.</w:t>
      </w:r>
    </w:p>
    <w:p>
      <w:pPr>
        <w:pStyle w:val="Heading1"/>
        <w:keepNext/>
        <w:spacing w:line="360" w:lineRule="auto" w:after="60"/>
        <w:ind w:firstLine="0"/>
      </w:pPr>
      <w:r>
        <w:rPr>
          <w:rFonts w:ascii="Times New Roman" w:hAnsi="Times New Roman" w:eastAsia="Times New Roman"/>
          <w:sz w:val="32"/>
        </w:rPr>
        <w:t>7 Приёмка carrier до аппаратного EVT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  <w:gridCol w:w="4762"/>
      </w:tblGrid>
      <w:tr>
        <w:trPr>
          <w:tblHeader w:val="true"/>
          <w:cantSplit/>
          <w:tblHeader w:val="true"/>
          <w:cantSplit/>
        </w:trPr>
        <w:tc>
          <w:tcPr>
            <w:tcW w:type="dxa" w:w="4762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Проверка</w:t>
            </w:r>
          </w:p>
        </w:tc>
        <w:tc>
          <w:tcPr>
            <w:tcW w:type="dxa" w:w="4762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Критерий</w:t>
            </w:r>
          </w:p>
        </w:tc>
        <w:tc>
          <w:tcPr>
            <w:tcW w:type="dxa" w:w="4762"/>
            <w:vAlign w:val="center"/>
            <w:shd w:fill="137A4B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Статус до измерения</w:t>
            </w:r>
          </w:p>
        </w:tc>
      </w:tr>
      <w:tr>
        <w:trPr>
          <w:cantSplit/>
          <w:cantSplit/>
        </w:trPr>
        <w:tc>
          <w:tcPr>
            <w:tcW w:type="dxa" w:w="476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GND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менее 0,1 Ом до каждого разъёма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NOT RUN</w:t>
            </w:r>
          </w:p>
        </w:tc>
      </w:tr>
      <w:tr>
        <w:trPr>
          <w:cantSplit/>
          <w:cantSplit/>
        </w:trPr>
        <w:tc>
          <w:tcPr>
            <w:tcW w:type="dxa" w:w="476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КЗ питания</w:t>
            </w:r>
          </w:p>
        </w:tc>
        <w:tc>
          <w:tcPr>
            <w:tcW w:type="dxa" w:w="476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между GND/+3V3/+5V нет низкого сопротивления</w:t>
            </w:r>
          </w:p>
        </w:tc>
        <w:tc>
          <w:tcPr>
            <w:tcW w:type="dxa" w:w="476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NOT RUN</w:t>
            </w:r>
          </w:p>
        </w:tc>
      </w:tr>
      <w:tr>
        <w:trPr>
          <w:cantSplit/>
          <w:cantSplit/>
        </w:trPr>
        <w:tc>
          <w:tcPr>
            <w:tcW w:type="dxa" w:w="476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+5V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4,75-5,25 В под нагрузкой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NOT RUN</w:t>
            </w:r>
          </w:p>
        </w:tc>
      </w:tr>
      <w:tr>
        <w:trPr>
          <w:cantSplit/>
          <w:cantSplit/>
        </w:trPr>
        <w:tc>
          <w:tcPr>
            <w:tcW w:type="dxa" w:w="476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+3V3</w:t>
            </w:r>
          </w:p>
        </w:tc>
        <w:tc>
          <w:tcPr>
            <w:tcW w:type="dxa" w:w="476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3,20-3,40 В</w:t>
            </w:r>
          </w:p>
        </w:tc>
        <w:tc>
          <w:tcPr>
            <w:tcW w:type="dxa" w:w="476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NOT RUN</w:t>
            </w:r>
          </w:p>
        </w:tc>
      </w:tr>
      <w:tr>
        <w:trPr>
          <w:cantSplit/>
          <w:cantSplit/>
        </w:trPr>
        <w:tc>
          <w:tcPr>
            <w:tcW w:type="dxa" w:w="476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PPS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фронт приходит на PB3/TIM2_CH2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NOT RUN</w:t>
            </w:r>
          </w:p>
        </w:tc>
      </w:tr>
      <w:tr>
        <w:trPr>
          <w:cantSplit/>
          <w:cantSplit/>
        </w:trPr>
        <w:tc>
          <w:tcPr>
            <w:tcW w:type="dxa" w:w="476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I2S</w:t>
            </w:r>
          </w:p>
        </w:tc>
        <w:tc>
          <w:tcPr>
            <w:tcW w:type="dxa" w:w="476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4 канала без DMA overrun</w:t>
            </w:r>
          </w:p>
        </w:tc>
        <w:tc>
          <w:tcPr>
            <w:tcW w:type="dxa" w:w="4762"/>
            <w:vAlign w:val="center"/>
            <w:shd w:fill="F7FAF8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NOT RUN</w:t>
            </w:r>
          </w:p>
        </w:tc>
      </w:tr>
      <w:tr>
        <w:trPr>
          <w:cantSplit/>
          <w:cantSplit/>
        </w:trPr>
        <w:tc>
          <w:tcPr>
            <w:tcW w:type="dxa" w:w="476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BG95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нет reset при импульсе передачи</w:t>
            </w:r>
          </w:p>
        </w:tc>
        <w:tc>
          <w:tcPr>
            <w:tcW w:type="dxa" w:w="4762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eastAsia="Times New Roman"/>
                <w:sz w:val="24"/>
              </w:rPr>
              <w:t>NOT RUN</w:t>
            </w:r>
          </w:p>
        </w:tc>
      </w:tr>
    </w:tbl>
    <w:p>
      <w:pPr>
        <w:spacing w:line="360" w:lineRule="auto" w:after="60"/>
        <w:ind w:firstLine="709"/>
      </w:pPr>
      <w:r>
        <w:rPr>
          <w:rFonts w:ascii="Times New Roman" w:hAnsi="Times New Roman" w:eastAsia="Times New Roman"/>
          <w:sz w:val="28"/>
        </w:rPr>
        <w:t>Приложения: EVT_MB_PERFBOARD_PLACEMENT_v1_3.csv, EVT_MB_CONNECTOR_PINOUT_v1_3.csv, EVT_MB_PERFBOARD_NETLIST_v1_3.csv и листы книги Таблицы_EVT_MB_v1_3.xlsx.</w:t>
      </w:r>
    </w:p>
    <w:sectPr w:rsidR="00FC693F" w:rsidRPr="0006063C" w:rsidSect="00034616">
      <w:headerReference w:type="default" r:id="rId11"/>
      <w:footerReference w:type="default" r:id="rId12"/>
      <w:pgSz w:w="16838" w:h="11906" w:orient="landscape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РКД_25_Монтажная_схема_платы_70x90_EVT_MB_v0_1</dc:title>
  <dc:subject>РС «Дионея» EVT-MB v1.3</dc:subject>
  <dc:creator>Проект РС «Дионея»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