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jc w:val="left"/>
      </w:pPr>
      <w:r>
        <w:t>Задание на изготовление и монтаж плат EVT-PRE-20</w:t>
      </w:r>
    </w:p>
    <w:p>
      <w:pPr/>
      <w:r>
        <w:t>Дионея · EVT-PRE-20 · 30 сентября 2026 года · Rev D</w:t>
      </w:r>
    </w:p>
    <w:p>
      <w:pPr/>
      <w:r>
        <w:t>Rev D заменяет Rev C. Передавать фабрике только папки из этого архива и проверять контрольные суммы манифеста.</w:t>
      </w:r>
    </w:p>
    <w:p>
      <w:pPr>
        <w:pStyle w:val="2"/>
      </w:pPr>
      <w:r>
        <w:t>PCB-MAIN</w:t>
      </w:r>
    </w:p>
    <w:p>
      <w:pPr/>
      <w:r>
        <w:t>Плата разведена: DRC 0 ошибок, 0 незавершённых соединений, ERC 0. Заказ выполняется после DFM фабрики и подтверждения stack ID/материалов/переходных отверстий по официальной технологической карте фабрики. В партии 20 PCBA; U12 microSD устанавливается вне платы; DNP — 15 позиций.</w:t>
      </w:r>
    </w:p>
    <w:p>
      <w:pPr>
        <w:pStyle w:val="2"/>
      </w:pPr>
      <w:r>
        <w:t>PCB-PWR</w:t>
      </w:r>
    </w:p>
    <w:p>
      <w:pPr/>
      <w:r>
        <w:t>Заказ разрешён заказчиком с заводской DFM-проверкой. Фабрика подтверждает фактический стек, металлизацию переходных отверстий и отклонения; изменения файлов проходят ECO.</w:t>
      </w:r>
    </w:p>
    <w:p>
      <w:pPr>
        <w:pStyle w:val="2"/>
      </w:pPr>
      <w:r>
        <w:t>PCB-MIC</w:t>
      </w:r>
    </w:p>
    <w:p>
      <w:pPr/>
      <w:r>
        <w:t>Review B принят для управляемого выпуска. Заказать 80 PCBA по Rev B: сначала одна плата или панель, затем остальные 79 после проверки акустического отверстия, MK1 и PDM. DRC/ERC/unconnected — 0/0/0.</w:t>
      </w:r>
    </w:p>
    <w:p>
      <w:pPr/>
      <w:r>
        <w:t>Запрещено использовать PCB-MIC из Rev C: в нём были ошибочные метки сверления и геометрия кольца MK1. Rev D содержит отдельные PTH/NPTH, исправленный трафарет и точные MPN.</w:t>
      </w:r>
    </w:p>
    <w:p>
      <w:pPr>
        <w:pStyle w:val="2"/>
      </w:pPr>
      <w:r>
        <w:t>Общие правила</w:t>
      </w:r>
    </w:p>
    <w:p>
      <w:pPr/>
      <w:r>
        <w:t>Любое предложение фабрики, изменяющее стек, CAM, отверстия, трафарет, посадочные места, MPN или панель, регистрируется до производства. Отчёты электротеста, AOI/X-ray и DFM включаются в дело заказа.</w:t>
      </w:r>
    </w:p>
    <w:sectPr w:rsidR="00C1460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rFonts w:ascii="Arial" w:hAnsi="Arial"/>
      <w:b/>
      <w:bCs/>
      <w:color w:val="000000"/>
      <w:sz w:val="32"/>
      <w:szCs w:val="32"/>
    </w:rPr>
  </w:style>
  <w:style w:type="paragraph" w:styleId="2">
    <w:name w:val="heading 2"/>
    <w:qFormat/>
    <w:pPr>
      <w:outlineLvl w:val="1"/>
    </w:pPr>
    <w:rPr>
      <w:rFonts w:ascii="Arial" w:hAnsi="Arial"/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rFonts w:ascii="Arial" w:hAnsi="Arial"/>
      <w:color w:val="000000"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