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</w:pPr>
      <w:r>
        <w:t>PCB-PWR Rev E — разбор диагностики схемы</w:t>
      </w:r>
    </w:p>
    <w:p>
      <w:r>
        <w:t>EVT-PRE-20 · 29.09.2026 · приложение к производственному пакету</w:t>
      </w:r>
    </w:p>
    <w:p>
      <w:r>
        <w:t>Источник: PCB-PWR_parity_drc.json для той же платы и иерархической схемы. Каждая запись индексирована по UUID в сопроводительном CSV.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Класс</w:t>
            </w:r>
          </w:p>
        </w:tc>
        <w:tc>
          <w:tcPr>
            <w:tcW w:type="dxa" w:w="3118"/>
          </w:tcPr>
          <w:p>
            <w:r>
              <w:t>Кол-во</w:t>
            </w:r>
          </w:p>
        </w:tc>
        <w:tc>
          <w:tcPr>
            <w:tcW w:type="dxa" w:w="3118"/>
          </w:tcPr>
          <w:p>
            <w:r>
              <w:t>Решение</w:t>
            </w:r>
          </w:p>
        </w:tc>
      </w:tr>
      <w:tr>
        <w:tc>
          <w:tcPr>
            <w:tcW w:type="dxa" w:w="3118"/>
          </w:tcPr>
          <w:p>
            <w:r>
              <w:t>Иерархический префикс имени цепи</w:t>
            </w:r>
          </w:p>
        </w:tc>
        <w:tc>
          <w:tcPr>
            <w:tcW w:type="dxa" w:w="3118"/>
          </w:tcPr>
          <w:p>
            <w:r>
              <w:t>171</w:t>
            </w:r>
          </w:p>
        </w:tc>
        <w:tc>
          <w:tcPr>
            <w:tcW w:type="dxa" w:w="3118"/>
          </w:tcPr>
          <w:p>
            <w:r>
              <w:t>Эквивалентное конечное имя; основной аудит связности PASS.</w:t>
            </w:r>
          </w:p>
        </w:tc>
      </w:tr>
      <w:tr>
        <w:tc>
          <w:tcPr>
            <w:tcW w:type="dxa" w:w="3118"/>
          </w:tcPr>
          <w:p>
            <w:r>
              <w:t>NC, U5 pad 4</w:t>
            </w:r>
          </w:p>
        </w:tc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Намеренно не соединён.</w:t>
            </w:r>
          </w:p>
        </w:tc>
      </w:tr>
      <w:tr>
        <w:tc>
          <w:tcPr>
            <w:tcW w:type="dxa" w:w="3118"/>
          </w:tcPr>
          <w:p>
            <w:r>
              <w:t>Поле Datasheet</w:t>
            </w:r>
          </w:p>
        </w:tc>
        <w:tc>
          <w:tcPr>
            <w:tcW w:type="dxa" w:w="3118"/>
          </w:tcPr>
          <w:p>
            <w:r>
              <w:t>0</w:t>
            </w:r>
          </w:p>
        </w:tc>
        <w:tc>
          <w:tcPr>
            <w:tcW w:type="dxa" w:w="3118"/>
          </w:tcPr>
          <w:p>
            <w:r>
              <w:t>На плате поле пустое; метаданные схемы сохранены.</w:t>
            </w:r>
          </w:p>
        </w:tc>
      </w:tr>
      <w:tr>
        <w:tc>
          <w:tcPr>
            <w:tcW w:type="dxa" w:w="3118"/>
          </w:tcPr>
          <w:p>
            <w:r>
              <w:t>Поле Value</w:t>
            </w:r>
          </w:p>
        </w:tc>
        <w:tc>
          <w:tcPr>
            <w:tcW w:type="dxa" w:w="3118"/>
          </w:tcPr>
          <w:p>
            <w:r>
              <w:t>9</w:t>
            </w:r>
          </w:p>
        </w:tc>
        <w:tc>
          <w:tcPr>
            <w:tcW w:type="dxa" w:w="3118"/>
          </w:tcPr>
          <w:p>
            <w:r>
              <w:t>Синхронизация с утверждённым BOM остаётся открытой.</w:t>
            </w:r>
          </w:p>
        </w:tc>
      </w:tr>
      <w:tr>
        <w:tc>
          <w:tcPr>
            <w:tcW w:type="dxa" w:w="3118"/>
          </w:tcPr>
          <w:p>
            <w:r>
              <w:t>Атрибут исключения из BOM</w:t>
            </w:r>
          </w:p>
        </w:tc>
        <w:tc>
          <w:tcPr>
            <w:tcW w:type="dxa" w:w="3118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Пять резисторов DNP и NT1–NT3; синхронизация флага схемы остаётся открытой.</w:t>
            </w:r>
          </w:p>
        </w:tc>
      </w:tr>
    </w:tbl>
    <w:p>
      <w:r>
        <w:t>Физических расхождений связности не обнаружено. Диагностика KiCad parity не отмечается PASS, пока открыты 17 позиций Value/BOM. KiCad 9 сообщает 189 записей; KiCad 10 дополнительно показывает 62 пустых поля Datasheet. Отдельная диспозиция 251 записи сохранена в архиве Review B R4. Этот документ не заменяет подпись независимой проверки Review B.</w:t>
      </w:r>
    </w:p>
    <w:p>
      <w:r>
        <w:t>EN: No physical net mismatch was observed. KiCad parity remains diagnostic while 17 Value/BOM attribute items are open. KiCad 10 also reports 62 blank Datasheet fields. The independent Review B sign-off is still required.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