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jc w:val="left"/>
      </w:pPr>
      <w:r>
        <w:t>PCB-MIC Rev B — задание на изготовление и монтаж</w:t>
      </w:r>
    </w:p>
    <w:p>
      <w:pPr/>
      <w:r>
        <w:t>Дионея · EVT-PRE-20 · 30 сентября 2026 года · Rev D</w:t>
      </w:r>
    </w:p>
    <w:p>
      <w:pPr/>
      <w:r>
        <w:t>Review B принят заказчиком для управляемого выпуска первого изделия. Партия первого лота — 80 PCBA: четыре платы на каждую из 20 станций.</w:t>
      </w:r>
    </w:p>
    <w:p>
      <w:pPr>
        <w:pStyle w:val="2"/>
      </w:pPr>
      <w:r>
        <w:t>Параметры платы</w:t>
      </w:r>
    </w:p>
    <w:p>
      <w:pPr/>
      <w:r>
        <w:t>Габарит 24 × 22 мм; толщина 1,0 мм; два слоя; FR-4; наружная медь 35 мкм; ENIG; зелёная маска; белая маркировка.</w:t>
      </w:r>
    </w:p>
    <w:p>
      <w:pPr/>
      <w:r>
        <w:t>H1/H2: NPTH Ø2,2 мм. Акустический порт MK1: NPTH Ø0,8 мм. Использовать отдельные файлы PTH и NPTH. Не добавлять фабричные метки сверления в Gerber трафарета или контура.</w:t>
      </w:r>
    </w:p>
    <w:p>
      <w:pPr/>
      <w:r>
        <w:t>Контрольная сумма исходной платы SHA-256: c57cebbb3886247166551fd242fa51350bc9be7fee6299e63e7eaac60518d518.</w:t>
      </w:r>
    </w:p>
    <w:p>
      <w:pPr>
        <w:pStyle w:val="2"/>
      </w:pPr>
      <w:r>
        <w:t>Монтаж</w:t>
      </w:r>
    </w:p>
    <w:p>
      <w:pPr/>
      <w:r>
        <w:t>Точные MPN: MK1 TDK InvenSense MMICT5838-00-012; J1 Molex 5040500691; C1 TDK CGA2B3X7R1E104K050BB; R1 Panasonic ERJ-2GE0R00X.</w:t>
      </w:r>
    </w:p>
    <w:p>
      <w:pPr/>
      <w:r>
        <w:t>Трафарет MK1 выполнять четырьмя раздельными дугами: наружный диаметр 1,525 мм, внутренний 1,025 мм, четыре разрыва 0,10 мм. Паста, клей, покрытие и загрязнение в акустическом отверстии запрещены.</w:t>
      </w:r>
    </w:p>
    <w:p>
      <w:pPr/>
      <w:r>
        <w:t>Проверить ориентацию pin 1 MK1 и J1 по сборочной схеме RU/EN. Панелизацию и отделение выполнить без изгиба зоны MEMS-микрофона.</w:t>
      </w:r>
    </w:p>
    <w:p>
      <w:pPr>
        <w:pStyle w:val="2"/>
      </w:pPr>
      <w:r>
        <w:t>Управляемый первый образец</w:t>
      </w:r>
    </w:p>
    <w:p>
      <w:pPr/>
      <w:r>
        <w:t>Изготовить и смонтировать одну плату или одну панель. До продолжения партии выполнить AOI/микроскопию MK1, проверить открытый неметаллизированный порт, отсутствие пасты/клея/покрытия, электрическую целостность и работу PDM.</w:t>
      </w:r>
    </w:p>
    <w:p>
      <w:pPr/>
      <w:r>
        <w:t>После документированного PASS первого изделия разрешается изготовить оставшиеся 79 PCBA без изменения файлов. Любое DFM-изменение CAM, стека, отверстий, посадочных мест или трафарета оформляется ECO до производства.</w:t>
      </w:r>
    </w:p>
    <w:p>
      <w:pPr>
        <w:pStyle w:val="2"/>
      </w:pPr>
      <w:r>
        <w:t>Приёмка</w:t>
      </w:r>
    </w:p>
    <w:p>
      <w:pPr/>
      <w:r>
        <w:t>Передать отчёт электротеста плат, AOI/микроскопию первого изделия, реальный stack ID, схему панели, профиль пайки и перечень принятых отклонений. Физическая акустическая калибровка выполняется после сборки станции по программе EVT.</w:t>
      </w:r>
    </w:p>
    <w:sectPr w:rsidR="00C1460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rFonts w:ascii="Arial" w:hAnsi="Arial"/>
      <w:b/>
      <w:bCs/>
      <w:color w:val="000000"/>
      <w:sz w:val="32"/>
      <w:szCs w:val="32"/>
    </w:rPr>
  </w:style>
  <w:style w:type="paragraph" w:styleId="2">
    <w:name w:val="heading 2"/>
    <w:qFormat/>
    <w:pPr>
      <w:outlineLvl w:val="1"/>
    </w:pPr>
    <w:rPr>
      <w:rFonts w:ascii="Arial" w:hAnsi="Arial"/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rFonts w:ascii="Arial" w:hAnsi="Arial"/>
      <w:color w:val="000000"/>
      <w:sz w:val="3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