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jc w:val="left"/>
      </w:pPr>
      <w:r>
        <w:t>Программа дополнительного дообучения Мухоеда</w:t>
      </w:r>
    </w:p>
    <w:p>
      <w:pPr/>
      <w:r>
        <w:t>Дионея · EVT-PRE-20 · 29 сентября 2026 года · комплект для подготовки закупки и производства</w:t>
      </w:r>
    </w:p>
    <w:p>
      <w:pPr/>
      <w:r>
        <w:t>Программа задаёт сбор новых записей и проверку моделей акустического обнаружения «Мухоеда» на станциях EVT-PRE-20. Точная классификация типа БПЛА остаётся исследовательской, пока независимые подтверждённые источники и отрицательный набор не обеспечат валидацию; состояние UNKNOWN в таком случае сохраняется как корректный результат.</w:t>
      </w:r>
    </w:p>
    <w:p>
      <w:pPr>
        <w:pStyle w:val="2"/>
      </w:pPr>
      <w:r>
        <w:t>Текущая база и цель</w:t>
      </w:r>
    </w:p>
    <w:p>
      <w:pPr/>
      <w:r>
        <w:t>Репозиторий содержит признаки локального датасета, политики происхождения v0.6/v0.7, модели семейств v0.8 и temporal type v0.6/v0.7. Источник family_v08_whole_source_lofo.json фиксирует 10 верных из 24 оцениваемых независимых источников, 14 UNKNOWN; по PROP_PISTON 10 из 11. Эти результаты недостаточны для общего эксплуатационного распознавания типов.</w:t>
      </w:r>
    </w:p>
    <w:p>
      <w:pPr/>
      <w:r>
        <w:t>Цель этапа — расширить подтверждённые полевые записи БПЛА и отрицательные классы, измерить обнаружение, ложные тревоги и качество семейства по независимым источникам, затем выпустить версионированный кандидат модели только после повторяемого сравнения с текущей базой.</w:t>
      </w:r>
    </w:p>
    <w:p>
      <w:pPr>
        <w:pStyle w:val="2"/>
      </w:pPr>
      <w:r>
        <w:t>Сбор и разметка данных</w:t>
      </w:r>
    </w:p>
    <w:p>
      <w:pPr/>
      <w:r>
        <w:t>Записывать синхронные четыре канала с серийным номером станции, версией корпуса, микрофона, жгута, прошивки, места, времени GNSS, расстояния, направления, погодой, скоростью ветра, источником подтверждения типа и разрешением на использование. Хранить исходный звук и производные признаки раздельно; секреты станции и персональные данные исключать из обучающего архива.</w:t>
      </w:r>
    </w:p>
    <w:p>
      <w:pPr/>
      <w:r>
        <w:t>Собирать не только положительные пролёты, но и ветер, дождь, птиц, насекомых, транспорт, тракторы, самолёты, вертолёты и городскую технику. Метка типа допускается как confirmed только при независимом подтверждении; сомнительное видео/аудио помечать weak/provisional и не использовать в валидации. Один вылет, источник или исходная запись не должны попадать одновременно в train и validation.</w:t>
      </w:r>
    </w:p>
    <w:p>
      <w:pPr>
        <w:pStyle w:val="2"/>
      </w:pPr>
      <w:r>
        <w:t>Дообучение и проверка</w:t>
      </w:r>
    </w:p>
    <w:p>
      <w:pPr/>
      <w:r>
        <w:t>Сначала заморозить исходный датасет, политику прав и SHA-256, затем построить признаки тем же кодом и с теми же окнами, что использует сервер. Разделять данные по независимому источнику, а не по соседним окнам одной записи. Обучить baseline и кандидат; сравнить recall/Pd, FAR за час, precision, долю UNKNOWN, latency, калибровку confidence и матрицы ошибок по среде, корпусу, расстоянию и типу.</w:t>
      </w:r>
    </w:p>
    <w:p>
      <w:pPr/>
      <w:r>
        <w:t>Провести leave-one-source-out и отдельный слепой полевой набор. Политика кода type_readiness.py по умолчанию требует не менее трёх подтверждённых и трёх независимых validation-источников для каждого сравниваемого типа. Пока этот порог или утверждённые пользователем Pd/FAR не выполнены, точный тип публикуется только как исследовательская гипотеза или UNKNOWN.</w:t>
      </w:r>
    </w:p>
    <w:p>
      <w:pPr>
        <w:pStyle w:val="2"/>
      </w:pPr>
      <w:r>
        <w:t>Выпуск модели и отчётность</w:t>
      </w:r>
    </w:p>
    <w:p>
      <w:pPr/>
      <w:r>
        <w:t>Отчёт содержит реестр источников и лицензий, правила разметки, контроль утечек, версии скриптов/датасета/модели, метрики по источникам, анализ ошибок и откат. Серверный replay и полевой EVT оцениваются отдельно. Модель переводится в пилот только после независимой проверки целевых Pd/FAR и отсутствия регрессии критических отрицательных классов; при провале сохраняется предыдущая модель.</w:t>
      </w:r>
    </w:p>
    <w:sectPr w:rsidR="00C1460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qFormat/>
    <w:pPr>
      <w:outlineLvl w:val="1"/>
    </w:pPr>
    <w:rPr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rFonts w:ascii="Arial" w:hAnsi="Arial"/>
      <w:color w:val="000000"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