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before="0" w:after="200"/>
        <w:ind w:firstLine="0"/>
        <w:jc w:val="center"/>
      </w:pPr>
      <w:r>
        <w:rPr>
          <w:rFonts w:ascii="Times New Roman" w:hAnsi="Times New Roman" w:eastAsia="Times New Roman"/>
          <w:b/>
          <w:color w:val="000000"/>
          <w:sz w:val="28"/>
        </w:rPr>
        <w:t>Порядок разрешения блокировки прошивки станции Дионея EVT-PRE-20</w:t>
      </w:r>
    </w:p>
    <w:p>
      <w:pPr>
        <w:spacing w:line="240" w:lineRule="auto" w:before="0" w:after="0"/>
        <w:ind w:firstLine="709"/>
        <w:jc w:val="both"/>
      </w:pPr>
      <w:r>
        <w:rPr>
          <w:rFonts w:ascii="Times New Roman" w:hAnsi="Times New Roman" w:eastAsia="Times New Roman"/>
          <w:b/>
          <w:color w:val="000000"/>
          <w:sz w:val="28"/>
        </w:rPr>
        <w:t>Ревизия:</w:t>
      </w:r>
      <w:r>
        <w:rPr>
          <w:rFonts w:ascii="Times New Roman" w:hAnsi="Times New Roman" w:eastAsia="Times New Roman"/>
          <w:color w:val="000000"/>
          <w:sz w:val="28"/>
        </w:rPr>
        <w:t xml:space="preserve"> Rev A</w:t>
      </w:r>
    </w:p>
    <w:p>
      <w:pPr>
        <w:spacing w:line="240" w:lineRule="auto" w:before="0" w:after="0"/>
        <w:ind w:firstLine="709"/>
        <w:jc w:val="both"/>
      </w:pPr>
      <w:r>
        <w:rPr>
          <w:rFonts w:ascii="Times New Roman" w:hAnsi="Times New Roman" w:eastAsia="Times New Roman"/>
          <w:b/>
          <w:color w:val="000000"/>
          <w:sz w:val="28"/>
        </w:rPr>
        <w:t>Дата:</w:t>
      </w:r>
      <w:r>
        <w:rPr>
          <w:rFonts w:ascii="Times New Roman" w:hAnsi="Times New Roman" w:eastAsia="Times New Roman"/>
          <w:color w:val="000000"/>
          <w:sz w:val="28"/>
        </w:rPr>
        <w:t xml:space="preserve"> 07.10.2026</w:t>
      </w:r>
    </w:p>
    <w:p>
      <w:pPr>
        <w:spacing w:line="240" w:lineRule="auto" w:before="0" w:after="0"/>
        <w:ind w:firstLine="709"/>
        <w:jc w:val="both"/>
      </w:pPr>
      <w:r>
        <w:rPr>
          <w:rFonts w:ascii="Times New Roman" w:hAnsi="Times New Roman" w:eastAsia="Times New Roman"/>
          <w:b/>
          <w:color w:val="000000"/>
          <w:sz w:val="28"/>
        </w:rPr>
        <w:t>Объект:</w:t>
      </w:r>
      <w:r>
        <w:rPr>
          <w:rFonts w:ascii="Times New Roman" w:hAnsi="Times New Roman" w:eastAsia="Times New Roman"/>
          <w:color w:val="000000"/>
          <w:sz w:val="28"/>
        </w:rPr>
        <w:t xml:space="preserve"> STM32U585 и nRF52840 станции Дионея EVT-PRE-20</w:t>
      </w:r>
    </w:p>
    <w:p>
      <w:pPr>
        <w:spacing w:line="240" w:lineRule="auto" w:before="0" w:after="0"/>
        <w:ind w:firstLine="709"/>
        <w:jc w:val="both"/>
      </w:pPr>
      <w:r>
        <w:rPr>
          <w:rFonts w:ascii="Times New Roman" w:hAnsi="Times New Roman" w:eastAsia="Times New Roman"/>
          <w:b/>
          <w:color w:val="000000"/>
          <w:sz w:val="28"/>
        </w:rPr>
        <w:t>Статус:</w:t>
      </w:r>
      <w:r>
        <w:rPr>
          <w:rFonts w:ascii="Times New Roman" w:hAnsi="Times New Roman" w:eastAsia="Times New Roman"/>
          <w:color w:val="000000"/>
          <w:sz w:val="28"/>
        </w:rPr>
        <w:t xml:space="preserve"> блокировка запрещена до полного испытания таргета на реальном железе</w:t>
      </w:r>
    </w:p>
    <w:p>
      <w:pPr>
        <w:pStyle w:val="Heading1"/>
        <w:spacing w:line="240" w:lineRule="auto" w:before="160" w:after="40"/>
        <w:ind w:firstLine="0"/>
        <w:jc w:val="left"/>
      </w:pPr>
      <w:r>
        <w:rPr>
          <w:rFonts w:ascii="Times New Roman" w:hAnsi="Times New Roman" w:eastAsia="Times New Roman"/>
          <w:b/>
          <w:color w:val="000000"/>
          <w:sz w:val="28"/>
        </w:rPr>
        <w:t>1. Решение</w:t>
      </w:r>
    </w:p>
    <w:p>
      <w:pPr>
        <w:spacing w:line="240" w:lineRule="auto" w:before="0" w:after="0"/>
        <w:ind w:firstLine="709"/>
        <w:jc w:val="both"/>
      </w:pPr>
      <w:r>
        <w:rPr>
          <w:rFonts w:ascii="Times New Roman" w:hAnsi="Times New Roman" w:eastAsia="Times New Roman"/>
          <w:color w:val="000000"/>
          <w:sz w:val="28"/>
        </w:rPr>
        <w:t xml:space="preserve">Стендовый выпуск </w:t>
      </w:r>
      <w:r>
        <w:rPr>
          <w:rFonts w:ascii="Times New Roman" w:hAnsi="Times New Roman" w:eastAsia="Times New Roman"/>
          <w:color w:val="000000"/>
          <w:sz w:val="28"/>
        </w:rPr>
        <w:t>EVT_PRE_20_BENCH_RELEASE_2026100601</w:t>
      </w:r>
      <w:r>
        <w:rPr>
          <w:rFonts w:ascii="Times New Roman" w:hAnsi="Times New Roman" w:eastAsia="Times New Roman"/>
          <w:color w:val="000000"/>
          <w:sz w:val="28"/>
        </w:rPr>
        <w:t xml:space="preserve"> применяется только с профилем </w:t>
      </w:r>
      <w:r>
        <w:rPr>
          <w:rFonts w:ascii="Times New Roman" w:hAnsi="Times New Roman" w:eastAsia="Times New Roman"/>
          <w:color w:val="000000"/>
          <w:sz w:val="28"/>
        </w:rPr>
        <w:t>option_bytes_bench_rev_a.json</w:t>
      </w:r>
      <w:r>
        <w:rPr>
          <w:rFonts w:ascii="Times New Roman" w:hAnsi="Times New Roman" w:eastAsia="Times New Roman"/>
          <w:color w:val="000000"/>
          <w:sz w:val="28"/>
        </w:rPr>
        <w:t>. Профиль сохраняет RDP Level 0, SWD, BOOT0 recovery и возможность восстановления. Он не включает TrustZone, BOOT_LOCK, WRP, PCROP и другие необратимые или затрудняющие восстановление настройки.</w:t>
      </w:r>
    </w:p>
    <w:p>
      <w:pPr>
        <w:spacing w:line="240" w:lineRule="auto" w:before="0" w:after="0"/>
        <w:ind w:firstLine="709"/>
        <w:jc w:val="both"/>
      </w:pPr>
      <w:r>
        <w:rPr>
          <w:rFonts w:ascii="Times New Roman" w:hAnsi="Times New Roman" w:eastAsia="Times New Roman"/>
          <w:color w:val="000000"/>
          <w:sz w:val="28"/>
        </w:rPr>
        <w:t>Оператору, монтажнику и производственной площадке запрещено включать блокировку отладки, повышать RDP, отключать recovery или записывать окончательный production root of trust до выполнения всех условий настоящего документа. Факт наличия подписанной прошивки, успешной сборки или прохождения host-тестов не является разрешением на блокировку.</w:t>
      </w:r>
    </w:p>
    <w:p>
      <w:pPr>
        <w:pStyle w:val="Heading1"/>
        <w:spacing w:line="240" w:lineRule="auto" w:before="160" w:after="40"/>
        <w:ind w:firstLine="0"/>
        <w:jc w:val="left"/>
      </w:pPr>
      <w:r>
        <w:rPr>
          <w:rFonts w:ascii="Times New Roman" w:hAnsi="Times New Roman" w:eastAsia="Times New Roman"/>
          <w:b/>
          <w:color w:val="000000"/>
          <w:sz w:val="28"/>
        </w:rPr>
        <w:t>2. Обязательные ворота разрешения</w:t>
      </w:r>
    </w:p>
    <w:p>
      <w:pPr>
        <w:spacing w:line="240" w:lineRule="auto" w:before="0" w:after="0"/>
        <w:ind w:firstLine="709"/>
        <w:jc w:val="both"/>
      </w:pPr>
      <w:r>
        <w:rPr>
          <w:rFonts w:ascii="Times New Roman" w:hAnsi="Times New Roman" w:eastAsia="Times New Roman"/>
          <w:color w:val="000000"/>
          <w:sz w:val="28"/>
        </w:rPr>
        <w:t>Блокировка становится допустимой только после последовательного прохождения трех ворот.</w:t>
      </w:r>
    </w:p>
    <w:p>
      <w:pPr>
        <w:pStyle w:val="Heading2"/>
        <w:spacing w:line="240" w:lineRule="auto" w:before="160" w:after="40"/>
        <w:ind w:firstLine="0"/>
        <w:jc w:val="left"/>
      </w:pPr>
      <w:r>
        <w:rPr>
          <w:rFonts w:ascii="Times New Roman" w:hAnsi="Times New Roman" w:eastAsia="Times New Roman"/>
          <w:b/>
          <w:color w:val="000000"/>
          <w:sz w:val="28"/>
        </w:rPr>
        <w:t>2.1. Квалификация таргета на железе</w:t>
      </w:r>
    </w:p>
    <w:p>
      <w:pPr>
        <w:spacing w:line="240" w:lineRule="auto" w:before="0" w:after="0"/>
        <w:ind w:firstLine="709"/>
        <w:jc w:val="both"/>
      </w:pPr>
      <w:r>
        <w:rPr>
          <w:rFonts w:ascii="Times New Roman" w:hAnsi="Times New Roman" w:eastAsia="Times New Roman"/>
          <w:color w:val="000000"/>
          <w:sz w:val="28"/>
        </w:rPr>
        <w:t>На собранной станции должен быть завершен полный аппаратный и программный цикл. В протоколе должны иметь статус PASS:</w:t>
      </w:r>
    </w:p>
    <w:p>
      <w:pPr>
        <w:spacing w:line="240" w:lineRule="auto" w:before="0" w:after="0"/>
        <w:ind w:left="709" w:hanging="357"/>
        <w:jc w:val="both"/>
      </w:pPr>
      <w:r>
        <w:rPr>
          <w:rFonts w:ascii="Times New Roman" w:hAnsi="Times New Roman" w:eastAsia="Times New Roman"/>
          <w:color w:val="000000"/>
          <w:sz w:val="28"/>
        </w:rPr>
        <w:t>1. прошивка STM32 и nRF52840 через раздельные SWD, read-back, verify и холодный запуск;</w:t>
      </w:r>
    </w:p>
    <w:p>
      <w:pPr>
        <w:spacing w:line="240" w:lineRule="auto" w:before="0" w:after="0"/>
        <w:ind w:left="709" w:hanging="357"/>
        <w:jc w:val="both"/>
      </w:pPr>
      <w:r>
        <w:rPr>
          <w:rFonts w:ascii="Times New Roman" w:hAnsi="Times New Roman" w:eastAsia="Times New Roman"/>
          <w:color w:val="000000"/>
          <w:sz w:val="28"/>
        </w:rPr>
        <w:t>2. восстановление STM32 через SWD, BOOT0 и system memory;</w:t>
      </w:r>
    </w:p>
    <w:p>
      <w:pPr>
        <w:spacing w:line="240" w:lineRule="auto" w:before="0" w:after="0"/>
        <w:ind w:left="709" w:hanging="357"/>
        <w:jc w:val="both"/>
      </w:pPr>
      <w:r>
        <w:rPr>
          <w:rFonts w:ascii="Times New Roman" w:hAnsi="Times New Roman" w:eastAsia="Times New Roman"/>
          <w:color w:val="000000"/>
          <w:sz w:val="28"/>
        </w:rPr>
        <w:t>3. A/B trial, подтверждение и rollback STM32 с прерыванием питания на предусмотренных стадиях;</w:t>
      </w:r>
    </w:p>
    <w:p>
      <w:pPr>
        <w:spacing w:line="240" w:lineRule="auto" w:before="0" w:after="0"/>
        <w:ind w:left="709" w:hanging="357"/>
        <w:jc w:val="both"/>
      </w:pPr>
      <w:r>
        <w:rPr>
          <w:rFonts w:ascii="Times New Roman" w:hAnsi="Times New Roman" w:eastAsia="Times New Roman"/>
          <w:color w:val="000000"/>
          <w:sz w:val="28"/>
        </w:rPr>
        <w:t>4. MCUboot update, rollback и serial recovery nRF52840;</w:t>
      </w:r>
    </w:p>
    <w:p>
      <w:pPr>
        <w:spacing w:line="240" w:lineRule="auto" w:before="0" w:after="0"/>
        <w:ind w:left="709" w:hanging="357"/>
        <w:jc w:val="both"/>
      </w:pPr>
      <w:r>
        <w:rPr>
          <w:rFonts w:ascii="Times New Roman" w:hAnsi="Times New Roman" w:eastAsia="Times New Roman"/>
          <w:color w:val="000000"/>
          <w:sz w:val="28"/>
        </w:rPr>
        <w:t>5. четыре микрофонных канала, их соответствие MIC1 - MIC4 и утвержденные акустические пределы;</w:t>
      </w:r>
    </w:p>
    <w:p>
      <w:pPr>
        <w:spacing w:line="240" w:lineRule="auto" w:before="0" w:after="0"/>
        <w:ind w:left="709" w:hanging="357"/>
        <w:jc w:val="both"/>
      </w:pPr>
      <w:r>
        <w:rPr>
          <w:rFonts w:ascii="Times New Roman" w:hAnsi="Times New Roman" w:eastAsia="Times New Roman"/>
          <w:color w:val="000000"/>
          <w:sz w:val="28"/>
        </w:rPr>
        <w:t>6. QSPI и microSD, включая восстановление после прерванной записи;</w:t>
      </w:r>
    </w:p>
    <w:p>
      <w:pPr>
        <w:spacing w:line="240" w:lineRule="auto" w:before="0" w:after="0"/>
        <w:ind w:left="709" w:hanging="357"/>
        <w:jc w:val="both"/>
      </w:pPr>
      <w:r>
        <w:rPr>
          <w:rFonts w:ascii="Times New Roman" w:hAnsi="Times New Roman" w:eastAsia="Times New Roman"/>
          <w:color w:val="000000"/>
          <w:sz w:val="28"/>
        </w:rPr>
        <w:t>7. BG95 mutual TLS, MQTT, heartbeat, событие, application receipt, reconnect и обе SIM;</w:t>
      </w:r>
    </w:p>
    <w:p>
      <w:pPr>
        <w:spacing w:line="240" w:lineRule="auto" w:before="0" w:after="0"/>
        <w:ind w:left="709" w:hanging="357"/>
        <w:jc w:val="both"/>
      </w:pPr>
      <w:r>
        <w:rPr>
          <w:rFonts w:ascii="Times New Roman" w:hAnsi="Times New Roman" w:eastAsia="Times New Roman"/>
          <w:color w:val="000000"/>
          <w:sz w:val="28"/>
        </w:rPr>
        <w:t>8. GNSS и PPS, LoRa в разрешенной RF-оснастке, датчики и интерфейсы;</w:t>
      </w:r>
    </w:p>
    <w:p>
      <w:pPr>
        <w:spacing w:line="240" w:lineRule="auto" w:before="0" w:after="0"/>
        <w:ind w:left="709" w:hanging="357"/>
        <w:jc w:val="both"/>
      </w:pPr>
      <w:r>
        <w:rPr>
          <w:rFonts w:ascii="Times New Roman" w:hAnsi="Times New Roman" w:eastAsia="Times New Roman"/>
          <w:color w:val="000000"/>
          <w:sz w:val="28"/>
        </w:rPr>
        <w:t>9. питание, ток, температура, защиты и циклы включения по утвержденным численным пределам;</w:t>
      </w:r>
    </w:p>
    <w:p>
      <w:pPr>
        <w:spacing w:line="240" w:lineRule="auto" w:before="0" w:after="0"/>
        <w:ind w:left="709" w:hanging="357"/>
        <w:jc w:val="both"/>
      </w:pPr>
      <w:r>
        <w:rPr>
          <w:rFonts w:ascii="Times New Roman" w:hAnsi="Times New Roman" w:eastAsia="Times New Roman"/>
          <w:color w:val="000000"/>
          <w:sz w:val="28"/>
        </w:rPr>
        <w:t>10. полный EOL без обязательных пунктов со статусом OPEN, NOT_RUN, FAIL или HOLD.</w:t>
      </w:r>
    </w:p>
    <w:p>
      <w:pPr>
        <w:spacing w:line="240" w:lineRule="auto" w:before="0" w:after="0"/>
        <w:ind w:firstLine="709"/>
        <w:jc w:val="both"/>
      </w:pPr>
      <w:r>
        <w:rPr>
          <w:rFonts w:ascii="Times New Roman" w:hAnsi="Times New Roman" w:eastAsia="Times New Roman"/>
          <w:color w:val="000000"/>
          <w:sz w:val="28"/>
        </w:rPr>
        <w:t>До утверждения численных аппаратных пределов квалификация не считается завершенной.</w:t>
      </w:r>
    </w:p>
    <w:p>
      <w:pPr>
        <w:pStyle w:val="Heading2"/>
        <w:spacing w:line="240" w:lineRule="auto" w:before="160" w:after="40"/>
        <w:ind w:firstLine="0"/>
        <w:jc w:val="left"/>
      </w:pPr>
      <w:r>
        <w:rPr>
          <w:rFonts w:ascii="Times New Roman" w:hAnsi="Times New Roman" w:eastAsia="Times New Roman"/>
          <w:b/>
          <w:color w:val="000000"/>
          <w:sz w:val="28"/>
        </w:rPr>
        <w:t>2.2. Отдельное решение о защищенном выпуске</w:t>
      </w:r>
    </w:p>
    <w:p>
      <w:pPr>
        <w:spacing w:line="240" w:lineRule="auto" w:before="0" w:after="0"/>
        <w:ind w:firstLine="709"/>
        <w:jc w:val="both"/>
      </w:pPr>
      <w:r>
        <w:rPr>
          <w:rFonts w:ascii="Times New Roman" w:hAnsi="Times New Roman" w:eastAsia="Times New Roman"/>
          <w:color w:val="000000"/>
          <w:sz w:val="28"/>
        </w:rPr>
        <w:t>После квалификации выпускается отдельный production release ID и отдельный профиль option bytes. Стендовый профиль нельзя редактировать и превращать в профиль блокировки. Решение должно содержать:</w:t>
      </w:r>
    </w:p>
    <w:p>
      <w:pPr>
        <w:spacing w:line="240" w:lineRule="auto" w:before="0" w:after="0"/>
        <w:ind w:left="709" w:hanging="357"/>
        <w:jc w:val="both"/>
      </w:pPr>
      <w:r>
        <w:rPr>
          <w:rFonts w:ascii="Times New Roman" w:hAnsi="Times New Roman" w:eastAsia="Times New Roman"/>
          <w:color w:val="000000"/>
          <w:sz w:val="28"/>
        </w:rPr>
        <w:t>• точные значения всех изменяемых option bytes и порядок их записи;</w:t>
      </w:r>
    </w:p>
    <w:p>
      <w:pPr>
        <w:spacing w:line="240" w:lineRule="auto" w:before="0" w:after="0"/>
        <w:ind w:left="709" w:hanging="357"/>
        <w:jc w:val="both"/>
      </w:pPr>
      <w:r>
        <w:rPr>
          <w:rFonts w:ascii="Times New Roman" w:hAnsi="Times New Roman" w:eastAsia="Times New Roman"/>
          <w:color w:val="000000"/>
          <w:sz w:val="28"/>
        </w:rPr>
        <w:t>• идентификаторы и хэши образов STM32 и nRF52840;</w:t>
      </w:r>
    </w:p>
    <w:p>
      <w:pPr>
        <w:spacing w:line="240" w:lineRule="auto" w:before="0" w:after="0"/>
        <w:ind w:left="709" w:hanging="357"/>
        <w:jc w:val="both"/>
      </w:pPr>
      <w:r>
        <w:rPr>
          <w:rFonts w:ascii="Times New Roman" w:hAnsi="Times New Roman" w:eastAsia="Times New Roman"/>
          <w:color w:val="000000"/>
          <w:sz w:val="28"/>
        </w:rPr>
        <w:t>• идентификаторы открытых ключей и утвержденную политику production root of trust;</w:t>
      </w:r>
    </w:p>
    <w:p>
      <w:pPr>
        <w:spacing w:line="240" w:lineRule="auto" w:before="0" w:after="0"/>
        <w:ind w:left="709" w:hanging="357"/>
        <w:jc w:val="both"/>
      </w:pPr>
      <w:r>
        <w:rPr>
          <w:rFonts w:ascii="Times New Roman" w:hAnsi="Times New Roman" w:eastAsia="Times New Roman"/>
          <w:color w:val="000000"/>
          <w:sz w:val="28"/>
        </w:rPr>
        <w:t>• проверенный путь штатного обновления и восстановления после блокировки;</w:t>
      </w:r>
    </w:p>
    <w:p>
      <w:pPr>
        <w:spacing w:line="240" w:lineRule="auto" w:before="0" w:after="0"/>
        <w:ind w:left="709" w:hanging="357"/>
        <w:jc w:val="both"/>
      </w:pPr>
      <w:r>
        <w:rPr>
          <w:rFonts w:ascii="Times New Roman" w:hAnsi="Times New Roman" w:eastAsia="Times New Roman"/>
          <w:color w:val="000000"/>
          <w:sz w:val="28"/>
        </w:rPr>
        <w:t>• оценку последствий каждой необратимой операции;</w:t>
      </w:r>
    </w:p>
    <w:p>
      <w:pPr>
        <w:spacing w:line="240" w:lineRule="auto" w:before="0" w:after="0"/>
        <w:ind w:left="709" w:hanging="357"/>
        <w:jc w:val="both"/>
      </w:pPr>
      <w:r>
        <w:rPr>
          <w:rFonts w:ascii="Times New Roman" w:hAnsi="Times New Roman" w:eastAsia="Times New Roman"/>
          <w:color w:val="000000"/>
          <w:sz w:val="28"/>
        </w:rPr>
        <w:t>• протокол полной регрессии на реальной станции;</w:t>
      </w:r>
    </w:p>
    <w:p>
      <w:pPr>
        <w:spacing w:line="240" w:lineRule="auto" w:before="0" w:after="0"/>
        <w:ind w:left="709" w:hanging="357"/>
        <w:jc w:val="both"/>
      </w:pPr>
      <w:r>
        <w:rPr>
          <w:rFonts w:ascii="Times New Roman" w:hAnsi="Times New Roman" w:eastAsia="Times New Roman"/>
          <w:color w:val="000000"/>
          <w:sz w:val="28"/>
        </w:rPr>
        <w:t>• подписи ответственного за выпуск и контролера качества.</w:t>
      </w:r>
    </w:p>
    <w:p>
      <w:pPr>
        <w:spacing w:line="240" w:lineRule="auto" w:before="0" w:after="0"/>
        <w:ind w:firstLine="709"/>
        <w:jc w:val="both"/>
      </w:pPr>
      <w:r>
        <w:rPr>
          <w:rFonts w:ascii="Times New Roman" w:hAnsi="Times New Roman" w:eastAsia="Times New Roman"/>
          <w:color w:val="000000"/>
          <w:sz w:val="28"/>
        </w:rPr>
        <w:t>RDP Level 2 остается запрещенным, пока он не будет отдельно утвержден как необратимое продуктовое решение. Его нельзя включать общим разрешением на производственную защиту.</w:t>
      </w:r>
    </w:p>
    <w:p>
      <w:pPr>
        <w:pStyle w:val="Heading2"/>
        <w:spacing w:line="240" w:lineRule="auto" w:before="160" w:after="40"/>
        <w:ind w:firstLine="0"/>
        <w:jc w:val="left"/>
      </w:pPr>
      <w:r>
        <w:rPr>
          <w:rFonts w:ascii="Times New Roman" w:hAnsi="Times New Roman" w:eastAsia="Times New Roman"/>
          <w:b/>
          <w:color w:val="000000"/>
          <w:sz w:val="28"/>
        </w:rPr>
        <w:t>2.3. Разрешение для каждой станции</w:t>
      </w:r>
    </w:p>
    <w:p>
      <w:pPr>
        <w:spacing w:line="240" w:lineRule="auto" w:before="0" w:after="0"/>
        <w:ind w:firstLine="709"/>
        <w:jc w:val="both"/>
      </w:pPr>
      <w:r>
        <w:rPr>
          <w:rFonts w:ascii="Times New Roman" w:hAnsi="Times New Roman" w:eastAsia="Times New Roman"/>
          <w:color w:val="000000"/>
          <w:sz w:val="28"/>
        </w:rPr>
        <w:t>Даже после выпуска production-профиля блокировка конкретной станции допускается только после ее собственного EOL PASS. До блокировки должны совпасть serial, station ID, ревизии плат, хэши прошивок, сертификат, SIM и traveller. Не допускаются открытые NCR, незавершенные проверки и временные параметры.</w:t>
      </w:r>
    </w:p>
    <w:p>
      <w:pPr>
        <w:spacing w:line="240" w:lineRule="auto" w:before="0" w:after="0"/>
        <w:ind w:firstLine="709"/>
        <w:jc w:val="both"/>
      </w:pPr>
      <w:r>
        <w:rPr>
          <w:rFonts w:ascii="Times New Roman" w:hAnsi="Times New Roman" w:eastAsia="Times New Roman"/>
          <w:color w:val="000000"/>
          <w:sz w:val="28"/>
        </w:rPr>
        <w:t>После применения защиты оператор обязан считать доступное состояние защиты, выполнить холодный запуск, проверку версии, heartbeat, тестовое событие и подтверждение приема сервером. Результат и логи прикладываются к traveller станции.</w:t>
      </w:r>
    </w:p>
    <w:p>
      <w:pPr>
        <w:pStyle w:val="Heading1"/>
        <w:spacing w:line="240" w:lineRule="auto" w:before="160" w:after="40"/>
        <w:ind w:firstLine="0"/>
        <w:jc w:val="left"/>
      </w:pPr>
      <w:r>
        <w:rPr>
          <w:rFonts w:ascii="Times New Roman" w:hAnsi="Times New Roman" w:eastAsia="Times New Roman"/>
          <w:b/>
          <w:color w:val="000000"/>
          <w:sz w:val="28"/>
        </w:rPr>
        <w:t>3. Запрещенные действия до разрешения</w:t>
      </w:r>
    </w:p>
    <w:p>
      <w:pPr>
        <w:spacing w:line="240" w:lineRule="auto" w:before="0" w:after="0"/>
        <w:ind w:firstLine="709"/>
        <w:jc w:val="both"/>
      </w:pPr>
      <w:r>
        <w:rPr>
          <w:rFonts w:ascii="Times New Roman" w:hAnsi="Times New Roman" w:eastAsia="Times New Roman"/>
          <w:color w:val="000000"/>
          <w:sz w:val="28"/>
        </w:rPr>
        <w:t>До прохождения всех ворот запрещены:</w:t>
      </w:r>
    </w:p>
    <w:p>
      <w:pPr>
        <w:spacing w:line="240" w:lineRule="auto" w:before="0" w:after="0"/>
        <w:ind w:left="709" w:hanging="357"/>
        <w:jc w:val="both"/>
      </w:pPr>
      <w:r>
        <w:rPr>
          <w:rFonts w:ascii="Times New Roman" w:hAnsi="Times New Roman" w:eastAsia="Times New Roman"/>
          <w:color w:val="000000"/>
          <w:sz w:val="28"/>
        </w:rPr>
        <w:t>• переход RDP выше Level 0;</w:t>
      </w:r>
    </w:p>
    <w:p>
      <w:pPr>
        <w:spacing w:line="240" w:lineRule="auto" w:before="0" w:after="0"/>
        <w:ind w:left="709" w:hanging="357"/>
        <w:jc w:val="both"/>
      </w:pPr>
      <w:r>
        <w:rPr>
          <w:rFonts w:ascii="Times New Roman" w:hAnsi="Times New Roman" w:eastAsia="Times New Roman"/>
          <w:color w:val="000000"/>
          <w:sz w:val="28"/>
        </w:rPr>
        <w:t>• включение BOOT_LOCK, TrustZone, WRP или PCROP;</w:t>
      </w:r>
    </w:p>
    <w:p>
      <w:pPr>
        <w:spacing w:line="240" w:lineRule="auto" w:before="0" w:after="0"/>
        <w:ind w:left="709" w:hanging="357"/>
        <w:jc w:val="both"/>
      </w:pPr>
      <w:r>
        <w:rPr>
          <w:rFonts w:ascii="Times New Roman" w:hAnsi="Times New Roman" w:eastAsia="Times New Roman"/>
          <w:color w:val="000000"/>
          <w:sz w:val="28"/>
        </w:rPr>
        <w:t>• отключение или ограничение SWD;</w:t>
      </w:r>
    </w:p>
    <w:p>
      <w:pPr>
        <w:spacing w:line="240" w:lineRule="auto" w:before="0" w:after="0"/>
        <w:ind w:left="709" w:hanging="357"/>
        <w:jc w:val="both"/>
      </w:pPr>
      <w:r>
        <w:rPr>
          <w:rFonts w:ascii="Times New Roman" w:hAnsi="Times New Roman" w:eastAsia="Times New Roman"/>
          <w:color w:val="000000"/>
          <w:sz w:val="28"/>
        </w:rPr>
        <w:t>• отключение BOOT0 recovery;</w:t>
      </w:r>
    </w:p>
    <w:p>
      <w:pPr>
        <w:spacing w:line="240" w:lineRule="auto" w:before="0" w:after="0"/>
        <w:ind w:left="709" w:hanging="357"/>
        <w:jc w:val="both"/>
      </w:pPr>
      <w:r>
        <w:rPr>
          <w:rFonts w:ascii="Times New Roman" w:hAnsi="Times New Roman" w:eastAsia="Times New Roman"/>
          <w:color w:val="000000"/>
          <w:sz w:val="28"/>
        </w:rPr>
        <w:t>• запись production immutable root;</w:t>
      </w:r>
    </w:p>
    <w:p>
      <w:pPr>
        <w:spacing w:line="240" w:lineRule="auto" w:before="0" w:after="0"/>
        <w:ind w:left="709" w:hanging="357"/>
        <w:jc w:val="both"/>
      </w:pPr>
      <w:r>
        <w:rPr>
          <w:rFonts w:ascii="Times New Roman" w:hAnsi="Times New Roman" w:eastAsia="Times New Roman"/>
          <w:color w:val="000000"/>
          <w:sz w:val="28"/>
        </w:rPr>
        <w:t>• включение защиты для всей партии по результату только host-тестов, сборки или одной неполной проверки;</w:t>
      </w:r>
    </w:p>
    <w:p>
      <w:pPr>
        <w:spacing w:line="240" w:lineRule="auto" w:before="0" w:after="0"/>
        <w:ind w:left="709" w:hanging="357"/>
        <w:jc w:val="both"/>
      </w:pPr>
      <w:r>
        <w:rPr>
          <w:rFonts w:ascii="Times New Roman" w:hAnsi="Times New Roman" w:eastAsia="Times New Roman"/>
          <w:color w:val="000000"/>
          <w:sz w:val="28"/>
        </w:rPr>
        <w:t>• выполнение команд защиты вручную вне утвержденного профиля и журнала.</w:t>
      </w:r>
    </w:p>
    <w:p>
      <w:pPr>
        <w:spacing w:line="240" w:lineRule="auto" w:before="0" w:after="0"/>
        <w:ind w:firstLine="709"/>
        <w:jc w:val="both"/>
      </w:pPr>
      <w:r>
        <w:rPr>
          <w:rFonts w:ascii="Times New Roman" w:hAnsi="Times New Roman" w:eastAsia="Times New Roman"/>
          <w:color w:val="000000"/>
          <w:sz w:val="28"/>
        </w:rPr>
        <w:t>Любая попытка применить эти действия переводит изделие и выпуск в HOLD до разбора отклонения.</w:t>
      </w:r>
    </w:p>
    <w:p>
      <w:pPr>
        <w:pStyle w:val="Heading1"/>
        <w:spacing w:line="240" w:lineRule="auto" w:before="160" w:after="40"/>
        <w:ind w:firstLine="0"/>
        <w:jc w:val="left"/>
      </w:pPr>
      <w:r>
        <w:rPr>
          <w:rFonts w:ascii="Times New Roman" w:hAnsi="Times New Roman" w:eastAsia="Times New Roman"/>
          <w:b/>
          <w:color w:val="000000"/>
          <w:sz w:val="28"/>
        </w:rPr>
        <w:t>4. Машинный контроль</w:t>
      </w:r>
    </w:p>
    <w:p>
      <w:pPr>
        <w:spacing w:line="240" w:lineRule="auto" w:before="0" w:after="0"/>
        <w:ind w:firstLine="709"/>
        <w:jc w:val="both"/>
      </w:pPr>
      <w:r>
        <w:rPr>
          <w:rFonts w:ascii="Times New Roman" w:hAnsi="Times New Roman" w:eastAsia="Times New Roman"/>
          <w:color w:val="000000"/>
          <w:sz w:val="28"/>
        </w:rPr>
        <w:t xml:space="preserve">Нормативная машиночитаемая политика находится в </w:t>
      </w:r>
      <w:r>
        <w:rPr>
          <w:rFonts w:ascii="Times New Roman" w:hAnsi="Times New Roman" w:eastAsia="Times New Roman"/>
          <w:color w:val="000000"/>
          <w:sz w:val="28"/>
        </w:rPr>
        <w:t>firmware/targets/evt_pre_20/release/firmware_lock_interlock_rev_a.json</w:t>
      </w:r>
      <w:r>
        <w:rPr>
          <w:rFonts w:ascii="Times New Roman" w:hAnsi="Times New Roman" w:eastAsia="Times New Roman"/>
          <w:color w:val="000000"/>
          <w:sz w:val="28"/>
        </w:rPr>
        <w:t xml:space="preserve">. Проверка </w:t>
      </w:r>
      <w:r>
        <w:rPr>
          <w:rFonts w:ascii="Times New Roman" w:hAnsi="Times New Roman" w:eastAsia="Times New Roman"/>
          <w:color w:val="000000"/>
          <w:sz w:val="28"/>
        </w:rPr>
        <w:t>tools/validate_firmware_lock_interlock.py</w:t>
      </w:r>
      <w:r>
        <w:rPr>
          <w:rFonts w:ascii="Times New Roman" w:hAnsi="Times New Roman" w:eastAsia="Times New Roman"/>
          <w:color w:val="000000"/>
          <w:sz w:val="28"/>
        </w:rPr>
        <w:t xml:space="preserve"> контролирует безопасное состояние стендового профиля, наличие трех ворот и соответствие release contract. CI должен завершиться ошибкой, если стендовый профиль допускает необратимые изменения или если release contract объявляет блокировку допустимой до аппаратной квалификации.</w:t>
      </w:r>
    </w:p>
    <w:p>
      <w:pPr>
        <w:pStyle w:val="Heading1"/>
        <w:spacing w:line="240" w:lineRule="auto" w:before="160" w:after="40"/>
        <w:ind w:firstLine="0"/>
        <w:jc w:val="left"/>
      </w:pPr>
      <w:r>
        <w:rPr>
          <w:rFonts w:ascii="Times New Roman" w:hAnsi="Times New Roman" w:eastAsia="Times New Roman"/>
          <w:b/>
          <w:color w:val="000000"/>
          <w:sz w:val="28"/>
        </w:rPr>
        <w:t>5. Запись решения</w:t>
      </w:r>
    </w:p>
    <w:p>
      <w:pPr>
        <w:spacing w:line="240" w:lineRule="auto" w:before="0" w:after="0"/>
        <w:ind w:firstLine="709"/>
        <w:jc w:val="both"/>
      </w:pPr>
      <w:r>
        <w:rPr>
          <w:rFonts w:ascii="Times New Roman" w:hAnsi="Times New Roman" w:eastAsia="Times New Roman"/>
          <w:color w:val="000000"/>
          <w:sz w:val="28"/>
        </w:rPr>
        <w:t xml:space="preserve">До аппаратных испытаний применяется состояние </w:t>
      </w:r>
      <w:r>
        <w:rPr>
          <w:rFonts w:ascii="Times New Roman" w:hAnsi="Times New Roman" w:eastAsia="Times New Roman"/>
          <w:color w:val="000000"/>
          <w:sz w:val="28"/>
        </w:rPr>
        <w:t>LOCK_FORBIDDEN_HARDWARE_VALIDATION_PENDING</w:t>
      </w:r>
      <w:r>
        <w:rPr>
          <w:rFonts w:ascii="Times New Roman" w:hAnsi="Times New Roman" w:eastAsia="Times New Roman"/>
          <w:color w:val="000000"/>
          <w:sz w:val="28"/>
        </w:rPr>
        <w:t>. После полного PASS выпускается новый документ и новый production release. Изменение статуса в одном файле, ручная правка option bytes или устное разрешение не заменяют выпускной комплект и подписанный протокол.</w:t>
      </w:r>
    </w:p>
    <w:p>
      <w:pPr>
        <w:pStyle w:val="Heading1"/>
        <w:spacing w:line="240" w:lineRule="auto" w:before="160" w:after="40"/>
        <w:ind w:firstLine="0"/>
        <w:jc w:val="left"/>
      </w:pPr>
      <w:r>
        <w:rPr>
          <w:rFonts w:ascii="Times New Roman" w:hAnsi="Times New Roman" w:eastAsia="Times New Roman"/>
          <w:b/>
          <w:color w:val="000000"/>
          <w:sz w:val="28"/>
        </w:rPr>
        <w:t>6. English summary</w:t>
      </w:r>
    </w:p>
    <w:p>
      <w:pPr>
        <w:spacing w:line="240" w:lineRule="auto" w:before="0" w:after="0"/>
        <w:ind w:firstLine="709"/>
        <w:jc w:val="both"/>
      </w:pPr>
      <w:r>
        <w:rPr>
          <w:rFonts w:ascii="Times New Roman" w:hAnsi="Times New Roman" w:eastAsia="Times New Roman"/>
          <w:color w:val="000000"/>
          <w:sz w:val="28"/>
        </w:rPr>
        <w:t>Firmware locking is forbidden for the current bench release. The bench option-byte profile must keep RDP Level 0, SWD and BOOT0 recovery, and must not enable TrustZone, BOOT_LOCK, WRP or PCROP. A separate production protection release may be issued only after complete target validation on real hardware, full regression with approved numeric limits, and two-person release approval. Each station may be locked only after its own EOL PASS and identity verification. Post-lock boot, version, heartbeat and server event receipt checks are mandatory. RDP Level 2 requires a separate explicit irreversible-product decision.</w:t>
      </w:r>
    </w:p>
    <w:sectPr w:rsidR="00FC693F" w:rsidRPr="0006063C" w:rsidSect="00034616">
      <w:footerReference w:type="default" r:id="rId9"/>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eastAsia="Times New Roman"/>
        <w:sz w:val="28"/>
      </w:rPr>
      <w:t>Дионея EVT-PRE-20. Межблокировка прошивки Rev 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Порядок разрешения блокировки прошивки станции Дионея EVT-PRE-20</dc:title>
  <dc:subject>Запрет блокировки до полного испытания таргета на реальном железе</dc:subject>
  <dc:creator>Проект Дионея</dc:creator>
  <cp:keywords>Дионея, EVT-PRE-20, firmware lock, option bytes, EOL</cp:keywords>
  <dc:description>generated by python-docx</dc:description>
  <cp:lastModifiedBy/>
  <cp:revision>1</cp:revision>
  <dcterms:created xsi:type="dcterms:W3CDTF">2013-12-23T23:15:00Z</dcterms:created>
  <dcterms:modified xsi:type="dcterms:W3CDTF">2013-12-23T23:15:00Z</dcterms:modified>
  <cp:category/>
</cp:coreProperties>
</file>