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36"/>
        </w:rPr>
        <w:t>[YOUR_NAME]</w:t>
      </w:r>
    </w:p>
    <w:p>
      <w:pPr>
        <w:spacing w:before="0" w:after="120"/>
        <w:jc w:val="center"/>
      </w:pPr>
      <w:r>
        <w:rPr>
          <w:sz w:val="18"/>
        </w:rPr>
        <w:t>Auckland, New Zealand  |  [your.email@example.com]  |  [+XX XXXXXXXXXX]  |  LinkedIn</w:t>
      </w:r>
    </w:p>
    <w:p>
      <w:pPr>
        <w:spacing w:before="200" w:after="40"/>
        <w:pBdr>
          <w:bottom w:val="single" w:sz="6" w:space="1" w:color="22649B"/>
        </w:pBdr>
      </w:pPr>
      <w:r>
        <w:rPr>
          <w:b/>
          <w:color w:val="22649B"/>
          <w:sz w:val="22"/>
        </w:rPr>
        <w:t>PROFILE</w:t>
      </w:r>
    </w:p>
    <w:p>
      <w:pPr>
        <w:spacing w:after="40"/>
      </w:pPr>
      <w:r>
        <w:rPr>
          <w:sz w:val="20"/>
        </w:rPr>
        <w:t>Senior planning and strategic research professional with 10+ years of progressive experience in urban policy research, applied analysis and plan-making at Auckland Council, New Zealand's largest local authority. Proven ability to scope, manage and deliver complex research projects from concept through to implementation, with a strong record of translating comparative analysis and scenario testing into actionable policy outcomes. Brings excellent analytical and written communication skills, growing GIS capability, and daily use of AI research tools including Claude Code. Seeking an international research role in an organisation committed to evidence-based, future-oriented urban planning.</w:t>
      </w:r>
    </w:p>
    <w:p>
      <w:pPr>
        <w:spacing w:before="200" w:after="40"/>
        <w:pBdr>
          <w:bottom w:val="single" w:sz="6" w:space="1" w:color="22649B"/>
        </w:pBdr>
      </w:pPr>
      <w:r>
        <w:rPr>
          <w:b/>
          <w:color w:val="22649B"/>
          <w:sz w:val="22"/>
        </w:rPr>
        <w:t>CORE COMPETENCIES</w:t>
      </w:r>
    </w:p>
    <w:p>
      <w:pPr>
        <w:pStyle w:val="ListBullet"/>
        <w:spacing w:before="40" w:after="20"/>
        <w:ind w:left="283"/>
      </w:pPr>
      <w:r>
        <w:rPr>
          <w:b/>
          <w:sz w:val="20"/>
        </w:rPr>
        <w:t xml:space="preserve">Research &amp; R&amp;D Project Management: </w:t>
      </w:r>
      <w:r>
        <w:rPr>
          <w:sz w:val="20"/>
        </w:rPr>
        <w:t>Scoped, coordinated and delivered complex applied research and policy investigations for Plan Change 78, managing inputs from technical specialists, consultants and government stakeholders from initial concept through to implementation.</w:t>
      </w:r>
    </w:p>
    <w:p>
      <w:pPr>
        <w:pStyle w:val="ListBullet"/>
        <w:spacing w:before="40" w:after="20"/>
        <w:ind w:left="283"/>
      </w:pPr>
      <w:r>
        <w:rPr>
          <w:b/>
          <w:sz w:val="20"/>
        </w:rPr>
        <w:t xml:space="preserve">Comparative Policy Research: </w:t>
      </w:r>
      <w:r>
        <w:rPr>
          <w:sz w:val="20"/>
        </w:rPr>
        <w:t>Systematic analysis of planning approaches across New Zealand and international cities to identify transferable solutions, assess evidence and build the case for policy development and reform responses.</w:t>
      </w:r>
    </w:p>
    <w:p>
      <w:pPr>
        <w:pStyle w:val="ListBullet"/>
        <w:spacing w:before="40" w:after="20"/>
        <w:ind w:left="283"/>
      </w:pPr>
      <w:r>
        <w:rPr>
          <w:b/>
          <w:sz w:val="20"/>
        </w:rPr>
        <w:t xml:space="preserve">Scenario Planning &amp; Applied Testing: </w:t>
      </w:r>
      <w:r>
        <w:rPr>
          <w:sz w:val="20"/>
        </w:rPr>
        <w:t>Designed and delivered precinct-scale scenario planning to test built form, density and urban design outcomes against policy criteria, iterating based on technical and stakeholder feedback before policy adoption.</w:t>
      </w:r>
    </w:p>
    <w:p>
      <w:pPr>
        <w:pStyle w:val="ListBullet"/>
        <w:spacing w:before="40" w:after="20"/>
        <w:ind w:left="283"/>
      </w:pPr>
      <w:r>
        <w:rPr>
          <w:b/>
          <w:sz w:val="20"/>
        </w:rPr>
        <w:t xml:space="preserve">GIS &amp; Spatial Analysis: </w:t>
      </w:r>
      <w:r>
        <w:rPr>
          <w:sz w:val="20"/>
        </w:rPr>
        <w:t>ArcGIS and QGIS for spatial analysis and map-based assessment in planning practice; Esri WebGIS Apps MOOC in progress; spatial thinking integral to research and policy development approach.</w:t>
      </w:r>
    </w:p>
    <w:p>
      <w:pPr>
        <w:pStyle w:val="ListBullet"/>
        <w:spacing w:before="40" w:after="20"/>
        <w:ind w:left="283"/>
      </w:pPr>
      <w:r>
        <w:rPr>
          <w:b/>
          <w:sz w:val="20"/>
        </w:rPr>
        <w:t xml:space="preserve">Written Communication &amp; Decision-Ready Outputs: </w:t>
      </w:r>
      <w:r>
        <w:rPr>
          <w:sz w:val="20"/>
        </w:rPr>
        <w:t>Policy memos, technical reports and presentations for elected members, technical specialists and senior decision-makers; consistently translates complex research and regulatory content into clear, actionable recommendations.</w:t>
      </w:r>
    </w:p>
    <w:p>
      <w:pPr>
        <w:pStyle w:val="ListBullet"/>
        <w:spacing w:before="40" w:after="20"/>
        <w:ind w:left="283"/>
      </w:pPr>
      <w:r>
        <w:rPr>
          <w:b/>
          <w:sz w:val="20"/>
        </w:rPr>
        <w:t xml:space="preserve">AI-Assisted Research: </w:t>
      </w:r>
      <w:r>
        <w:rPr>
          <w:sz w:val="20"/>
        </w:rPr>
        <w:t>Daily use of Claude Code, ChatGPT and Gemini to accelerate research synthesis, document analysis and drafting workflows; proactively built productivity tools using AI-assisted coding, demonstrating initiative in adopting new technologies to improve research workflows.</w:t>
      </w:r>
    </w:p>
    <w:p>
      <w:pPr>
        <w:spacing w:before="200" w:after="40"/>
        <w:pBdr>
          <w:bottom w:val="single" w:sz="6" w:space="1" w:color="22649B"/>
        </w:pBdr>
      </w:pPr>
      <w:r>
        <w:rPr>
          <w:b/>
          <w:color w:val="22649B"/>
          <w:sz w:val="22"/>
        </w:rPr>
        <w:t>PROFESSIONAL EXPERIENCE</w:t>
      </w:r>
    </w:p>
    <w:p>
      <w:pPr>
        <w:spacing w:before="80" w:after="20"/>
      </w:pPr>
      <w:r>
        <w:rPr>
          <w:b/>
          <w:sz w:val="20"/>
        </w:rPr>
        <w:t>Senior Policy Planner / Policy Planner</w:t>
      </w:r>
      <w:r>
        <w:rPr>
          <w:sz w:val="20"/>
        </w:rPr>
        <w:t>,  Auckland Council,  Auckland, New Zealand</w:t>
      </w:r>
      <w:r>
        <w:rPr>
          <w:i/>
          <w:sz w:val="20"/>
        </w:rPr>
        <w:t xml:space="preserve">  |  Dec 2021 – Present</w:t>
      </w:r>
    </w:p>
    <w:p>
      <w:pPr>
        <w:pStyle w:val="ListBullet"/>
        <w:spacing w:before="20" w:after="20"/>
        <w:ind w:left="283"/>
      </w:pPr>
      <w:r>
        <w:rPr>
          <w:sz w:val="20"/>
        </w:rPr>
        <w:t>Led strategic research and R&amp;D for Plan Change 78's city centre workstream: scoped investigations, managed inputs from technical specialists and external researchers, and developed planning provisions from concept through to implementation.</w:t>
      </w:r>
    </w:p>
    <w:p>
      <w:pPr>
        <w:pStyle w:val="ListBullet"/>
        <w:spacing w:before="20" w:after="20"/>
        <w:ind w:left="283"/>
      </w:pPr>
      <w:r>
        <w:rPr>
          <w:sz w:val="20"/>
        </w:rPr>
        <w:t>Piloted and test-bedded planning approaches through precinct-scale scenario planning: developed multiple built form and density configurations, tested outcomes against design and policy criteria using spatial analysis, and iterated based on technical and stakeholder feedback before policy adoption.</w:t>
      </w:r>
    </w:p>
    <w:p>
      <w:pPr>
        <w:pStyle w:val="ListBullet"/>
        <w:spacing w:before="20" w:after="20"/>
        <w:ind w:left="283"/>
      </w:pPr>
      <w:r>
        <w:rPr>
          <w:sz w:val="20"/>
        </w:rPr>
        <w:t>Conducted comparative policy research across New Zealand and international cities to assess planning approaches, identify transferable innovations and inform policy responses to legislative reform.</w:t>
      </w:r>
    </w:p>
    <w:p>
      <w:pPr>
        <w:pStyle w:val="ListBullet"/>
        <w:spacing w:before="20" w:after="20"/>
        <w:ind w:left="283"/>
      </w:pPr>
      <w:r>
        <w:rPr>
          <w:sz w:val="20"/>
        </w:rPr>
        <w:t>Prepared written and visual outputs for technical specialists, elected members and senior decision-makers, translating complex research into clear, decision-ready recommendations.</w:t>
      </w:r>
    </w:p>
    <w:p>
      <w:pPr>
        <w:pStyle w:val="ListBullet"/>
        <w:spacing w:before="20" w:after="20"/>
        <w:ind w:left="283"/>
      </w:pPr>
      <w:r>
        <w:rPr>
          <w:sz w:val="20"/>
        </w:rPr>
        <w:t>Managed multi-party research and plan change processes: consultant procurement, programme management, coordination of technical inputs, and delivery to statutory timeframes.</w:t>
      </w:r>
    </w:p>
    <w:p>
      <w:pPr>
        <w:spacing w:before="80" w:after="20"/>
      </w:pPr>
      <w:r>
        <w:rPr>
          <w:b/>
          <w:sz w:val="20"/>
        </w:rPr>
        <w:t>Intermediate Planner / Planner</w:t>
      </w:r>
      <w:r>
        <w:rPr>
          <w:sz w:val="20"/>
        </w:rPr>
        <w:t>,  Auckland Council,  Auckland, New Zealand</w:t>
      </w:r>
      <w:r>
        <w:rPr>
          <w:i/>
          <w:sz w:val="20"/>
        </w:rPr>
        <w:t xml:space="preserve">  |  Aug 2016 – Nov 2021</w:t>
      </w:r>
    </w:p>
    <w:p>
      <w:pPr>
        <w:pStyle w:val="ListBullet"/>
        <w:spacing w:before="20" w:after="20"/>
        <w:ind w:left="283"/>
      </w:pPr>
      <w:r>
        <w:rPr>
          <w:sz w:val="20"/>
        </w:rPr>
        <w:t>Assessed complex development applications across Auckland's city centre and wider urban area, developing evidence-based recommendations in technically complex and contested cases involving heritage, coastal and contaminated land overlays.</w:t>
      </w:r>
    </w:p>
    <w:p>
      <w:pPr>
        <w:pStyle w:val="ListBullet"/>
        <w:spacing w:before="20" w:after="20"/>
        <w:ind w:left="283"/>
      </w:pPr>
      <w:r>
        <w:rPr>
          <w:sz w:val="20"/>
        </w:rPr>
        <w:t>Coordinated multidisciplinary technical inputs and negotiated solutions with applicants, consultants and specialists, applying overlapping statutory frameworks to deliver consistent and robust outcomes.</w:t>
      </w:r>
    </w:p>
    <w:p>
      <w:pPr>
        <w:pStyle w:val="ListBullet"/>
        <w:spacing w:before="20" w:after="20"/>
        <w:ind w:left="283"/>
      </w:pPr>
      <w:r>
        <w:rPr>
          <w:sz w:val="20"/>
        </w:rPr>
        <w:t>Provided regulatory planning advice to applicants, consultants and the public, communicating technical requirements to non-specialist audiences.</w:t>
      </w:r>
    </w:p>
    <w:p>
      <w:pPr>
        <w:spacing w:before="80" w:after="20"/>
      </w:pPr>
      <w:r>
        <w:rPr>
          <w:b/>
          <w:sz w:val="20"/>
        </w:rPr>
        <w:t>Assistant Planner</w:t>
      </w:r>
      <w:r>
        <w:rPr>
          <w:sz w:val="20"/>
        </w:rPr>
        <w:t>,  Auckland Council,  Auckland, New Zealand</w:t>
      </w:r>
      <w:r>
        <w:rPr>
          <w:i/>
          <w:sz w:val="20"/>
        </w:rPr>
        <w:t xml:space="preserve">  |  Mar 2015 – Aug 2016</w:t>
      </w:r>
    </w:p>
    <w:p>
      <w:pPr>
        <w:pStyle w:val="ListBullet"/>
        <w:spacing w:before="20" w:after="20"/>
        <w:ind w:left="283"/>
      </w:pPr>
      <w:r>
        <w:rPr>
          <w:sz w:val="20"/>
        </w:rPr>
        <w:t>Front-line planning advice on regulatory frameworks and consent pathways; resource consent processing and statutory documentation.</w:t>
      </w:r>
    </w:p>
    <w:p>
      <w:pPr>
        <w:pStyle w:val="ListBullet"/>
        <w:spacing w:before="20" w:after="20"/>
        <w:ind w:left="283"/>
      </w:pPr>
      <w:r>
        <w:rPr>
          <w:sz w:val="20"/>
        </w:rPr>
        <w:t>Coordination across concurrent applications and consultant engagements in a fast-paced regulatory environment.</w:t>
      </w:r>
    </w:p>
    <w:p>
      <w:pPr>
        <w:spacing w:before="200" w:after="40"/>
        <w:pBdr>
          <w:bottom w:val="single" w:sz="6" w:space="1" w:color="22649B"/>
        </w:pBdr>
      </w:pPr>
      <w:r>
        <w:rPr>
          <w:b/>
          <w:color w:val="22649B"/>
          <w:sz w:val="22"/>
        </w:rPr>
        <w:t>EDUCATION</w:t>
      </w:r>
    </w:p>
    <w:p>
      <w:pPr>
        <w:spacing w:before="80" w:after="20"/>
      </w:pPr>
      <w:r>
        <w:rPr>
          <w:b/>
          <w:sz w:val="20"/>
        </w:rPr>
        <w:t>Bachelor of Planning (Honours)</w:t>
      </w:r>
      <w:r>
        <w:rPr>
          <w:i/>
          <w:sz w:val="20"/>
        </w:rPr>
        <w:t>,  University of Auckland,  Auckland, New Zealand  |  2008–2012</w:t>
      </w:r>
    </w:p>
    <w:p>
      <w:pPr>
        <w:spacing w:before="20" w:after="80"/>
        <w:ind w:left="283"/>
      </w:pPr>
      <w:r>
        <w:rPr>
          <w:sz w:val="20"/>
        </w:rPr>
        <w:t>Four-year accredited honours programme. Key topics: environmental planning, resource management law, spatial analysis, urban design, sustainable development and community engagement.</w:t>
      </w:r>
    </w:p>
    <w:p>
      <w:pPr>
        <w:spacing w:before="40" w:after="20"/>
      </w:pPr>
      <w:r>
        <w:rPr>
          <w:b/>
          <w:sz w:val="20"/>
        </w:rPr>
        <w:t>Esri WebGIS Apps MOOC  (in progress)</w:t>
      </w:r>
      <w:r>
        <w:rPr>
          <w:i/>
          <w:sz w:val="20"/>
        </w:rPr>
        <w:t>,  Esri,  Online  |  2025–2026</w:t>
      </w:r>
    </w:p>
    <w:p>
      <w:pPr>
        <w:spacing w:before="20" w:after="40"/>
        <w:ind w:left="283"/>
      </w:pPr>
      <w:r>
        <w:rPr>
          <w:sz w:val="20"/>
        </w:rPr>
        <w:t>Self-directed geospatial training in web-based GIS applications and spatial data analysis.</w:t>
      </w:r>
    </w:p>
    <w:p>
      <w:pPr>
        <w:spacing w:before="200" w:after="40"/>
        <w:pBdr>
          <w:bottom w:val="single" w:sz="6" w:space="1" w:color="22649B"/>
        </w:pBdr>
      </w:pPr>
      <w:r>
        <w:rPr>
          <w:b/>
          <w:color w:val="22649B"/>
          <w:sz w:val="22"/>
        </w:rPr>
        <w:t>LANGUAGES</w:t>
      </w:r>
    </w:p>
    <w:p>
      <w:pPr>
        <w:spacing w:before="80" w:after="40"/>
      </w:pPr>
      <w:r>
        <w:rPr>
          <w:sz w:val="20"/>
        </w:rPr>
        <w:t>English (native).</w:t>
      </w:r>
    </w:p>
    <w:p>
      <w:pPr>
        <w:spacing w:before="200" w:after="40"/>
        <w:pBdr>
          <w:bottom w:val="single" w:sz="6" w:space="1" w:color="22649B"/>
        </w:pBdr>
      </w:pPr>
      <w:r>
        <w:rPr>
          <w:b/>
          <w:color w:val="22649B"/>
          <w:sz w:val="22"/>
        </w:rPr>
        <w:t>REFERENCES</w:t>
      </w:r>
    </w:p>
    <w:p>
      <w:pPr>
        <w:spacing w:before="80" w:after="40"/>
      </w:pPr>
      <w:r>
        <w:rPr>
          <w:sz w:val="20"/>
        </w:rPr>
        <w:t>Available upon request.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