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bCs/>
          <w:color w:val="F59E0B"/>
          <w:sz w:val="48"/>
          <w:szCs w:val="48"/>
        </w:rPr>
        <w:t xml:space="preserve">PRD</w:t>
      </w:r>
    </w:p>
    <w:p>
      <w:pPr>
        <w:spacing w:after="80" w:before="80"/>
      </w:pPr>
      <w:r>
        <w:rPr>
          <w:rFonts w:ascii="Arial" w:cs="Arial" w:eastAsia="Arial" w:hAnsi="Arial"/>
          <w:b/>
          <w:bCs/>
          <w:sz w:val="56"/>
          <w:szCs w:val="56"/>
        </w:rPr>
        <w:t xml:space="preserve">The Agent Governance Plane</w:t>
      </w:r>
    </w:p>
    <w:p>
      <w:pPr>
        <w:spacing w:after="600" w:before="80"/>
      </w:pPr>
      <w:r>
        <w:rPr>
          <w:rFonts w:ascii="Arial" w:cs="Arial" w:eastAsia="Arial" w:hAnsi="Arial"/>
          <w:i/>
          <w:iCs/>
          <w:color w:val="6B7280"/>
          <w:sz w:val="24"/>
          <w:szCs w:val="24"/>
        </w:rPr>
        <w:t xml:space="preserve">Skilgen / Skillayer · v8.0 — Repositioning from skill platform to coding-agent governance</w:t>
      </w:r>
    </w:p>
    <w:p>
      <w:pPr>
        <w:spacing w:after="80" w:before="80" w:line="320"/>
      </w:pPr>
      <w:r>
        <w:rPr>
          <w:rFonts w:ascii="Arial" w:cs="Arial" w:eastAsia="Arial" w:hAnsi="Arial"/>
          <w:b/>
          <w:bCs/>
          <w:sz w:val="22"/>
          <w:szCs w:val="22"/>
        </w:rPr>
        <w:t xml:space="preserve">Author: </w:t>
      </w:r>
      <w:r>
        <w:rPr>
          <w:rFonts w:ascii="Arial" w:cs="Arial" w:eastAsia="Arial" w:hAnsi="Arial"/>
          <w:sz w:val="22"/>
          <w:szCs w:val="22"/>
        </w:rPr>
        <w:t xml:space="preserve">Ravi</w:t>
      </w:r>
    </w:p>
    <w:p>
      <w:pPr>
        <w:spacing w:after="80" w:before="80" w:line="320"/>
      </w:pPr>
      <w:r>
        <w:rPr>
          <w:rFonts w:ascii="Arial" w:cs="Arial" w:eastAsia="Arial" w:hAnsi="Arial"/>
          <w:b/>
          <w:bCs/>
          <w:sz w:val="22"/>
          <w:szCs w:val="22"/>
        </w:rPr>
        <w:t xml:space="preserve">Status: </w:t>
      </w:r>
      <w:r>
        <w:rPr>
          <w:rFonts w:ascii="Arial" w:cs="Arial" w:eastAsia="Arial" w:hAnsi="Arial"/>
          <w:sz w:val="22"/>
          <w:szCs w:val="22"/>
        </w:rPr>
        <w:t xml:space="preserve">Draft for engineering review</w:t>
      </w:r>
    </w:p>
    <w:p>
      <w:pPr>
        <w:spacing w:after="80" w:before="80" w:line="320"/>
      </w:pPr>
      <w:r>
        <w:rPr>
          <w:rFonts w:ascii="Arial" w:cs="Arial" w:eastAsia="Arial" w:hAnsi="Arial"/>
          <w:b/>
          <w:bCs/>
          <w:sz w:val="22"/>
          <w:szCs w:val="22"/>
        </w:rPr>
        <w:t xml:space="preserve">Date: </w:t>
      </w:r>
      <w:r>
        <w:rPr>
          <w:rFonts w:ascii="Arial" w:cs="Arial" w:eastAsia="Arial" w:hAnsi="Arial"/>
          <w:sz w:val="22"/>
          <w:szCs w:val="22"/>
        </w:rPr>
        <w:t xml:space="preserve">May 1, 2026</w:t>
      </w:r>
    </w:p>
    <w:p>
      <w:pPr>
        <w:spacing w:after="80" w:before="80" w:line="320"/>
      </w:pPr>
      <w:r>
        <w:rPr>
          <w:rFonts w:ascii="Arial" w:cs="Arial" w:eastAsia="Arial" w:hAnsi="Arial"/>
          <w:b/>
          <w:bCs/>
          <w:sz w:val="22"/>
          <w:szCs w:val="22"/>
        </w:rPr>
        <w:t xml:space="preserve">Supersedes: </w:t>
      </w:r>
      <w:r>
        <w:rPr>
          <w:rFonts w:ascii="Arial" w:cs="Arial" w:eastAsia="Arial" w:hAnsi="Arial"/>
          <w:sz w:val="22"/>
          <w:szCs w:val="22"/>
        </w:rPr>
        <w:t xml:space="preserve">PRD v7 (skill platform framing)</w:t>
      </w:r>
    </w:p>
    <w:p>
      <w:pPr>
        <w:spacing w:after="80" w:before="80" w:line="320"/>
      </w:pPr>
      <w:r>
        <w:rPr>
          <w:rFonts w:ascii="Arial" w:cs="Arial" w:eastAsia="Arial" w:hAnsi="Arial"/>
          <w:b/>
          <w:bCs/>
          <w:sz w:val="22"/>
          <w:szCs w:val="22"/>
        </w:rPr>
        <w:t xml:space="preserve">One-line pitch: </w:t>
      </w:r>
      <w:r>
        <w:rPr>
          <w:rFonts w:ascii="Arial" w:cs="Arial" w:eastAsia="Arial" w:hAnsi="Arial"/>
          <w:i/>
          <w:iCs/>
          <w:sz w:val="22"/>
          <w:szCs w:val="22"/>
        </w:rPr>
        <w:t xml:space="preserve">You don't know what your coding agents did last night. We do.</w:t>
      </w:r>
    </w:p>
    <w:p>
      <w:pPr>
        <w:spacing w:after="80" w:before="80"/>
      </w:pPr>
      <w:r>
        <w:t xml:space="preserve"> </w:t>
      </w:r>
    </w:p>
    <w:p>
      <w:pPr>
        <w:spacing w:after="80" w:before="80" w:line="320"/>
      </w:pPr>
      <w:r>
        <w:rPr>
          <w:rFonts w:ascii="Arial" w:cs="Arial" w:eastAsia="Arial" w:hAnsi="Arial"/>
          <w:i/>
          <w:iCs/>
          <w:color w:val="374151"/>
          <w:sz w:val="22"/>
          <w:szCs w:val="22"/>
        </w:rPr>
        <w:t xml:space="preserve">This document defines the strategic reframing of Skilgen/Skillayer from an enterprise skill platform into a cross-provider governance plane for coding agents. It covers the new product positioning, information architecture cleanup, surface-by-surface feature specifications, ingest and enforcement architecture, the role of Skilgen Score as substrate (not headline), the open-core strategy, the go-to-market motion, success metrics, a 12-month roadmap, and the risks and open questions that need resolution before implementation.</w:t>
      </w:r>
    </w:p>
    <w:p>
      <w:pPr>
        <w:pStyle w:val="Heading1"/>
        <w:pageBreakBefore/>
        <w:spacing w:after="180" w:before="360"/>
      </w:pPr>
      <w:r>
        <w:rPr>
          <w:rFonts w:ascii="Arial" w:cs="Arial" w:eastAsia="Arial" w:hAnsi="Arial"/>
          <w:b/>
          <w:bCs/>
          <w:sz w:val="36"/>
          <w:szCs w:val="36"/>
        </w:rPr>
        <w:t xml:space="preserve">1. Why this PRD exists</w:t>
      </w:r>
    </w:p>
    <w:p>
      <w:pPr>
        <w:pStyle w:val="Heading2"/>
        <w:spacing w:after="140" w:before="280"/>
      </w:pPr>
      <w:r>
        <w:rPr>
          <w:rFonts w:ascii="Arial" w:cs="Arial" w:eastAsia="Arial" w:hAnsi="Arial"/>
          <w:b/>
          <w:bCs/>
          <w:sz w:val="28"/>
          <w:szCs w:val="28"/>
        </w:rPr>
        <w:t xml:space="preserve">1.1 The problem with v7</w:t>
      </w:r>
    </w:p>
    <w:p>
      <w:pPr>
        <w:spacing w:after="80" w:before="80" w:line="320"/>
        <w:jc w:val="left"/>
      </w:pPr>
      <w:r>
        <w:rPr>
          <w:rFonts w:ascii="Arial" w:cs="Arial" w:eastAsia="Arial" w:hAnsi="Arial"/>
          <w:b w:val="false"/>
          <w:bCs w:val="false"/>
          <w:i w:val="false"/>
          <w:iCs w:val="false"/>
          <w:sz w:val="22"/>
          <w:szCs w:val="22"/>
        </w:rPr>
        <w:t xml:space="preserve">PRD v7 framed Skilgen as a skill platform. The sidebar grew to ~30 items (Overview, Repos, Skills, PR Inbox, Review, Agent Scorecard, AI Readiness, Connect Agent, My Code Today, Leaderboard, Analytics, Agent Performance, Heatmap, Intelligence, SkillQL, Skill Gaps, Skill Debt, Knowledge Risk, Red Flags, A/B Tests, Registry, Sessions, Digest, Autopilot, Sources, Coverage SLA, Half-life, Dependency Graph, Teams, Audit). LangSmith ships with eleven. The buyer cannot tell what we are within five seconds, which is the maximum attention budget we have on first impression.</w:t>
      </w:r>
    </w:p>
    <w:p>
      <w:pPr>
        <w:pStyle w:val="Heading2"/>
        <w:spacing w:after="140" w:before="280"/>
      </w:pPr>
      <w:r>
        <w:rPr>
          <w:rFonts w:ascii="Arial" w:cs="Arial" w:eastAsia="Arial" w:hAnsi="Arial"/>
          <w:b/>
          <w:bCs/>
          <w:sz w:val="28"/>
          <w:szCs w:val="28"/>
        </w:rPr>
        <w:t xml:space="preserve">1.2 The market reality that made repositioning necessary</w:t>
      </w:r>
    </w:p>
    <w:p>
      <w:pPr>
        <w:pStyle w:val="ListParagraph"/>
        <w:numPr>
          <w:ilvl w:val="0"/>
          <w:numId w:val="2"/>
        </w:numPr>
        <w:spacing w:after="40" w:before="40" w:line="300"/>
      </w:pPr>
      <w:r>
        <w:rPr>
          <w:rFonts w:ascii="Arial" w:cs="Arial" w:eastAsia="Arial" w:hAnsi="Arial"/>
          <w:b/>
          <w:bCs/>
          <w:sz w:val="22"/>
          <w:szCs w:val="22"/>
        </w:rPr>
        <w:t xml:space="preserve">Format commoditized. </w:t>
      </w:r>
      <w:r>
        <w:rPr>
          <w:rFonts w:ascii="Arial" w:cs="Arial" w:eastAsia="Arial" w:hAnsi="Arial"/>
          <w:sz w:val="22"/>
          <w:szCs w:val="22"/>
        </w:rPr>
        <w:t xml:space="preserve">Anthropic released Agent Skills as an open standard at agentskills.io in December 2025. OpenAI adopted the identical SKILL.md format in ChatGPT and Codex CLI. Microsoft adopted it in VS Code and GitHub. AGENTS.md is now stewarded by the Linux Foundation. No one owns the format.</w:t>
      </w:r>
    </w:p>
    <w:p>
      <w:pPr>
        <w:pStyle w:val="ListParagraph"/>
        <w:numPr>
          <w:ilvl w:val="0"/>
          <w:numId w:val="2"/>
        </w:numPr>
        <w:spacing w:after="40" w:before="40" w:line="300"/>
      </w:pPr>
      <w:r>
        <w:rPr>
          <w:rFonts w:ascii="Arial" w:cs="Arial" w:eastAsia="Arial" w:hAnsi="Arial"/>
          <w:b/>
          <w:bCs/>
          <w:sz w:val="22"/>
          <w:szCs w:val="22"/>
        </w:rPr>
        <w:t xml:space="preserve">Skill creation commoditized. </w:t>
      </w:r>
      <w:r>
        <w:rPr>
          <w:rFonts w:ascii="Arial" w:cs="Arial" w:eastAsia="Arial" w:hAnsi="Arial"/>
          <w:sz w:val="22"/>
          <w:szCs w:val="22"/>
        </w:rPr>
        <w:t xml:space="preserve">Anthropic ships skill-creator as a built-in skill. "We auto-generate skills" is no longer a wedge on its own.</w:t>
      </w:r>
    </w:p>
    <w:p>
      <w:pPr>
        <w:pStyle w:val="ListParagraph"/>
        <w:numPr>
          <w:ilvl w:val="0"/>
          <w:numId w:val="2"/>
        </w:numPr>
        <w:spacing w:after="40" w:before="40" w:line="300"/>
      </w:pPr>
      <w:r>
        <w:rPr>
          <w:rFonts w:ascii="Arial" w:cs="Arial" w:eastAsia="Arial" w:hAnsi="Arial"/>
          <w:b/>
          <w:bCs/>
          <w:sz w:val="22"/>
          <w:szCs w:val="22"/>
        </w:rPr>
        <w:t xml:space="preserve">Marketplaces saturated. </w:t>
      </w:r>
      <w:r>
        <w:rPr>
          <w:rFonts w:ascii="Arial" w:cs="Arial" w:eastAsia="Arial" w:hAnsi="Arial"/>
          <w:sz w:val="22"/>
          <w:szCs w:val="22"/>
        </w:rPr>
        <w:t xml:space="preserve">SkillsMP, claudeskills.info, openskills, awesome-codex-cli, VoltAgent, antigravity all compete for the catalog play.</w:t>
      </w:r>
    </w:p>
    <w:p>
      <w:pPr>
        <w:pStyle w:val="ListParagraph"/>
        <w:numPr>
          <w:ilvl w:val="0"/>
          <w:numId w:val="2"/>
        </w:numPr>
        <w:spacing w:after="40" w:before="40" w:line="300"/>
      </w:pPr>
      <w:r>
        <w:rPr>
          <w:rFonts w:ascii="Arial" w:cs="Arial" w:eastAsia="Arial" w:hAnsi="Arial"/>
          <w:b/>
          <w:bCs/>
          <w:sz w:val="22"/>
          <w:szCs w:val="22"/>
        </w:rPr>
        <w:t xml:space="preserve">Code-grounded skill generation has competition. </w:t>
      </w:r>
      <w:r>
        <w:rPr>
          <w:rFonts w:ascii="Arial" w:cs="Arial" w:eastAsia="Arial" w:hAnsi="Arial"/>
          <w:sz w:val="22"/>
          <w:szCs w:val="22"/>
        </w:rPr>
        <w:t xml:space="preserve">Skill Seekers' C3.x ships AST-parsing across seven analysis modules. Our Phase 1 indexing is not novel in isolation.</w:t>
      </w:r>
    </w:p>
    <w:p>
      <w:pPr>
        <w:pStyle w:val="ListParagraph"/>
        <w:numPr>
          <w:ilvl w:val="0"/>
          <w:numId w:val="2"/>
        </w:numPr>
        <w:spacing w:after="40" w:before="40" w:line="300"/>
      </w:pPr>
      <w:r>
        <w:rPr>
          <w:rFonts w:ascii="Arial" w:cs="Arial" w:eastAsia="Arial" w:hAnsi="Arial"/>
          <w:b/>
          <w:bCs/>
          <w:sz w:val="22"/>
          <w:szCs w:val="22"/>
        </w:rPr>
        <w:t xml:space="preserve">GitLab + Anthropic claimed SDLC governance. </w:t>
      </w:r>
      <w:r>
        <w:rPr>
          <w:rFonts w:ascii="Arial" w:cs="Arial" w:eastAsia="Arial" w:hAnsi="Arial"/>
          <w:sz w:val="22"/>
          <w:szCs w:val="22"/>
        </w:rPr>
        <w:t xml:space="preserve">Their December partnership routes Claude suggestions through merge requests, approval rules, security scanning, and audit trails.</w:t>
      </w:r>
    </w:p>
    <w:p>
      <w:pPr>
        <w:pStyle w:val="Heading2"/>
        <w:spacing w:after="140" w:before="280"/>
      </w:pPr>
      <w:r>
        <w:rPr>
          <w:rFonts w:ascii="Arial" w:cs="Arial" w:eastAsia="Arial" w:hAnsi="Arial"/>
          <w:b/>
          <w:bCs/>
          <w:sz w:val="28"/>
          <w:szCs w:val="28"/>
        </w:rPr>
        <w:t xml:space="preserve">1.3 The actual gap nobody owns</w:t>
      </w:r>
    </w:p>
    <w:p>
      <w:pPr>
        <w:spacing w:after="80" w:before="80" w:line="320"/>
        <w:jc w:val="left"/>
      </w:pPr>
      <w:r>
        <w:rPr>
          <w:rFonts w:ascii="Arial" w:cs="Arial" w:eastAsia="Arial" w:hAnsi="Arial"/>
          <w:b w:val="false"/>
          <w:bCs w:val="false"/>
          <w:i w:val="false"/>
          <w:iCs w:val="false"/>
          <w:sz w:val="22"/>
          <w:szCs w:val="22"/>
        </w:rPr>
        <w:t xml:space="preserve">Coding agents are running in production right now at every Fortune 500. Codex has ~4M weekly active users. Claude Code is enterprise-default at thousands of companies. Cursor, Windsurf, Aider, Copilot, and internal tools are writing code, opening PRs, executing shell commands, and touching regulated files every minute of every day. The people responsible for risk at these companies — VPs of Platform, CISOs, Heads of AI Governance — cannot answer the simple question: what did our coding agents do last night?</w:t>
      </w:r>
    </w:p>
    <w:p>
      <w:pPr>
        <w:spacing w:after="80" w:before="80" w:line="320"/>
        <w:jc w:val="left"/>
      </w:pPr>
      <w:r>
        <w:rPr>
          <w:rFonts w:ascii="Arial" w:cs="Arial" w:eastAsia="Arial" w:hAnsi="Arial"/>
          <w:b w:val="false"/>
          <w:bCs w:val="false"/>
          <w:i w:val="false"/>
          <w:iCs w:val="false"/>
          <w:sz w:val="22"/>
          <w:szCs w:val="22"/>
        </w:rPr>
        <w:t xml:space="preserve">That gap is structurally unfillable by Anthropic and OpenAI. A model lab can only see its own surface. Real governance requires cross-provider visibility, which disqualifies them by definition. This is the same structural reason Datadog exists despite CloudWatch existing, and the same reason Snowflake exists despite Redshift existing.</w:t>
      </w:r>
    </w:p>
    <w:p>
      <w:pPr>
        <w:pStyle w:val="Heading2"/>
        <w:spacing w:after="140" w:before="280"/>
      </w:pPr>
      <w:r>
        <w:rPr>
          <w:rFonts w:ascii="Arial" w:cs="Arial" w:eastAsia="Arial" w:hAnsi="Arial"/>
          <w:b/>
          <w:bCs/>
          <w:sz w:val="28"/>
          <w:szCs w:val="28"/>
        </w:rPr>
        <w:t xml:space="preserve">1.4 The repositioning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v7 (skill platform)</w:t>
            </w:r>
          </w:p>
        </w:tc>
        <w:tc>
          <w:tcPr>
            <w:tcW w:type="dxa" w:w="37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v8 (governance plane)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Headline</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Enterprise AI coding intelligence</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Control plane for enterprise coding agents</w:t>
            </w:r>
          </w:p>
        </w:tc>
      </w:tr>
      <w:tr>
        <w:tc>
          <w:tcPr>
            <w:tcW w:type="dxa" w:w="2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Buyer</w:t>
            </w:r>
          </w:p>
        </w:tc>
        <w:tc>
          <w:tcPr>
            <w:tcW w:type="dxa" w:w="3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Head of Engineering / DevX</w:t>
            </w:r>
          </w:p>
        </w:tc>
        <w:tc>
          <w:tcPr>
            <w:tcW w:type="dxa" w:w="37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VP Platform / CISO / Head of AI Governance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Budget line</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Developer tools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Security / Compliance</w:t>
            </w:r>
          </w:p>
        </w:tc>
      </w:tr>
      <w:tr>
        <w:tc>
          <w:tcPr>
            <w:tcW w:type="dxa" w:w="2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ARR shape</w:t>
            </w:r>
          </w:p>
        </w:tc>
        <w:tc>
          <w:tcPr>
            <w:tcW w:type="dxa" w:w="3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$30k–$80k seat-based</w:t>
            </w:r>
          </w:p>
        </w:tc>
        <w:tc>
          <w:tcPr>
            <w:tcW w:type="dxa" w:w="37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$200k–$1M+ platform deal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First screen</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 coverage dashboard</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Live agent activity feed</w:t>
            </w:r>
          </w:p>
        </w:tc>
      </w:tr>
      <w:tr>
        <w:tc>
          <w:tcPr>
            <w:tcW w:type="dxa" w:w="2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Skilgen role</w:t>
            </w:r>
          </w:p>
        </w:tc>
        <w:tc>
          <w:tcPr>
            <w:tcW w:type="dxa" w:w="3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Headline product</w:t>
            </w:r>
          </w:p>
        </w:tc>
        <w:tc>
          <w:tcPr>
            <w:tcW w:type="dxa" w:w="37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Substrate that makes governance credible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Defensibility</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Better skill scoring</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Compliance certs, integration breadth, neutrality</w:t>
            </w:r>
          </w:p>
        </w:tc>
      </w:tr>
      <w:tr>
        <w:tc>
          <w:tcPr>
            <w:tcW w:type="dxa" w:w="2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Threat from labs</w:t>
            </w:r>
          </w:p>
        </w:tc>
        <w:tc>
          <w:tcPr>
            <w:tcW w:type="dxa" w:w="3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High (overlapping wedge)</w:t>
            </w:r>
          </w:p>
        </w:tc>
        <w:tc>
          <w:tcPr>
            <w:tcW w:type="dxa" w:w="37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Low (structural disqualification)</w:t>
            </w:r>
          </w:p>
        </w:tc>
      </w:tr>
    </w:tbl>
    <w:p>
      <w:pPr>
        <w:pStyle w:val="Heading1"/>
        <w:pageBreakBefore/>
        <w:spacing w:after="180" w:before="360"/>
      </w:pPr>
      <w:r>
        <w:rPr>
          <w:rFonts w:ascii="Arial" w:cs="Arial" w:eastAsia="Arial" w:hAnsi="Arial"/>
          <w:b/>
          <w:bCs/>
          <w:sz w:val="36"/>
          <w:szCs w:val="36"/>
        </w:rPr>
        <w:t xml:space="preserve">2. Buyer, users, and the question they need answered</w:t>
      </w:r>
    </w:p>
    <w:p>
      <w:pPr>
        <w:pStyle w:val="Heading2"/>
        <w:spacing w:after="140" w:before="280"/>
      </w:pPr>
      <w:r>
        <w:rPr>
          <w:rFonts w:ascii="Arial" w:cs="Arial" w:eastAsia="Arial" w:hAnsi="Arial"/>
          <w:b/>
          <w:bCs/>
          <w:sz w:val="28"/>
          <w:szCs w:val="28"/>
        </w:rPr>
        <w:t xml:space="preserve">2.1 The economic buyer</w:t>
      </w:r>
    </w:p>
    <w:p>
      <w:pPr>
        <w:spacing w:after="80" w:before="80" w:line="320"/>
        <w:jc w:val="left"/>
      </w:pPr>
      <w:r>
        <w:rPr>
          <w:rFonts w:ascii="Arial" w:cs="Arial" w:eastAsia="Arial" w:hAnsi="Arial"/>
          <w:b w:val="false"/>
          <w:bCs w:val="false"/>
          <w:i w:val="false"/>
          <w:iCs w:val="false"/>
          <w:sz w:val="22"/>
          <w:szCs w:val="22"/>
        </w:rPr>
        <w:t xml:space="preserve">Title: VP of Platform Engineering, CISO, or Head of AI Governance at a 500+ engineer company that has rolled out coding agents in the last 12 months. Reports to CTO or CISO. Owns SOC2/ISO/HIPAA/FedRAMP attestations. Sits in the room when the board asks "what's our AI risk posture?"</w:t>
      </w:r>
    </w:p>
    <w:p>
      <w:pPr>
        <w:spacing w:after="80" w:before="80" w:line="320"/>
        <w:jc w:val="left"/>
      </w:pPr>
      <w:r>
        <w:rPr>
          <w:rFonts w:ascii="Arial" w:cs="Arial" w:eastAsia="Arial" w:hAnsi="Arial"/>
          <w:b w:val="false"/>
          <w:bCs w:val="false"/>
          <w:i w:val="false"/>
          <w:iCs w:val="false"/>
          <w:sz w:val="22"/>
          <w:szCs w:val="22"/>
        </w:rPr>
        <w:t xml:space="preserve">Their pain is concrete and dated. Sometime in the next 6–18 months, a public incident will land — a coding agent will exfiltrate IP, ship credentials to a public repo, delete a production schema, or violate a license boundary at a regulated company. The day after that headline drops, every CISO in the Fortune 500 will be in market for an answer. The product they buy will be the product that already has the category name attached to it. We need to be that name.</w:t>
      </w:r>
    </w:p>
    <w:p>
      <w:pPr>
        <w:pStyle w:val="Heading2"/>
        <w:spacing w:after="140" w:before="280"/>
      </w:pPr>
      <w:r>
        <w:rPr>
          <w:rFonts w:ascii="Arial" w:cs="Arial" w:eastAsia="Arial" w:hAnsi="Arial"/>
          <w:b/>
          <w:bCs/>
          <w:sz w:val="28"/>
          <w:szCs w:val="28"/>
        </w:rPr>
        <w:t xml:space="preserve">2.2 The user</w:t>
      </w:r>
    </w:p>
    <w:p>
      <w:pPr>
        <w:spacing w:after="80" w:before="80" w:line="320"/>
        <w:jc w:val="left"/>
      </w:pPr>
      <w:r>
        <w:rPr>
          <w:rFonts w:ascii="Arial" w:cs="Arial" w:eastAsia="Arial" w:hAnsi="Arial"/>
          <w:b w:val="false"/>
          <w:bCs w:val="false"/>
          <w:i w:val="false"/>
          <w:iCs w:val="false"/>
          <w:sz w:val="22"/>
          <w:szCs w:val="22"/>
        </w:rPr>
        <w:t xml:space="preserve">The economic buyer signs the contract. The daily user is an Engineering Manager, Staff Engineer on a platform team, or Security Engineer responsible for AI tooling. They open the product to investigate incidents ("why did Claude Code touch payments yesterday?"), to author and tune policies, to approve quarantined skills, and to run the weekly governance review.</w:t>
      </w:r>
    </w:p>
    <w:p>
      <w:pPr>
        <w:pStyle w:val="Heading2"/>
        <w:spacing w:after="140" w:before="280"/>
      </w:pPr>
      <w:r>
        <w:rPr>
          <w:rFonts w:ascii="Arial" w:cs="Arial" w:eastAsia="Arial" w:hAnsi="Arial"/>
          <w:b/>
          <w:bCs/>
          <w:sz w:val="28"/>
          <w:szCs w:val="28"/>
        </w:rPr>
        <w:t xml:space="preserve">2.3 The five questions the product must answer in five seconds</w:t>
      </w:r>
    </w:p>
    <w:p>
      <w:pPr>
        <w:pStyle w:val="ListParagraph"/>
        <w:numPr>
          <w:ilvl w:val="0"/>
          <w:numId w:val="3"/>
        </w:numPr>
        <w:spacing w:after="40" w:before="40" w:line="300"/>
      </w:pPr>
      <w:r>
        <w:rPr>
          <w:rFonts w:ascii="Arial" w:cs="Arial" w:eastAsia="Arial" w:hAnsi="Arial"/>
          <w:sz w:val="22"/>
          <w:szCs w:val="22"/>
        </w:rPr>
        <w:t xml:space="preserve">What did my coding agents do in the last 24 hours, across every provider?</w:t>
      </w:r>
    </w:p>
    <w:p>
      <w:pPr>
        <w:pStyle w:val="ListParagraph"/>
        <w:numPr>
          <w:ilvl w:val="0"/>
          <w:numId w:val="3"/>
        </w:numPr>
        <w:spacing w:after="40" w:before="40" w:line="300"/>
      </w:pPr>
      <w:r>
        <w:rPr>
          <w:rFonts w:ascii="Arial" w:cs="Arial" w:eastAsia="Arial" w:hAnsi="Arial"/>
          <w:sz w:val="22"/>
          <w:szCs w:val="22"/>
        </w:rPr>
        <w:t xml:space="preserve">Which actions violated policy, and were they blocked or approved?</w:t>
      </w:r>
    </w:p>
    <w:p>
      <w:pPr>
        <w:pStyle w:val="ListParagraph"/>
        <w:numPr>
          <w:ilvl w:val="0"/>
          <w:numId w:val="3"/>
        </w:numPr>
        <w:spacing w:after="40" w:before="40" w:line="300"/>
      </w:pPr>
      <w:r>
        <w:rPr>
          <w:rFonts w:ascii="Arial" w:cs="Arial" w:eastAsia="Arial" w:hAnsi="Arial"/>
          <w:sz w:val="22"/>
          <w:szCs w:val="22"/>
        </w:rPr>
        <w:t xml:space="preserve">Which skills are in active use, who approved them, and which have drifted from the code they claim to describe?</w:t>
      </w:r>
    </w:p>
    <w:p>
      <w:pPr>
        <w:pStyle w:val="ListParagraph"/>
        <w:numPr>
          <w:ilvl w:val="0"/>
          <w:numId w:val="3"/>
        </w:numPr>
        <w:spacing w:after="40" w:before="40" w:line="300"/>
      </w:pPr>
      <w:r>
        <w:rPr>
          <w:rFonts w:ascii="Arial" w:cs="Arial" w:eastAsia="Arial" w:hAnsi="Arial"/>
          <w:sz w:val="22"/>
          <w:szCs w:val="22"/>
        </w:rPr>
        <w:t xml:space="preserve">If an auditor asked today, can I export an evidence package for SOC2 CC8.1 (change management) covering AI-assisted commits?</w:t>
      </w:r>
    </w:p>
    <w:p>
      <w:pPr>
        <w:pStyle w:val="ListParagraph"/>
        <w:numPr>
          <w:ilvl w:val="0"/>
          <w:numId w:val="3"/>
        </w:numPr>
        <w:spacing w:after="40" w:before="40" w:line="300"/>
      </w:pPr>
      <w:r>
        <w:rPr>
          <w:rFonts w:ascii="Arial" w:cs="Arial" w:eastAsia="Arial" w:hAnsi="Arial"/>
          <w:sz w:val="22"/>
          <w:szCs w:val="22"/>
        </w:rPr>
        <w:t xml:space="preserve">Which agents, repos, or skills are statistically the riskiest in my fleet, and what's the trend?</w:t>
      </w:r>
    </w:p>
    <w:p>
      <w:pPr>
        <w:pStyle w:val="Heading1"/>
        <w:pageBreakBefore/>
        <w:spacing w:after="180" w:before="360"/>
      </w:pPr>
      <w:r>
        <w:rPr>
          <w:rFonts w:ascii="Arial" w:cs="Arial" w:eastAsia="Arial" w:hAnsi="Arial"/>
          <w:b/>
          <w:bCs/>
          <w:sz w:val="36"/>
          <w:szCs w:val="36"/>
        </w:rPr>
        <w:t xml:space="preserve">3. Information architecture: the new sidebar</w:t>
      </w:r>
    </w:p>
    <w:p>
      <w:pPr>
        <w:pStyle w:val="Heading2"/>
        <w:spacing w:after="140" w:before="280"/>
      </w:pPr>
      <w:r>
        <w:rPr>
          <w:rFonts w:ascii="Arial" w:cs="Arial" w:eastAsia="Arial" w:hAnsi="Arial"/>
          <w:b/>
          <w:bCs/>
          <w:sz w:val="28"/>
          <w:szCs w:val="28"/>
        </w:rPr>
        <w:t xml:space="preserve">3.1 Design principle</w:t>
      </w:r>
    </w:p>
    <w:p>
      <w:pPr>
        <w:spacing w:after="80" w:before="80" w:line="320"/>
        <w:jc w:val="left"/>
      </w:pPr>
      <w:r>
        <w:rPr>
          <w:rFonts w:ascii="Arial" w:cs="Arial" w:eastAsia="Arial" w:hAnsi="Arial"/>
          <w:b w:val="false"/>
          <w:bCs w:val="false"/>
          <w:i w:val="false"/>
          <w:iCs w:val="false"/>
          <w:sz w:val="22"/>
          <w:szCs w:val="22"/>
        </w:rPr>
        <w:t xml:space="preserve">Every nav item must answer one buyer question in one word. If a label needs a paragraph to explain, it gets cut, merged, or moved to a tab. The maximum sidebar depth is two levels. The maximum top-level item count is seven.</w:t>
      </w:r>
    </w:p>
    <w:p>
      <w:pPr>
        <w:pStyle w:val="Heading2"/>
        <w:spacing w:after="140" w:before="280"/>
      </w:pPr>
      <w:r>
        <w:rPr>
          <w:rFonts w:ascii="Arial" w:cs="Arial" w:eastAsia="Arial" w:hAnsi="Arial"/>
          <w:b/>
          <w:bCs/>
          <w:sz w:val="28"/>
          <w:szCs w:val="28"/>
        </w:rPr>
        <w:t xml:space="preserve">3.2 The six-item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4000"/>
        <w:gridCol w:w="3460"/>
      </w:tblGrid>
      <w:tr>
        <w:trPr>
          <w:tblHeader/>
        </w:trPr>
        <w:tc>
          <w:tcPr>
            <w:tcW w:type="dxa" w:w="5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w:t>
            </w:r>
          </w:p>
        </w:tc>
        <w:tc>
          <w:tcPr>
            <w:tcW w:type="dxa" w:w="14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Buyer question it answers</w:t>
            </w:r>
          </w:p>
        </w:tc>
        <w:tc>
          <w:tcPr>
            <w:tcW w:type="dxa" w:w="34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Sub-surfaces (tabs)</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Activity</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What are my agents doing right now?</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Live feed · Sessions · Replay · Heatmap</w:t>
            </w:r>
          </w:p>
        </w:tc>
      </w:tr>
      <w:tr>
        <w:tc>
          <w:tcPr>
            <w:tcW w:type="dxa" w:w="5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Policy</w:t>
            </w:r>
          </w:p>
        </w:tc>
        <w:tc>
          <w:tcPr>
            <w:tcW w:type="dxa" w:w="40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What rules govern them, and what was blocked?</w:t>
            </w:r>
          </w:p>
        </w:tc>
        <w:tc>
          <w:tcPr>
            <w:tcW w:type="dxa" w:w="3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Rules · Violations · Approvals · Quarantine</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Audit</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Can I prove it to an auditor?</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Event log · Reports · Exports · Evidence packages</w:t>
            </w:r>
          </w:p>
        </w:tc>
      </w:tr>
      <w:tr>
        <w:tc>
          <w:tcPr>
            <w:tcW w:type="dxa" w:w="5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Skills</w:t>
            </w:r>
          </w:p>
        </w:tc>
        <w:tc>
          <w:tcPr>
            <w:tcW w:type="dxa" w:w="40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What artifacts are they using, and are those artifacts trusted?</w:t>
            </w:r>
          </w:p>
        </w:tc>
        <w:tc>
          <w:tcPr>
            <w:tcW w:type="dxa" w:w="3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Registry · Score · Drift · Provenance · SkillQL · Repos</w:t>
            </w:r>
          </w:p>
        </w:tc>
      </w:tr>
      <w:tr>
        <w:tc>
          <w:tcPr>
            <w:tcW w:type="dxa" w:w="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Insights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Where is risk trending across the fleet?</w:t>
            </w:r>
          </w:p>
        </w:tc>
        <w:tc>
          <w:tcPr>
            <w:tcW w:type="dxa" w:w="3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Fleet KPIs · Risky agents · Risky repos · Coverage SLA</w:t>
            </w:r>
          </w:p>
        </w:tc>
      </w:tr>
      <w:tr>
        <w:tc>
          <w:tcPr>
            <w:tcW w:type="dxa" w:w="5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Settings</w:t>
            </w:r>
          </w:p>
        </w:tc>
        <w:tc>
          <w:tcPr>
            <w:tcW w:type="dxa" w:w="40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Who has access and how is it configured?</w:t>
            </w:r>
          </w:p>
        </w:tc>
        <w:tc>
          <w:tcPr>
            <w:tcW w:type="dxa" w:w="3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Teams · RBAC · SSO · Connectors · Audit of admin actions · Billing</w:t>
            </w:r>
          </w:p>
        </w:tc>
      </w:tr>
    </w:tbl>
    <w:p>
      <w:pPr>
        <w:pStyle w:val="Heading2"/>
        <w:spacing w:after="140" w:before="280"/>
      </w:pPr>
      <w:r>
        <w:rPr>
          <w:rFonts w:ascii="Arial" w:cs="Arial" w:eastAsia="Arial" w:hAnsi="Arial"/>
          <w:b/>
          <w:bCs/>
          <w:sz w:val="28"/>
          <w:szCs w:val="28"/>
        </w:rPr>
        <w:t xml:space="preserve">3.3 What v7 items map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v7 item</w:t>
            </w:r>
          </w:p>
        </w:tc>
        <w:tc>
          <w:tcPr>
            <w:tcW w:type="dxa" w:w="14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Disposition</w:t>
            </w:r>
          </w:p>
        </w:tc>
        <w:tc>
          <w:tcPr>
            <w:tcW w:type="dxa" w:w="55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v8 location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Overview</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Cut</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Activity is the new homepage</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Repos</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Skills → Repos tab</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Keep</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Skills (top-level)</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PR Inbox</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Activity → filter: action_type = pr_open</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Review</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Policy → Approvals</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Agent Scorecard</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Insights → Risky agents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AI Readiness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Cut</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Marketing fluff; remove entirely</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Connect Agent</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Move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Settings → Connectors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My Code Today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Cut</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Consumer-app DNA; remove</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Leaderboard</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Cut</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Hurts enterprise positioning; remove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Analytics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Insights → Fleet KPIs</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Agent Performance</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Insights → Risky agents (inverse view)</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Heatmap</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Activity → Heatmap tab</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Intelligence</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Cut</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Vague; overlaps Analytics; remove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SkillQL</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Skills → SkillQL tab (kept prominent — power-user surface)</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Skill Gaps</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Skills → Score (filter: coverage)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 Debt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Skills → Score (filter: structure + freshness)</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Knowledge Risk</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Insights → Risky repos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Red Flags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Policy → Violations</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A/B Tests</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Cut</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Premature; revisit at $5M ARR</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Registry</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Skills → Registry tab</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Sessions</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Activity → Sessions tab</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Digest</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Cut</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Becomes a notification setting</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Autopilot</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Policy → Rules (auto-approval rules)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Sources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Skills → Repos tab</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Coverage SLA</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Insights → Coverage SLA tab</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Half-life</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Skills → Drift tab</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Dependency Graph</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Skills → Provenance tab</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Teams</w:t>
            </w:r>
          </w:p>
        </w:tc>
        <w:tc>
          <w:tcPr>
            <w:tcW w:type="dxa" w:w="1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Merge</w:t>
            </w:r>
          </w:p>
        </w:tc>
        <w:tc>
          <w:tcPr>
            <w:tcW w:type="dxa" w:w="55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Settings → Teams</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Audit (v7)</w:t>
            </w:r>
          </w:p>
        </w:tc>
        <w:tc>
          <w:tcPr>
            <w:tcW w:type="dxa" w:w="1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Promote</w:t>
            </w:r>
          </w:p>
        </w:tc>
        <w:tc>
          <w:tcPr>
            <w:tcW w:type="dxa" w:w="55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Audit (top-level)</w:t>
            </w:r>
          </w:p>
        </w:tc>
      </w:tr>
    </w:tbl>
    <w:p>
      <w:pPr>
        <w:pStyle w:val="Heading1"/>
        <w:pageBreakBefore/>
        <w:spacing w:after="180" w:before="360"/>
      </w:pPr>
      <w:r>
        <w:rPr>
          <w:rFonts w:ascii="Arial" w:cs="Arial" w:eastAsia="Arial" w:hAnsi="Arial"/>
          <w:b/>
          <w:bCs/>
          <w:sz w:val="36"/>
          <w:szCs w:val="36"/>
        </w:rPr>
        <w:t xml:space="preserve">4. Surface specifications</w:t>
      </w:r>
    </w:p>
    <w:p>
      <w:pPr>
        <w:pStyle w:val="Heading2"/>
        <w:spacing w:after="140" w:before="280"/>
      </w:pPr>
      <w:r>
        <w:rPr>
          <w:rFonts w:ascii="Arial" w:cs="Arial" w:eastAsia="Arial" w:hAnsi="Arial"/>
          <w:b/>
          <w:bCs/>
          <w:sz w:val="28"/>
          <w:szCs w:val="28"/>
        </w:rPr>
        <w:t xml:space="preserve">4.1 Activity — the new homepage</w:t>
      </w:r>
    </w:p>
    <w:p>
      <w:pPr>
        <w:spacing w:after="80" w:before="80" w:line="320"/>
        <w:jc w:val="left"/>
      </w:pPr>
      <w:r>
        <w:rPr>
          <w:rFonts w:ascii="Arial" w:cs="Arial" w:eastAsia="Arial" w:hAnsi="Arial"/>
          <w:b w:val="false"/>
          <w:bCs w:val="false"/>
          <w:i w:val="false"/>
          <w:iCs w:val="false"/>
          <w:sz w:val="22"/>
          <w:szCs w:val="22"/>
        </w:rPr>
        <w:t xml:space="preserve">The first surface a user sees on login. Every other surface answers the questions this one raises.</w:t>
      </w:r>
    </w:p>
    <w:p>
      <w:pPr>
        <w:pStyle w:val="Heading3"/>
        <w:spacing w:after="100" w:before="220"/>
      </w:pPr>
      <w:r>
        <w:rPr>
          <w:rFonts w:ascii="Arial" w:cs="Arial" w:eastAsia="Arial" w:hAnsi="Arial"/>
          <w:b/>
          <w:bCs/>
          <w:sz w:val="24"/>
          <w:szCs w:val="24"/>
        </w:rPr>
        <w:t xml:space="preserve">4.1.1 Live feed (default tab)</w:t>
      </w:r>
    </w:p>
    <w:p>
      <w:pPr>
        <w:spacing w:after="80" w:before="80" w:line="320"/>
        <w:jc w:val="left"/>
      </w:pPr>
      <w:r>
        <w:rPr>
          <w:rFonts w:ascii="Arial" w:cs="Arial" w:eastAsia="Arial" w:hAnsi="Arial"/>
          <w:b w:val="false"/>
          <w:bCs w:val="false"/>
          <w:i w:val="false"/>
          <w:iCs w:val="false"/>
          <w:sz w:val="22"/>
          <w:szCs w:val="22"/>
        </w:rPr>
        <w:t xml:space="preserve">A streaming list of agent actions across the fleet. Each row is one event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Field</w:t>
            </w:r>
          </w:p>
        </w:tc>
        <w:tc>
          <w:tcPr>
            <w:tcW w:type="dxa" w:w="45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Example</w:t>
            </w:r>
          </w:p>
        </w:tc>
        <w:tc>
          <w:tcPr>
            <w:tcW w:type="dxa" w:w="29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Source</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Timestamp</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2026-05-01 14:23:11 UTC</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Event ingestion</w:t>
            </w:r>
          </w:p>
        </w:tc>
      </w:tr>
      <w:tr>
        <w:tc>
          <w:tcPr>
            <w:tcW w:type="dxa" w:w="1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Agent</w:t>
            </w:r>
          </w:p>
        </w:tc>
        <w:tc>
          <w:tcPr>
            <w:tcW w:type="dxa" w:w="45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Claude Code v1.4.2</w:t>
            </w:r>
          </w:p>
        </w:tc>
        <w:tc>
          <w:tcPr>
            <w:tcW w:type="dxa" w:w="29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User-agent header / hook</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User</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ravi@toyota.com</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OIDC / SSO claim</w:t>
            </w:r>
          </w:p>
        </w:tc>
      </w:tr>
      <w:tr>
        <w:tc>
          <w:tcPr>
            <w:tcW w:type="dxa" w:w="1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Repo</w:t>
            </w:r>
          </w:p>
        </w:tc>
        <w:tc>
          <w:tcPr>
            <w:tcW w:type="dxa" w:w="45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toyota/payments-svc</w:t>
            </w:r>
          </w:p>
        </w:tc>
        <w:tc>
          <w:tcPr>
            <w:tcW w:type="dxa" w:w="29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Git context</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deploy-staging@v3.1.0 (verified)</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Active skill ID + signature status</w:t>
            </w:r>
          </w:p>
        </w:tc>
      </w:tr>
      <w:tr>
        <w:tc>
          <w:tcPr>
            <w:tcW w:type="dxa" w:w="1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Action</w:t>
            </w:r>
          </w:p>
        </w:tc>
        <w:tc>
          <w:tcPr>
            <w:tcW w:type="dxa" w:w="45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ran shell: kubectl apply -f staging/</w:t>
            </w:r>
          </w:p>
        </w:tc>
        <w:tc>
          <w:tcPr>
            <w:tcW w:type="dxa" w:w="29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Tool-use event</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File scope</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k8s/staging/*.yaml (3 files)</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Diff or tool input</w:t>
            </w:r>
          </w:p>
        </w:tc>
      </w:tr>
      <w:tr>
        <w:tc>
          <w:tcPr>
            <w:tcW w:type="dxa" w:w="1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Outcome</w:t>
            </w:r>
          </w:p>
        </w:tc>
        <w:tc>
          <w:tcPr>
            <w:tcW w:type="dxa" w:w="45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allowed · 200 OK</w:t>
            </w:r>
          </w:p>
        </w:tc>
        <w:tc>
          <w:tcPr>
            <w:tcW w:type="dxa" w:w="29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Policy decision + tool result</w:t>
            </w:r>
          </w:p>
        </w:tc>
      </w:tr>
      <w:tr>
        <w:tc>
          <w:tcPr>
            <w:tcW w:type="dxa" w:w="1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Trigger</w:t>
            </w:r>
          </w:p>
        </w:tc>
        <w:tc>
          <w:tcPr>
            <w:tcW w:type="dxa" w:w="4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Jira: PAY-4421</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Linked external ticket</w:t>
            </w:r>
          </w:p>
        </w:tc>
      </w:tr>
      <w:tr>
        <w:tc>
          <w:tcPr>
            <w:tcW w:type="dxa" w:w="1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Risk score</w:t>
            </w:r>
          </w:p>
        </w:tc>
        <w:tc>
          <w:tcPr>
            <w:tcW w:type="dxa" w:w="45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Low (12/100)</w:t>
            </w:r>
          </w:p>
        </w:tc>
        <w:tc>
          <w:tcPr>
            <w:tcW w:type="dxa" w:w="29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Computed from action class + scope</w:t>
            </w:r>
          </w:p>
        </w:tc>
      </w:tr>
    </w:tbl>
    <w:p>
      <w:pPr>
        <w:spacing w:after="80" w:before="80" w:line="320"/>
        <w:jc w:val="left"/>
      </w:pPr>
      <w:r>
        <w:rPr>
          <w:rFonts w:ascii="Arial" w:cs="Arial" w:eastAsia="Arial" w:hAnsi="Arial"/>
          <w:b w:val="false"/>
          <w:bCs w:val="false"/>
          <w:i w:val="false"/>
          <w:iCs w:val="false"/>
          <w:sz w:val="22"/>
          <w:szCs w:val="22"/>
        </w:rPr>
        <w:t xml:space="preserve">Filters: time window, agent provider, user, repo, skill, action class (read/write/exec/network), outcome, risk band, repo sensitivity tier. All filter combinations are URL-shareable so investigations can be linked into incident tickets.</w:t>
      </w:r>
    </w:p>
    <w:p>
      <w:pPr>
        <w:pStyle w:val="Heading3"/>
        <w:spacing w:after="100" w:before="220"/>
      </w:pPr>
      <w:r>
        <w:rPr>
          <w:rFonts w:ascii="Arial" w:cs="Arial" w:eastAsia="Arial" w:hAnsi="Arial"/>
          <w:b/>
          <w:bCs/>
          <w:sz w:val="24"/>
          <w:szCs w:val="24"/>
        </w:rPr>
        <w:t xml:space="preserve">4.1.2 Sessions tab</w:t>
      </w:r>
    </w:p>
    <w:p>
      <w:pPr>
        <w:spacing w:after="80" w:before="80" w:line="320"/>
        <w:jc w:val="left"/>
      </w:pPr>
      <w:r>
        <w:rPr>
          <w:rFonts w:ascii="Arial" w:cs="Arial" w:eastAsia="Arial" w:hAnsi="Arial"/>
          <w:b w:val="false"/>
          <w:bCs w:val="false"/>
          <w:i w:val="false"/>
          <w:iCs w:val="false"/>
          <w:sz w:val="22"/>
          <w:szCs w:val="22"/>
        </w:rPr>
        <w:t xml:space="preserve">Activity rolled up by session. A session is one continuous agent run from invocation to termination. Click into a session to see the full prompt, tool-call trace, files read, files written, commands executed, MCP calls, and final disposition. This is our LangSmith-equivalent — but cross-provider and grounded in policy/skill context, not just LLM I/O.</w:t>
      </w:r>
    </w:p>
    <w:p>
      <w:pPr>
        <w:pStyle w:val="Heading3"/>
        <w:spacing w:after="100" w:before="220"/>
      </w:pPr>
      <w:r>
        <w:rPr>
          <w:rFonts w:ascii="Arial" w:cs="Arial" w:eastAsia="Arial" w:hAnsi="Arial"/>
          <w:b/>
          <w:bCs/>
          <w:sz w:val="24"/>
          <w:szCs w:val="24"/>
        </w:rPr>
        <w:t xml:space="preserve">4.1.3 Replay tab</w:t>
      </w:r>
    </w:p>
    <w:p>
      <w:pPr>
        <w:spacing w:after="80" w:before="80" w:line="320"/>
        <w:jc w:val="left"/>
      </w:pPr>
      <w:r>
        <w:rPr>
          <w:rFonts w:ascii="Arial" w:cs="Arial" w:eastAsia="Arial" w:hAnsi="Arial"/>
          <w:b w:val="false"/>
          <w:bCs w:val="false"/>
          <w:i w:val="false"/>
          <w:iCs w:val="false"/>
          <w:sz w:val="22"/>
          <w:szCs w:val="22"/>
        </w:rPr>
        <w:t xml:space="preserve">Pick any session and walk through it action-by-action with a scrubber. Each step shows the model's reasoning (when surfaced by the agent), the tool call, the result, the policy decision, and the file diff. This is the surface we expect incident responders to live in. Export as standalone HTML for sharing with auditors or postmortems.</w:t>
      </w:r>
    </w:p>
    <w:p>
      <w:pPr>
        <w:pStyle w:val="Heading3"/>
        <w:spacing w:after="100" w:before="220"/>
      </w:pPr>
      <w:r>
        <w:rPr>
          <w:rFonts w:ascii="Arial" w:cs="Arial" w:eastAsia="Arial" w:hAnsi="Arial"/>
          <w:b/>
          <w:bCs/>
          <w:sz w:val="24"/>
          <w:szCs w:val="24"/>
        </w:rPr>
        <w:t xml:space="preserve">4.1.4 Heatmap tab</w:t>
      </w:r>
    </w:p>
    <w:p>
      <w:pPr>
        <w:spacing w:after="80" w:before="80" w:line="320"/>
        <w:jc w:val="left"/>
      </w:pPr>
      <w:r>
        <w:rPr>
          <w:rFonts w:ascii="Arial" w:cs="Arial" w:eastAsia="Arial" w:hAnsi="Arial"/>
          <w:b w:val="false"/>
          <w:bCs w:val="false"/>
          <w:i w:val="false"/>
          <w:iCs w:val="false"/>
          <w:sz w:val="22"/>
          <w:szCs w:val="22"/>
        </w:rPr>
        <w:t xml:space="preserve">Two-dimensional heatmap: repo (rows) × hour-of-day (columns), cell value is action volume. Optional overlay: deny rate. Used for spotting anomalies ("why did the payments repo see 400 agent actions at 3am Saturday?").</w:t>
      </w:r>
    </w:p>
    <w:p>
      <w:pPr>
        <w:spacing w:after="80" w:before="80"/>
      </w:pPr>
      <w:r>
        <w:t xml:space="preserve"> </w:t>
      </w:r>
    </w:p>
    <w:p>
      <w:pPr>
        <w:pStyle w:val="Heading2"/>
        <w:spacing w:after="140" w:before="280"/>
      </w:pPr>
      <w:r>
        <w:rPr>
          <w:rFonts w:ascii="Arial" w:cs="Arial" w:eastAsia="Arial" w:hAnsi="Arial"/>
          <w:b/>
          <w:bCs/>
          <w:sz w:val="28"/>
          <w:szCs w:val="28"/>
        </w:rPr>
        <w:t xml:space="preserve">4.2 Policy — the control surface</w:t>
      </w:r>
    </w:p>
    <w:p>
      <w:pPr>
        <w:spacing w:after="80" w:before="80" w:line="320"/>
        <w:jc w:val="left"/>
      </w:pPr>
      <w:r>
        <w:rPr>
          <w:rFonts w:ascii="Arial" w:cs="Arial" w:eastAsia="Arial" w:hAnsi="Arial"/>
          <w:b w:val="false"/>
          <w:bCs w:val="false"/>
          <w:i w:val="false"/>
          <w:iCs w:val="false"/>
          <w:sz w:val="22"/>
          <w:szCs w:val="22"/>
        </w:rPr>
        <w:t xml:space="preserve">Where the product stops being observability and starts being control. Policies are version-controlled, code-reviewed, and applied at runtime.</w:t>
      </w:r>
    </w:p>
    <w:p>
      <w:pPr>
        <w:pStyle w:val="Heading3"/>
        <w:spacing w:after="100" w:before="220"/>
      </w:pPr>
      <w:r>
        <w:rPr>
          <w:rFonts w:ascii="Arial" w:cs="Arial" w:eastAsia="Arial" w:hAnsi="Arial"/>
          <w:b/>
          <w:bCs/>
          <w:sz w:val="24"/>
          <w:szCs w:val="24"/>
        </w:rPr>
        <w:t xml:space="preserve">4.2.1 Rules tab</w:t>
      </w:r>
    </w:p>
    <w:p>
      <w:pPr>
        <w:spacing w:after="80" w:before="80" w:line="320"/>
        <w:jc w:val="left"/>
      </w:pPr>
      <w:r>
        <w:rPr>
          <w:rFonts w:ascii="Arial" w:cs="Arial" w:eastAsia="Arial" w:hAnsi="Arial"/>
          <w:b w:val="false"/>
          <w:bCs w:val="false"/>
          <w:i w:val="false"/>
          <w:iCs w:val="false"/>
          <w:sz w:val="22"/>
          <w:szCs w:val="22"/>
        </w:rPr>
        <w:t xml:space="preserve">Policies are written in a constrained YAML DSL (with a Rego escape hatch for power users). Every rule has the following structure.</w:t>
      </w:r>
    </w:p>
    <w:p>
      <w:pPr>
        <w:spacing w:after="80" w:before="80" w:line="320"/>
        <w:jc w:val="left"/>
      </w:pPr>
      <w:r>
        <w:rPr>
          <w:rFonts w:ascii="Arial" w:cs="Arial" w:eastAsia="Arial" w:hAnsi="Arial"/>
          <w:b w:val="false"/>
          <w:bCs w:val="false"/>
          <w:i/>
          <w:iCs/>
          <w:sz w:val="22"/>
          <w:szCs w:val="22"/>
        </w:rPr>
        <w:t xml:space="preserve">Example policy:</w:t>
      </w:r>
    </w:p>
    <w:p>
      <w:pPr>
        <w:shd w:fill="F3F4F6" w:color="auto" w:val="clear"/>
        <w:spacing w:after="0" w:before="0" w:line="280"/>
      </w:pPr>
      <w:r>
        <w:rPr>
          <w:rFonts w:ascii="Consolas" w:cs="Consolas" w:eastAsia="Consolas" w:hAnsi="Consolas"/>
          <w:color w:val="1F2937"/>
          <w:sz w:val="20"/>
          <w:szCs w:val="20"/>
        </w:rPr>
        <w:t xml:space="preserve">id: payments-no-rm</w:t>
      </w:r>
    </w:p>
    <w:p>
      <w:pPr>
        <w:shd w:fill="F3F4F6" w:color="auto" w:val="clear"/>
        <w:spacing w:after="0" w:before="0" w:line="280"/>
      </w:pPr>
      <w:r>
        <w:rPr>
          <w:rFonts w:ascii="Consolas" w:cs="Consolas" w:eastAsia="Consolas" w:hAnsi="Consolas"/>
          <w:color w:val="1F2937"/>
          <w:sz w:val="20"/>
          <w:szCs w:val="20"/>
        </w:rPr>
        <w:t xml:space="preserve">title: "Coding agents cannot run rm in payments-svc"</w:t>
      </w:r>
    </w:p>
    <w:p>
      <w:pPr>
        <w:shd w:fill="F3F4F6" w:color="auto" w:val="clear"/>
        <w:spacing w:after="0" w:before="0" w:line="280"/>
      </w:pPr>
      <w:r>
        <w:rPr>
          <w:rFonts w:ascii="Consolas" w:cs="Consolas" w:eastAsia="Consolas" w:hAnsi="Consolas"/>
          <w:color w:val="1F2937"/>
          <w:sz w:val="20"/>
          <w:szCs w:val="20"/>
        </w:rPr>
        <w:t xml:space="preserve">scope:</w:t>
      </w:r>
    </w:p>
    <w:p>
      <w:pPr>
        <w:shd w:fill="F3F4F6" w:color="auto" w:val="clear"/>
        <w:spacing w:after="0" w:before="0" w:line="280"/>
      </w:pPr>
      <w:r>
        <w:rPr>
          <w:rFonts w:ascii="Consolas" w:cs="Consolas" w:eastAsia="Consolas" w:hAnsi="Consolas"/>
          <w:color w:val="1F2937"/>
          <w:sz w:val="20"/>
          <w:szCs w:val="20"/>
        </w:rPr>
        <w:t xml:space="preserve">  repo: "toyota/payments-svc"</w:t>
      </w:r>
    </w:p>
    <w:p>
      <w:pPr>
        <w:shd w:fill="F3F4F6" w:color="auto" w:val="clear"/>
        <w:spacing w:after="0" w:before="0" w:line="280"/>
      </w:pPr>
      <w:r>
        <w:rPr>
          <w:rFonts w:ascii="Consolas" w:cs="Consolas" w:eastAsia="Consolas" w:hAnsi="Consolas"/>
          <w:color w:val="1F2937"/>
          <w:sz w:val="20"/>
          <w:szCs w:val="20"/>
        </w:rPr>
        <w:t xml:space="preserve">  agent: ["claude-code", "codex", "cursor"]</w:t>
      </w:r>
    </w:p>
    <w:p>
      <w:pPr>
        <w:shd w:fill="F3F4F6" w:color="auto" w:val="clear"/>
        <w:spacing w:after="0" w:before="0" w:line="280"/>
      </w:pPr>
      <w:r>
        <w:rPr>
          <w:rFonts w:ascii="Consolas" w:cs="Consolas" w:eastAsia="Consolas" w:hAnsi="Consolas"/>
          <w:color w:val="1F2937"/>
          <w:sz w:val="20"/>
          <w:szCs w:val="20"/>
        </w:rPr>
        <w:t xml:space="preserve">  action_class: shell_exec</w:t>
      </w:r>
    </w:p>
    <w:p>
      <w:pPr>
        <w:shd w:fill="F3F4F6" w:color="auto" w:val="clear"/>
        <w:spacing w:after="0" w:before="0" w:line="280"/>
      </w:pPr>
      <w:r>
        <w:rPr>
          <w:rFonts w:ascii="Consolas" w:cs="Consolas" w:eastAsia="Consolas" w:hAnsi="Consolas"/>
          <w:color w:val="1F2937"/>
          <w:sz w:val="20"/>
          <w:szCs w:val="20"/>
        </w:rPr>
        <w:t xml:space="preserve">match:</w:t>
      </w:r>
    </w:p>
    <w:p>
      <w:pPr>
        <w:shd w:fill="F3F4F6" w:color="auto" w:val="clear"/>
        <w:spacing w:after="0" w:before="0" w:line="280"/>
      </w:pPr>
      <w:r>
        <w:rPr>
          <w:rFonts w:ascii="Consolas" w:cs="Consolas" w:eastAsia="Consolas" w:hAnsi="Consolas"/>
          <w:color w:val="1F2937"/>
          <w:sz w:val="20"/>
          <w:szCs w:val="20"/>
        </w:rPr>
        <w:t xml:space="preserve">  command_regex: "^\\s*rm\\b"</w:t>
      </w:r>
    </w:p>
    <w:p>
      <w:pPr>
        <w:shd w:fill="F3F4F6" w:color="auto" w:val="clear"/>
        <w:spacing w:after="0" w:before="0" w:line="280"/>
      </w:pPr>
      <w:r>
        <w:rPr>
          <w:rFonts w:ascii="Consolas" w:cs="Consolas" w:eastAsia="Consolas" w:hAnsi="Consolas"/>
          <w:color w:val="1F2937"/>
          <w:sz w:val="20"/>
          <w:szCs w:val="20"/>
        </w:rPr>
        <w:t xml:space="preserve">decision: deny</w:t>
      </w:r>
    </w:p>
    <w:p>
      <w:pPr>
        <w:shd w:fill="F3F4F6" w:color="auto" w:val="clear"/>
        <w:spacing w:after="0" w:before="0" w:line="280"/>
      </w:pPr>
      <w:r>
        <w:rPr>
          <w:rFonts w:ascii="Consolas" w:cs="Consolas" w:eastAsia="Consolas" w:hAnsi="Consolas"/>
          <w:color w:val="1F2937"/>
          <w:sz w:val="20"/>
          <w:szCs w:val="20"/>
        </w:rPr>
        <w:t xml:space="preserve">notify: ["#sec-aiops", "ravi@toyota.com"]</w:t>
      </w:r>
    </w:p>
    <w:p>
      <w:pPr>
        <w:shd w:fill="F3F4F6" w:color="auto" w:val="clear"/>
        <w:spacing w:after="0" w:before="0" w:line="280"/>
      </w:pPr>
      <w:r>
        <w:rPr>
          <w:rFonts w:ascii="Consolas" w:cs="Consolas" w:eastAsia="Consolas" w:hAnsi="Consolas"/>
          <w:color w:val="1F2937"/>
          <w:sz w:val="20"/>
          <w:szCs w:val="20"/>
        </w:rPr>
        <w:t xml:space="preserve">compliance_tags: ["SOC2:CC8.1", "internal:AI-policy-v3"]</w:t>
      </w:r>
    </w:p>
    <w:p>
      <w:pPr>
        <w:spacing w:after="80" w:before="80"/>
      </w:pPr>
      <w:r>
        <w:t xml:space="preserve"> </w:t>
      </w:r>
    </w:p>
    <w:p>
      <w:pPr>
        <w:spacing w:after="80" w:before="80" w:line="320"/>
        <w:jc w:val="left"/>
      </w:pPr>
      <w:r>
        <w:rPr>
          <w:rFonts w:ascii="Arial" w:cs="Arial" w:eastAsia="Arial" w:hAnsi="Arial"/>
          <w:b w:val="false"/>
          <w:bCs w:val="false"/>
          <w:i w:val="false"/>
          <w:iCs w:val="false"/>
          <w:sz w:val="22"/>
          <w:szCs w:val="22"/>
        </w:rPr>
        <w:t xml:space="preserve">Decision verbs:</w:t>
      </w:r>
    </w:p>
    <w:p>
      <w:pPr>
        <w:pStyle w:val="ListParagraph"/>
        <w:numPr>
          <w:ilvl w:val="0"/>
          <w:numId w:val="2"/>
        </w:numPr>
        <w:spacing w:after="40" w:before="40" w:line="300"/>
      </w:pPr>
      <w:r>
        <w:rPr>
          <w:rFonts w:ascii="Arial" w:cs="Arial" w:eastAsia="Arial" w:hAnsi="Arial"/>
          <w:b/>
          <w:bCs/>
          <w:sz w:val="22"/>
          <w:szCs w:val="22"/>
        </w:rPr>
        <w:t xml:space="preserve">allow </w:t>
      </w:r>
      <w:r>
        <w:rPr>
          <w:rFonts w:ascii="Arial" w:cs="Arial" w:eastAsia="Arial" w:hAnsi="Arial"/>
          <w:sz w:val="22"/>
          <w:szCs w:val="22"/>
        </w:rPr>
        <w:t xml:space="preserve">— action proceeds, logged at standard verbosity.</w:t>
      </w:r>
    </w:p>
    <w:p>
      <w:pPr>
        <w:pStyle w:val="ListParagraph"/>
        <w:numPr>
          <w:ilvl w:val="0"/>
          <w:numId w:val="2"/>
        </w:numPr>
        <w:spacing w:after="40" w:before="40" w:line="300"/>
      </w:pPr>
      <w:r>
        <w:rPr>
          <w:rFonts w:ascii="Arial" w:cs="Arial" w:eastAsia="Arial" w:hAnsi="Arial"/>
          <w:b/>
          <w:bCs/>
          <w:sz w:val="22"/>
          <w:szCs w:val="22"/>
        </w:rPr>
        <w:t xml:space="preserve">deny </w:t>
      </w:r>
      <w:r>
        <w:rPr>
          <w:rFonts w:ascii="Arial" w:cs="Arial" w:eastAsia="Arial" w:hAnsi="Arial"/>
          <w:sz w:val="22"/>
          <w:szCs w:val="22"/>
        </w:rPr>
        <w:t xml:space="preserve">— action blocked at the enforcement point, logged with policy ID, alert sent.</w:t>
      </w:r>
    </w:p>
    <w:p>
      <w:pPr>
        <w:pStyle w:val="ListParagraph"/>
        <w:numPr>
          <w:ilvl w:val="0"/>
          <w:numId w:val="2"/>
        </w:numPr>
        <w:spacing w:after="40" w:before="40" w:line="300"/>
      </w:pPr>
      <w:r>
        <w:rPr>
          <w:rFonts w:ascii="Arial" w:cs="Arial" w:eastAsia="Arial" w:hAnsi="Arial"/>
          <w:b/>
          <w:bCs/>
          <w:sz w:val="22"/>
          <w:szCs w:val="22"/>
        </w:rPr>
        <w:t xml:space="preserve">require_approval </w:t>
      </w:r>
      <w:r>
        <w:rPr>
          <w:rFonts w:ascii="Arial" w:cs="Arial" w:eastAsia="Arial" w:hAnsi="Arial"/>
          <w:sz w:val="22"/>
          <w:szCs w:val="22"/>
        </w:rPr>
        <w:t xml:space="preserve">— action queued in the Approvals tab; agent receives a hold response.</w:t>
      </w:r>
    </w:p>
    <w:p>
      <w:pPr>
        <w:pStyle w:val="ListParagraph"/>
        <w:numPr>
          <w:ilvl w:val="0"/>
          <w:numId w:val="2"/>
        </w:numPr>
        <w:spacing w:after="40" w:before="40" w:line="300"/>
      </w:pPr>
      <w:r>
        <w:rPr>
          <w:rFonts w:ascii="Arial" w:cs="Arial" w:eastAsia="Arial" w:hAnsi="Arial"/>
          <w:b/>
          <w:bCs/>
          <w:sz w:val="22"/>
          <w:szCs w:val="22"/>
        </w:rPr>
        <w:t xml:space="preserve">log_only </w:t>
      </w:r>
      <w:r>
        <w:rPr>
          <w:rFonts w:ascii="Arial" w:cs="Arial" w:eastAsia="Arial" w:hAnsi="Arial"/>
          <w:sz w:val="22"/>
          <w:szCs w:val="22"/>
        </w:rPr>
        <w:t xml:space="preserve">— action proceeds but is flagged for audit review (used for new policies in shadow mode).</w:t>
      </w:r>
    </w:p>
    <w:p>
      <w:pPr>
        <w:pStyle w:val="ListParagraph"/>
        <w:numPr>
          <w:ilvl w:val="0"/>
          <w:numId w:val="2"/>
        </w:numPr>
        <w:spacing w:after="40" w:before="40" w:line="300"/>
      </w:pPr>
      <w:r>
        <w:rPr>
          <w:rFonts w:ascii="Arial" w:cs="Arial" w:eastAsia="Arial" w:hAnsi="Arial"/>
          <w:b/>
          <w:bCs/>
          <w:sz w:val="22"/>
          <w:szCs w:val="22"/>
        </w:rPr>
        <w:t xml:space="preserve">redact </w:t>
      </w:r>
      <w:r>
        <w:rPr>
          <w:rFonts w:ascii="Arial" w:cs="Arial" w:eastAsia="Arial" w:hAnsi="Arial"/>
          <w:sz w:val="22"/>
          <w:szCs w:val="22"/>
        </w:rPr>
        <w:t xml:space="preserve">— inputs/outputs scrubbed before reaching the model (PII, secrets, regulated data).</w:t>
      </w:r>
    </w:p>
    <w:p>
      <w:pPr>
        <w:pStyle w:val="ListParagraph"/>
        <w:numPr>
          <w:ilvl w:val="0"/>
          <w:numId w:val="2"/>
        </w:numPr>
        <w:spacing w:after="40" w:before="40" w:line="300"/>
      </w:pPr>
      <w:r>
        <w:rPr>
          <w:rFonts w:ascii="Arial" w:cs="Arial" w:eastAsia="Arial" w:hAnsi="Arial"/>
          <w:b/>
          <w:bCs/>
          <w:sz w:val="22"/>
          <w:szCs w:val="22"/>
        </w:rPr>
        <w:t xml:space="preserve">route_to_dlp </w:t>
      </w:r>
      <w:r>
        <w:rPr>
          <w:rFonts w:ascii="Arial" w:cs="Arial" w:eastAsia="Arial" w:hAnsi="Arial"/>
          <w:sz w:val="22"/>
          <w:szCs w:val="22"/>
        </w:rPr>
        <w:t xml:space="preserve">— action handed off to a DLP service (Nightfall, Cyberhaven, internal) for inspection before proceeding.</w:t>
      </w:r>
    </w:p>
    <w:p>
      <w:pPr>
        <w:pStyle w:val="Heading3"/>
        <w:spacing w:after="100" w:before="220"/>
      </w:pPr>
      <w:r>
        <w:rPr>
          <w:rFonts w:ascii="Arial" w:cs="Arial" w:eastAsia="Arial" w:hAnsi="Arial"/>
          <w:b/>
          <w:bCs/>
          <w:sz w:val="24"/>
          <w:szCs w:val="24"/>
        </w:rPr>
        <w:t xml:space="preserve">4.2.2 Violations tab</w:t>
      </w:r>
    </w:p>
    <w:p>
      <w:pPr>
        <w:spacing w:after="80" w:before="80" w:line="320"/>
        <w:jc w:val="left"/>
      </w:pPr>
      <w:r>
        <w:rPr>
          <w:rFonts w:ascii="Arial" w:cs="Arial" w:eastAsia="Arial" w:hAnsi="Arial"/>
          <w:b w:val="false"/>
          <w:bCs w:val="false"/>
          <w:i w:val="false"/>
          <w:iCs w:val="false"/>
          <w:sz w:val="22"/>
          <w:szCs w:val="22"/>
        </w:rPr>
        <w:t xml:space="preserve">Every event where decision was deny, require_approval, or log_only with a flag set. Investigators triage from here. Each violation links back to the originating session in Activity. SLA timer starts when a violation is created and stops when it is resolved (acknowledged, exempted, or escalated).</w:t>
      </w:r>
    </w:p>
    <w:p>
      <w:pPr>
        <w:pStyle w:val="Heading3"/>
        <w:spacing w:after="100" w:before="220"/>
      </w:pPr>
      <w:r>
        <w:rPr>
          <w:rFonts w:ascii="Arial" w:cs="Arial" w:eastAsia="Arial" w:hAnsi="Arial"/>
          <w:b/>
          <w:bCs/>
          <w:sz w:val="24"/>
          <w:szCs w:val="24"/>
        </w:rPr>
        <w:t xml:space="preserve">4.2.3 Approvals tab</w:t>
      </w:r>
    </w:p>
    <w:p>
      <w:pPr>
        <w:spacing w:after="80" w:before="80" w:line="320"/>
        <w:jc w:val="left"/>
      </w:pPr>
      <w:r>
        <w:rPr>
          <w:rFonts w:ascii="Arial" w:cs="Arial" w:eastAsia="Arial" w:hAnsi="Arial"/>
          <w:b w:val="false"/>
          <w:bCs w:val="false"/>
          <w:i w:val="false"/>
          <w:iCs w:val="false"/>
          <w:sz w:val="22"/>
          <w:szCs w:val="22"/>
        </w:rPr>
        <w:t xml:space="preserve">The human-in-the-loop queue. When a policy returns require_approval, the request lands here with full context: who, what, why, blast radius, the prompting human's prior approval rate. A reviewer with the right RBAC scope can approve, deny, or request more info. SLA timer is visible — agents get a configurable timeout before auto-deny.</w:t>
      </w:r>
    </w:p>
    <w:p>
      <w:pPr>
        <w:pStyle w:val="Heading3"/>
        <w:spacing w:after="100" w:before="220"/>
      </w:pPr>
      <w:r>
        <w:rPr>
          <w:rFonts w:ascii="Arial" w:cs="Arial" w:eastAsia="Arial" w:hAnsi="Arial"/>
          <w:b/>
          <w:bCs/>
          <w:sz w:val="24"/>
          <w:szCs w:val="24"/>
        </w:rPr>
        <w:t xml:space="preserve">4.2.4 Quarantine tab</w:t>
      </w:r>
    </w:p>
    <w:p>
      <w:pPr>
        <w:spacing w:after="80" w:before="80" w:line="320"/>
        <w:jc w:val="left"/>
      </w:pPr>
      <w:r>
        <w:rPr>
          <w:rFonts w:ascii="Arial" w:cs="Arial" w:eastAsia="Arial" w:hAnsi="Arial"/>
          <w:b w:val="false"/>
          <w:bCs w:val="false"/>
          <w:i w:val="false"/>
          <w:iCs w:val="false"/>
          <w:sz w:val="22"/>
          <w:szCs w:val="22"/>
        </w:rPr>
        <w:t xml:space="preserve">Skills that have been flagged (drift detected, signature mismatch, low Skilgen Score on a critical scope, manual report) but not yet hard-banned. While quarantined, agents can read but cannot execute scripts or commands referenced by the skill. Reviewers approve back into general use or promote to denylist.</w:t>
      </w:r>
    </w:p>
    <w:p>
      <w:pPr>
        <w:pStyle w:val="Heading3"/>
        <w:spacing w:after="100" w:before="220"/>
      </w:pPr>
      <w:r>
        <w:rPr>
          <w:rFonts w:ascii="Arial" w:cs="Arial" w:eastAsia="Arial" w:hAnsi="Arial"/>
          <w:b/>
          <w:bCs/>
          <w:sz w:val="24"/>
          <w:szCs w:val="24"/>
        </w:rPr>
        <w:t xml:space="preserve">4.2.5 Starter policy library</w:t>
      </w:r>
    </w:p>
    <w:p>
      <w:pPr>
        <w:spacing w:after="80" w:before="80" w:line="320"/>
        <w:jc w:val="left"/>
      </w:pPr>
      <w:r>
        <w:rPr>
          <w:rFonts w:ascii="Arial" w:cs="Arial" w:eastAsia="Arial" w:hAnsi="Arial"/>
          <w:b w:val="false"/>
          <w:bCs w:val="false"/>
          <w:i w:val="false"/>
          <w:iCs w:val="false"/>
          <w:sz w:val="22"/>
          <w:szCs w:val="22"/>
        </w:rPr>
        <w:t xml:space="preserve">Out-of-the-box policy packs that customers can adopt and tune:</w:t>
      </w:r>
    </w:p>
    <w:p>
      <w:pPr>
        <w:pStyle w:val="ListParagraph"/>
        <w:numPr>
          <w:ilvl w:val="0"/>
          <w:numId w:val="2"/>
        </w:numPr>
        <w:spacing w:after="40" w:before="40" w:line="300"/>
      </w:pPr>
      <w:r>
        <w:rPr>
          <w:rFonts w:ascii="Arial" w:cs="Arial" w:eastAsia="Arial" w:hAnsi="Arial"/>
          <w:sz w:val="22"/>
          <w:szCs w:val="22"/>
        </w:rPr>
        <w:t xml:space="preserve">SOC2 baseline: change management (CC8.1), logging (CC7.2), access control (CC6.1).</w:t>
      </w:r>
    </w:p>
    <w:p>
      <w:pPr>
        <w:pStyle w:val="ListParagraph"/>
        <w:numPr>
          <w:ilvl w:val="0"/>
          <w:numId w:val="2"/>
        </w:numPr>
        <w:spacing w:after="40" w:before="40" w:line="300"/>
      </w:pPr>
      <w:r>
        <w:rPr>
          <w:rFonts w:ascii="Arial" w:cs="Arial" w:eastAsia="Arial" w:hAnsi="Arial"/>
          <w:sz w:val="22"/>
          <w:szCs w:val="22"/>
        </w:rPr>
        <w:t xml:space="preserve">HIPAA baseline: PHI redaction, minimum-necessary scoping for agents touching § 164.312 systems.</w:t>
      </w:r>
    </w:p>
    <w:p>
      <w:pPr>
        <w:pStyle w:val="ListParagraph"/>
        <w:numPr>
          <w:ilvl w:val="0"/>
          <w:numId w:val="2"/>
        </w:numPr>
        <w:spacing w:after="40" w:before="40" w:line="300"/>
      </w:pPr>
      <w:r>
        <w:rPr>
          <w:rFonts w:ascii="Arial" w:cs="Arial" w:eastAsia="Arial" w:hAnsi="Arial"/>
          <w:sz w:val="22"/>
          <w:szCs w:val="22"/>
        </w:rPr>
        <w:t xml:space="preserve">FedRAMP Moderate baseline: AC-2, AC-3, AU-2, CM-3 enforced via agent action policies.</w:t>
      </w:r>
    </w:p>
    <w:p>
      <w:pPr>
        <w:pStyle w:val="ListParagraph"/>
        <w:numPr>
          <w:ilvl w:val="0"/>
          <w:numId w:val="2"/>
        </w:numPr>
        <w:spacing w:after="40" w:before="40" w:line="300"/>
      </w:pPr>
      <w:r>
        <w:rPr>
          <w:rFonts w:ascii="Arial" w:cs="Arial" w:eastAsia="Arial" w:hAnsi="Arial"/>
          <w:sz w:val="22"/>
          <w:szCs w:val="22"/>
        </w:rPr>
        <w:t xml:space="preserve">Internal IP protection: deny agent reads of files matching company-IP globs, deny network calls to non-allowlisted endpoints.</w:t>
      </w:r>
    </w:p>
    <w:p>
      <w:pPr>
        <w:pStyle w:val="ListParagraph"/>
        <w:numPr>
          <w:ilvl w:val="0"/>
          <w:numId w:val="2"/>
        </w:numPr>
        <w:spacing w:after="40" w:before="40" w:line="300"/>
      </w:pPr>
      <w:r>
        <w:rPr>
          <w:rFonts w:ascii="Arial" w:cs="Arial" w:eastAsia="Arial" w:hAnsi="Arial"/>
          <w:sz w:val="22"/>
          <w:szCs w:val="22"/>
        </w:rPr>
        <w:t xml:space="preserve">License hygiene: deny commits introducing GPL/AGPL dependencies into proprietary repos.</w:t>
      </w:r>
    </w:p>
    <w:p>
      <w:pPr>
        <w:pStyle w:val="ListParagraph"/>
        <w:numPr>
          <w:ilvl w:val="0"/>
          <w:numId w:val="2"/>
        </w:numPr>
        <w:spacing w:after="40" w:before="40" w:line="300"/>
      </w:pPr>
      <w:r>
        <w:rPr>
          <w:rFonts w:ascii="Arial" w:cs="Arial" w:eastAsia="Arial" w:hAnsi="Arial"/>
          <w:sz w:val="22"/>
          <w:szCs w:val="22"/>
        </w:rPr>
        <w:t xml:space="preserve">Production safety: require_approval for any agent action touching prod-tagged infrastructure manifests.</w:t>
      </w:r>
    </w:p>
    <w:p>
      <w:pPr>
        <w:spacing w:after="80" w:before="80"/>
      </w:pPr>
      <w:r>
        <w:t xml:space="preserve"> </w:t>
      </w:r>
    </w:p>
    <w:p>
      <w:pPr>
        <w:pStyle w:val="Heading2"/>
        <w:spacing w:after="140" w:before="280"/>
      </w:pPr>
      <w:r>
        <w:rPr>
          <w:rFonts w:ascii="Arial" w:cs="Arial" w:eastAsia="Arial" w:hAnsi="Arial"/>
          <w:b/>
          <w:bCs/>
          <w:sz w:val="28"/>
          <w:szCs w:val="28"/>
        </w:rPr>
        <w:t xml:space="preserve">4.3 Audit — the compliance surface</w:t>
      </w:r>
    </w:p>
    <w:p>
      <w:pPr>
        <w:spacing w:after="80" w:before="80" w:line="320"/>
        <w:jc w:val="left"/>
      </w:pPr>
      <w:r>
        <w:rPr>
          <w:rFonts w:ascii="Arial" w:cs="Arial" w:eastAsia="Arial" w:hAnsi="Arial"/>
          <w:b w:val="false"/>
          <w:bCs w:val="false"/>
          <w:i w:val="false"/>
          <w:iCs w:val="false"/>
          <w:sz w:val="22"/>
          <w:szCs w:val="22"/>
        </w:rPr>
        <w:t xml:space="preserve">Audit is the surface that justifies enterprise pricing. Every other product can be replaced with engineering effort. SOC2-attested, immutable, exportable audit cannot.</w:t>
      </w:r>
    </w:p>
    <w:p>
      <w:pPr>
        <w:pStyle w:val="Heading3"/>
        <w:spacing w:after="100" w:before="220"/>
      </w:pPr>
      <w:r>
        <w:rPr>
          <w:rFonts w:ascii="Arial" w:cs="Arial" w:eastAsia="Arial" w:hAnsi="Arial"/>
          <w:b/>
          <w:bCs/>
          <w:sz w:val="24"/>
          <w:szCs w:val="24"/>
        </w:rPr>
        <w:t xml:space="preserve">4.3.1 Event log tab</w:t>
      </w:r>
    </w:p>
    <w:p>
      <w:pPr>
        <w:spacing w:after="80" w:before="80" w:line="320"/>
        <w:jc w:val="left"/>
      </w:pPr>
      <w:r>
        <w:rPr>
          <w:rFonts w:ascii="Arial" w:cs="Arial" w:eastAsia="Arial" w:hAnsi="Arial"/>
          <w:b w:val="false"/>
          <w:bCs w:val="false"/>
          <w:i w:val="false"/>
          <w:iCs w:val="false"/>
          <w:sz w:val="22"/>
          <w:szCs w:val="22"/>
        </w:rPr>
        <w:t xml:space="preserve">Append-only, content-addressed event log. Every event is hashed (SHA-256) and the hash is chained into the previous event, producing a tamper-evident sequence. The chain root is published to a customer-controlled WORM store (S3 Object Lock, GCS Bucket Lock, or Azure Immutable Blob) on a configurable cadence. Customers can verify the chain at any time using a CLI we ship.</w:t>
      </w:r>
    </w:p>
    <w:p>
      <w:pPr>
        <w:spacing w:after="80" w:before="80" w:line="320"/>
        <w:jc w:val="left"/>
      </w:pPr>
      <w:r>
        <w:rPr>
          <w:rFonts w:ascii="Arial" w:cs="Arial" w:eastAsia="Arial" w:hAnsi="Arial"/>
          <w:b w:val="false"/>
          <w:bCs w:val="false"/>
          <w:i w:val="false"/>
          <w:iCs w:val="false"/>
          <w:sz w:val="22"/>
          <w:szCs w:val="22"/>
        </w:rPr>
        <w:t xml:space="preserve">Each event carries the full attribution chain: human → user agent → coding agent → skill (with version + signature) → policy decisions → action → file/command scope → outcome → linked external ticket. Retention default is 7 years (configurable per data class).</w:t>
      </w:r>
    </w:p>
    <w:p>
      <w:pPr>
        <w:pStyle w:val="Heading3"/>
        <w:spacing w:after="100" w:before="220"/>
      </w:pPr>
      <w:r>
        <w:rPr>
          <w:rFonts w:ascii="Arial" w:cs="Arial" w:eastAsia="Arial" w:hAnsi="Arial"/>
          <w:b/>
          <w:bCs/>
          <w:sz w:val="24"/>
          <w:szCs w:val="24"/>
        </w:rPr>
        <w:t xml:space="preserve">4.3.2 Reports tab</w:t>
      </w:r>
    </w:p>
    <w:p>
      <w:pPr>
        <w:spacing w:after="80" w:before="80" w:line="320"/>
        <w:jc w:val="left"/>
      </w:pPr>
      <w:r>
        <w:rPr>
          <w:rFonts w:ascii="Arial" w:cs="Arial" w:eastAsia="Arial" w:hAnsi="Arial"/>
          <w:b w:val="false"/>
          <w:bCs w:val="false"/>
          <w:i w:val="false"/>
          <w:iCs w:val="false"/>
          <w:sz w:val="22"/>
          <w:szCs w:val="22"/>
        </w:rPr>
        <w:t xml:space="preserve">Pre-built reports mapped to control families: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4460"/>
      </w:tblGrid>
      <w:tr>
        <w:trPr>
          <w:tblHeader/>
        </w:trPr>
        <w:tc>
          <w:tcPr>
            <w:tcW w:type="dxa" w:w="27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Report</w:t>
            </w:r>
          </w:p>
        </w:tc>
        <w:tc>
          <w:tcPr>
            <w:tcW w:type="dxa" w:w="24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Control mapping</w:t>
            </w:r>
          </w:p>
        </w:tc>
        <w:tc>
          <w:tcPr>
            <w:tcW w:type="dxa" w:w="44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What it shows</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AI-Assisted Change Log</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SOC2 CC8.1, ISO 27001 A.12.1.2</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All commits where an AI agent contributed, with attribution and approval evidence</w:t>
            </w:r>
          </w:p>
        </w:tc>
      </w:tr>
      <w:tr>
        <w:tc>
          <w:tcPr>
            <w:tcW w:type="dxa" w:w="2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Privileged Action Report</w:t>
            </w:r>
          </w:p>
        </w:tc>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SOC2 CC6.1, NIST AC-6</w:t>
            </w:r>
          </w:p>
        </w:tc>
        <w:tc>
          <w:tcPr>
            <w:tcW w:type="dxa" w:w="4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All agent actions on privileged resources, with policy decisions</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DLP Triggered Events</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HIPAA § 164.308(a)(1)</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All redact / route_to_dlp events with disposition</w:t>
            </w:r>
          </w:p>
        </w:tc>
      </w:tr>
      <w:tr>
        <w:tc>
          <w:tcPr>
            <w:tcW w:type="dxa" w:w="2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Skill Provenance Report</w:t>
            </w:r>
          </w:p>
        </w:tc>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SOC2 CC2.1</w:t>
            </w:r>
          </w:p>
        </w:tc>
        <w:tc>
          <w:tcPr>
            <w:tcW w:type="dxa" w:w="4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Every skill version used in production, with code-grounded provenance and signature chain</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Anomaly Report</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Internal</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Statistically anomalous agent behavior in the period</w:t>
            </w:r>
          </w:p>
        </w:tc>
      </w:tr>
    </w:tbl>
    <w:p>
      <w:pPr>
        <w:pStyle w:val="Heading3"/>
        <w:spacing w:after="100" w:before="220"/>
      </w:pPr>
      <w:r>
        <w:rPr>
          <w:rFonts w:ascii="Arial" w:cs="Arial" w:eastAsia="Arial" w:hAnsi="Arial"/>
          <w:b/>
          <w:bCs/>
          <w:sz w:val="24"/>
          <w:szCs w:val="24"/>
        </w:rPr>
        <w:t xml:space="preserve">4.3.3 Exports tab</w:t>
      </w:r>
    </w:p>
    <w:p>
      <w:pPr>
        <w:spacing w:after="80" w:before="80" w:line="320"/>
        <w:jc w:val="left"/>
      </w:pPr>
      <w:r>
        <w:rPr>
          <w:rFonts w:ascii="Arial" w:cs="Arial" w:eastAsia="Arial" w:hAnsi="Arial"/>
          <w:b w:val="false"/>
          <w:bCs w:val="false"/>
          <w:i w:val="false"/>
          <w:iCs w:val="false"/>
          <w:sz w:val="22"/>
          <w:szCs w:val="22"/>
        </w:rPr>
        <w:t xml:space="preserve">One-click exports in formats auditors actually use: CSV, JSON, Splunk HEC, Datadog Cloud SIEM, Sumo Logic, Microsoft Sentinel, raw NDJSON to S3. Exports are themselves logged as audit events (who exported, what, when, hash of the bundle).</w:t>
      </w:r>
    </w:p>
    <w:p>
      <w:pPr>
        <w:pStyle w:val="Heading3"/>
        <w:spacing w:after="100" w:before="220"/>
      </w:pPr>
      <w:r>
        <w:rPr>
          <w:rFonts w:ascii="Arial" w:cs="Arial" w:eastAsia="Arial" w:hAnsi="Arial"/>
          <w:b/>
          <w:bCs/>
          <w:sz w:val="24"/>
          <w:szCs w:val="24"/>
        </w:rPr>
        <w:t xml:space="preserve">4.3.4 Evidence packages</w:t>
      </w:r>
    </w:p>
    <w:p>
      <w:pPr>
        <w:spacing w:after="80" w:before="80" w:line="320"/>
        <w:jc w:val="left"/>
      </w:pPr>
      <w:r>
        <w:rPr>
          <w:rFonts w:ascii="Arial" w:cs="Arial" w:eastAsia="Arial" w:hAnsi="Arial"/>
          <w:b w:val="false"/>
          <w:bCs w:val="false"/>
          <w:i w:val="false"/>
          <w:iCs w:val="false"/>
          <w:sz w:val="22"/>
          <w:szCs w:val="22"/>
        </w:rPr>
        <w:t xml:space="preserve">A bundle that takes a control (e.g. "SOC2 CC8.1 for the period 2026-Q1"), assembles every relevant event, the hash chain proof, the linked policies-as-code at the time, and the signed skill versions in use, and outputs a zip with a human-readable PDF index plus a machine-verifiable manifest. This is what we hand the auditor. This is also the artifact that, more than anything else in the product, makes the buyer's signature feel inevitable.</w:t>
      </w:r>
    </w:p>
    <w:p>
      <w:pPr>
        <w:spacing w:after="80" w:before="80"/>
      </w:pPr>
      <w:r>
        <w:t xml:space="preserve"> </w:t>
      </w:r>
    </w:p>
    <w:p>
      <w:pPr>
        <w:pStyle w:val="Heading2"/>
        <w:spacing w:after="140" w:before="280"/>
      </w:pPr>
      <w:r>
        <w:rPr>
          <w:rFonts w:ascii="Arial" w:cs="Arial" w:eastAsia="Arial" w:hAnsi="Arial"/>
          <w:b/>
          <w:bCs/>
          <w:sz w:val="28"/>
          <w:szCs w:val="28"/>
        </w:rPr>
        <w:t xml:space="preserve">4.4 Skills — the artifact substrate</w:t>
      </w:r>
    </w:p>
    <w:p>
      <w:pPr>
        <w:spacing w:after="80" w:before="80" w:line="320"/>
        <w:jc w:val="left"/>
      </w:pPr>
      <w:r>
        <w:rPr>
          <w:rFonts w:ascii="Arial" w:cs="Arial" w:eastAsia="Arial" w:hAnsi="Arial"/>
          <w:b w:val="false"/>
          <w:bCs w:val="false"/>
          <w:i w:val="false"/>
          <w:iCs w:val="false"/>
          <w:sz w:val="22"/>
          <w:szCs w:val="22"/>
        </w:rPr>
        <w:t xml:space="preserve">Skills move from product headline (v7) to substrate (v8). They make the governance plane credible because we can vouch for the artifacts that flow through it. Every Skilgen v0.3–v0.4 capability lives here, repositioned as plumbing rather than as the show.</w:t>
      </w:r>
    </w:p>
    <w:p>
      <w:pPr>
        <w:pStyle w:val="Heading3"/>
        <w:spacing w:after="100" w:before="220"/>
      </w:pPr>
      <w:r>
        <w:rPr>
          <w:rFonts w:ascii="Arial" w:cs="Arial" w:eastAsia="Arial" w:hAnsi="Arial"/>
          <w:b/>
          <w:bCs/>
          <w:sz w:val="24"/>
          <w:szCs w:val="24"/>
        </w:rPr>
        <w:t xml:space="preserve">4.4.1 Registry tab</w:t>
      </w:r>
    </w:p>
    <w:p>
      <w:pPr>
        <w:spacing w:after="80" w:before="80" w:line="320"/>
        <w:jc w:val="left"/>
      </w:pPr>
      <w:r>
        <w:rPr>
          <w:rFonts w:ascii="Arial" w:cs="Arial" w:eastAsia="Arial" w:hAnsi="Arial"/>
          <w:b w:val="false"/>
          <w:bCs w:val="false"/>
          <w:i w:val="false"/>
          <w:iCs w:val="false"/>
          <w:sz w:val="22"/>
          <w:szCs w:val="22"/>
        </w:rPr>
        <w:t xml:space="preserve">The catalog of all skills in the customer's tenant. Each skill row shows: name, version, signature status, Skilgen Score (with subscores), drift status, last code-grounding timestamp, owning team, dependent agents, and policy bindings. Bulk actions: promote, quarantine, retire, sign, request review.</w:t>
      </w:r>
    </w:p>
    <w:p>
      <w:pPr>
        <w:pStyle w:val="Heading3"/>
        <w:spacing w:after="100" w:before="220"/>
      </w:pPr>
      <w:r>
        <w:rPr>
          <w:rFonts w:ascii="Arial" w:cs="Arial" w:eastAsia="Arial" w:hAnsi="Arial"/>
          <w:b/>
          <w:bCs/>
          <w:sz w:val="24"/>
          <w:szCs w:val="24"/>
        </w:rPr>
        <w:t xml:space="preserve">4.4.2 Score tab</w:t>
      </w:r>
    </w:p>
    <w:p>
      <w:pPr>
        <w:spacing w:after="80" w:before="80" w:line="320"/>
        <w:jc w:val="left"/>
      </w:pPr>
      <w:r>
        <w:rPr>
          <w:rFonts w:ascii="Arial" w:cs="Arial" w:eastAsia="Arial" w:hAnsi="Arial"/>
          <w:b w:val="false"/>
          <w:bCs w:val="false"/>
          <w:i w:val="false"/>
          <w:iCs w:val="false"/>
          <w:sz w:val="22"/>
          <w:szCs w:val="22"/>
        </w:rPr>
        <w:t xml:space="preserve">Skilgen Score remains a real component but is no longer the headline. Subscores: Groundedness (does the skill match the code it claims to describe?), Coverage (does it cover the scope it claims?), Freshness (when was it last verified against current HEAD?), Structure (does it conform to the open SKILL.md spec?). The algorithm and rubric are open-source and badge-publishable.</w:t>
      </w:r>
    </w:p>
    <w:p>
      <w:pPr>
        <w:pStyle w:val="Heading3"/>
        <w:spacing w:after="100" w:before="220"/>
      </w:pPr>
      <w:r>
        <w:rPr>
          <w:rFonts w:ascii="Arial" w:cs="Arial" w:eastAsia="Arial" w:hAnsi="Arial"/>
          <w:b/>
          <w:bCs/>
          <w:sz w:val="24"/>
          <w:szCs w:val="24"/>
        </w:rPr>
        <w:t xml:space="preserve">4.4.3 Drift tab</w:t>
      </w:r>
    </w:p>
    <w:p>
      <w:pPr>
        <w:spacing w:after="80" w:before="80" w:line="320"/>
        <w:jc w:val="left"/>
      </w:pPr>
      <w:r>
        <w:rPr>
          <w:rFonts w:ascii="Arial" w:cs="Arial" w:eastAsia="Arial" w:hAnsi="Arial"/>
          <w:b w:val="false"/>
          <w:bCs w:val="false"/>
          <w:i w:val="false"/>
          <w:iCs w:val="false"/>
          <w:sz w:val="22"/>
          <w:szCs w:val="22"/>
        </w:rPr>
        <w:t xml:space="preserve">Half-life detection. Each skill is periodically re-grounded against the current state of the source code. When the AST/semantic distance between what the skill claims and what the code does crosses a threshold, the skill is flagged. Drift events are first-class — they appear in Activity, can trigger Policy rules ("deny actions using a skill flagged drifted"), and are part of Audit.</w:t>
      </w:r>
    </w:p>
    <w:p>
      <w:pPr>
        <w:pStyle w:val="Heading3"/>
        <w:spacing w:after="100" w:before="220"/>
      </w:pPr>
      <w:r>
        <w:rPr>
          <w:rFonts w:ascii="Arial" w:cs="Arial" w:eastAsia="Arial" w:hAnsi="Arial"/>
          <w:b/>
          <w:bCs/>
          <w:sz w:val="24"/>
          <w:szCs w:val="24"/>
        </w:rPr>
        <w:t xml:space="preserve">4.4.4 Provenance tab</w:t>
      </w:r>
    </w:p>
    <w:p>
      <w:pPr>
        <w:spacing w:after="80" w:before="80" w:line="320"/>
        <w:jc w:val="left"/>
      </w:pPr>
      <w:r>
        <w:rPr>
          <w:rFonts w:ascii="Arial" w:cs="Arial" w:eastAsia="Arial" w:hAnsi="Arial"/>
          <w:b w:val="false"/>
          <w:bCs w:val="false"/>
          <w:i w:val="false"/>
          <w:iCs w:val="false"/>
          <w:sz w:val="22"/>
          <w:szCs w:val="22"/>
        </w:rPr>
        <w:t xml:space="preserve">The skill provenance chain. Every skill version is signed and attested back to a specific git commit, a specific generation run, a specific scoring run, and a specific approver. Sigstore-style transparency log. The dependency graph view shows skill→skill, skill→repo, and skill→agent dependencies — used for blast-radius questions during incidents.</w:t>
      </w:r>
    </w:p>
    <w:p>
      <w:pPr>
        <w:pStyle w:val="Heading3"/>
        <w:spacing w:after="100" w:before="220"/>
      </w:pPr>
      <w:r>
        <w:rPr>
          <w:rFonts w:ascii="Arial" w:cs="Arial" w:eastAsia="Arial" w:hAnsi="Arial"/>
          <w:b/>
          <w:bCs/>
          <w:sz w:val="24"/>
          <w:szCs w:val="24"/>
        </w:rPr>
        <w:t xml:space="preserve">4.4.5 SkillQL tab</w:t>
      </w:r>
    </w:p>
    <w:p>
      <w:pPr>
        <w:spacing w:after="80" w:before="80" w:line="320"/>
        <w:jc w:val="left"/>
      </w:pPr>
      <w:r>
        <w:rPr>
          <w:rFonts w:ascii="Arial" w:cs="Arial" w:eastAsia="Arial" w:hAnsi="Arial"/>
          <w:b w:val="false"/>
          <w:bCs w:val="false"/>
          <w:i w:val="false"/>
          <w:iCs w:val="false"/>
          <w:sz w:val="22"/>
          <w:szCs w:val="22"/>
        </w:rPr>
        <w:t xml:space="preserve">Power-user query surface. SkillQL is a declarative query language over the skill registry, score history, drift events, and code grounding. Examples: "all skills owned by team:payments where score &lt; 70 OR drift_age &gt; 30d"; "all skills referenced by agents that touched repos tagged sensitive in the last 7 days". SkillQL queries can be saved as Insights tiles or used as Policy match clauses.</w:t>
      </w:r>
    </w:p>
    <w:p>
      <w:pPr>
        <w:pStyle w:val="Heading3"/>
        <w:spacing w:after="100" w:before="220"/>
      </w:pPr>
      <w:r>
        <w:rPr>
          <w:rFonts w:ascii="Arial" w:cs="Arial" w:eastAsia="Arial" w:hAnsi="Arial"/>
          <w:b/>
          <w:bCs/>
          <w:sz w:val="24"/>
          <w:szCs w:val="24"/>
        </w:rPr>
        <w:t xml:space="preserve">4.4.6 Repos tab</w:t>
      </w:r>
    </w:p>
    <w:p>
      <w:pPr>
        <w:spacing w:after="80" w:before="80" w:line="320"/>
        <w:jc w:val="left"/>
      </w:pPr>
      <w:r>
        <w:rPr>
          <w:rFonts w:ascii="Arial" w:cs="Arial" w:eastAsia="Arial" w:hAnsi="Arial"/>
          <w:b w:val="false"/>
          <w:bCs w:val="false"/>
          <w:i w:val="false"/>
          <w:iCs w:val="false"/>
          <w:sz w:val="22"/>
          <w:szCs w:val="22"/>
        </w:rPr>
        <w:t xml:space="preserve">The source-of-truth side. Every connected repo with its indexing status, generated skill count, drift count, and policy bindings. Repos are tagged with sensitivity tiers (e.g. public, internal, sensitive, regulated) which Policy rules can match on.</w:t>
      </w:r>
    </w:p>
    <w:p>
      <w:pPr>
        <w:spacing w:after="80" w:before="80"/>
      </w:pPr>
      <w:r>
        <w:t xml:space="preserve"> </w:t>
      </w:r>
    </w:p>
    <w:p>
      <w:pPr>
        <w:pStyle w:val="Heading2"/>
        <w:spacing w:after="140" w:before="280"/>
      </w:pPr>
      <w:r>
        <w:rPr>
          <w:rFonts w:ascii="Arial" w:cs="Arial" w:eastAsia="Arial" w:hAnsi="Arial"/>
          <w:b/>
          <w:bCs/>
          <w:sz w:val="28"/>
          <w:szCs w:val="28"/>
        </w:rPr>
        <w:t xml:space="preserve">4.5 Insights — the trend surface</w:t>
      </w:r>
    </w:p>
    <w:p>
      <w:pPr>
        <w:spacing w:after="80" w:before="80" w:line="320"/>
        <w:jc w:val="left"/>
      </w:pPr>
      <w:r>
        <w:rPr>
          <w:rFonts w:ascii="Arial" w:cs="Arial" w:eastAsia="Arial" w:hAnsi="Arial"/>
          <w:b w:val="false"/>
          <w:bCs w:val="false"/>
          <w:i w:val="false"/>
          <w:iCs w:val="false"/>
          <w:sz w:val="22"/>
          <w:szCs w:val="22"/>
        </w:rPr>
        <w:t xml:space="preserve">Insights answers "where is risk going?" rather than "what just happened?" Used by the buyer in their weekly governance review and quarterly board updates.</w:t>
      </w:r>
    </w:p>
    <w:p>
      <w:pPr>
        <w:pStyle w:val="Heading3"/>
        <w:spacing w:after="100" w:before="220"/>
      </w:pPr>
      <w:r>
        <w:rPr>
          <w:rFonts w:ascii="Arial" w:cs="Arial" w:eastAsia="Arial" w:hAnsi="Arial"/>
          <w:b/>
          <w:bCs/>
          <w:sz w:val="24"/>
          <w:szCs w:val="24"/>
        </w:rPr>
        <w:t xml:space="preserve">4.5.1 Fleet KPIs tab</w:t>
      </w:r>
    </w:p>
    <w:p>
      <w:pPr>
        <w:spacing w:after="80" w:before="80" w:line="320"/>
        <w:jc w:val="left"/>
      </w:pPr>
      <w:r>
        <w:rPr>
          <w:rFonts w:ascii="Arial" w:cs="Arial" w:eastAsia="Arial" w:hAnsi="Arial"/>
          <w:b w:val="false"/>
          <w:bCs w:val="false"/>
          <w:i w:val="false"/>
          <w:iCs w:val="false"/>
          <w:sz w:val="22"/>
          <w:szCs w:val="22"/>
        </w:rPr>
        <w:t xml:space="preserve">Headline numbers with trend lines: total agent actions, deny rate, approval rate (and median time-to-approve), drift events, quarantined skills, MTTR for violations, percentage of agent commits with full attribution, weekly active human users of agents. All comparable to prior period.</w:t>
      </w:r>
    </w:p>
    <w:p>
      <w:pPr>
        <w:pStyle w:val="Heading3"/>
        <w:spacing w:after="100" w:before="220"/>
      </w:pPr>
      <w:r>
        <w:rPr>
          <w:rFonts w:ascii="Arial" w:cs="Arial" w:eastAsia="Arial" w:hAnsi="Arial"/>
          <w:b/>
          <w:bCs/>
          <w:sz w:val="24"/>
          <w:szCs w:val="24"/>
        </w:rPr>
        <w:t xml:space="preserve">4.5.2 Risky agents tab</w:t>
      </w:r>
    </w:p>
    <w:p>
      <w:pPr>
        <w:spacing w:after="80" w:before="80" w:line="320"/>
        <w:jc w:val="left"/>
      </w:pPr>
      <w:r>
        <w:rPr>
          <w:rFonts w:ascii="Arial" w:cs="Arial" w:eastAsia="Arial" w:hAnsi="Arial"/>
          <w:b w:val="false"/>
          <w:bCs w:val="false"/>
          <w:i w:val="false"/>
          <w:iCs w:val="false"/>
          <w:sz w:val="22"/>
          <w:szCs w:val="22"/>
        </w:rPr>
        <w:t xml:space="preserve">Agents (instances, not providers) ranked by composite risk: deny rate × scope sensitivity × volume. Used to identify rogue automation or misconfigured pipelines.</w:t>
      </w:r>
    </w:p>
    <w:p>
      <w:pPr>
        <w:pStyle w:val="Heading3"/>
        <w:spacing w:after="100" w:before="220"/>
      </w:pPr>
      <w:r>
        <w:rPr>
          <w:rFonts w:ascii="Arial" w:cs="Arial" w:eastAsia="Arial" w:hAnsi="Arial"/>
          <w:b/>
          <w:bCs/>
          <w:sz w:val="24"/>
          <w:szCs w:val="24"/>
        </w:rPr>
        <w:t xml:space="preserve">4.5.3 Risky repos tab</w:t>
      </w:r>
    </w:p>
    <w:p>
      <w:pPr>
        <w:spacing w:after="80" w:before="80" w:line="320"/>
        <w:jc w:val="left"/>
      </w:pPr>
      <w:r>
        <w:rPr>
          <w:rFonts w:ascii="Arial" w:cs="Arial" w:eastAsia="Arial" w:hAnsi="Arial"/>
          <w:b w:val="false"/>
          <w:bCs w:val="false"/>
          <w:i w:val="false"/>
          <w:iCs w:val="false"/>
          <w:sz w:val="22"/>
          <w:szCs w:val="22"/>
        </w:rPr>
        <w:t xml:space="preserve">Repos ranked by the same composite. Highlights where governance attention is most needed.</w:t>
      </w:r>
    </w:p>
    <w:p>
      <w:pPr>
        <w:pStyle w:val="Heading3"/>
        <w:spacing w:after="100" w:before="220"/>
      </w:pPr>
      <w:r>
        <w:rPr>
          <w:rFonts w:ascii="Arial" w:cs="Arial" w:eastAsia="Arial" w:hAnsi="Arial"/>
          <w:b/>
          <w:bCs/>
          <w:sz w:val="24"/>
          <w:szCs w:val="24"/>
        </w:rPr>
        <w:t xml:space="preserve">4.5.4 Coverage SLA tab</w:t>
      </w:r>
    </w:p>
    <w:p>
      <w:pPr>
        <w:spacing w:after="80" w:before="80" w:line="320"/>
        <w:jc w:val="left"/>
      </w:pPr>
      <w:r>
        <w:rPr>
          <w:rFonts w:ascii="Arial" w:cs="Arial" w:eastAsia="Arial" w:hAnsi="Arial"/>
          <w:b w:val="false"/>
          <w:bCs w:val="false"/>
          <w:i w:val="false"/>
          <w:iCs w:val="false"/>
          <w:sz w:val="22"/>
          <w:szCs w:val="22"/>
        </w:rPr>
        <w:t xml:space="preserve">For each repo with sensitivity tier ≥ internal: are there skills covering the critical operations? When was each last grounded? Are policies bound? This is the check that tells a CISO their fleet is governed at the depth they think it is.</w:t>
      </w:r>
    </w:p>
    <w:p>
      <w:pPr>
        <w:spacing w:after="80" w:before="80"/>
      </w:pPr>
      <w:r>
        <w:t xml:space="preserve"> </w:t>
      </w:r>
    </w:p>
    <w:p>
      <w:pPr>
        <w:pStyle w:val="Heading2"/>
        <w:spacing w:after="140" w:before="280"/>
      </w:pPr>
      <w:r>
        <w:rPr>
          <w:rFonts w:ascii="Arial" w:cs="Arial" w:eastAsia="Arial" w:hAnsi="Arial"/>
          <w:b/>
          <w:bCs/>
          <w:sz w:val="28"/>
          <w:szCs w:val="28"/>
        </w:rPr>
        <w:t xml:space="preserve">4.6 Settings — the admin surface</w:t>
      </w:r>
    </w:p>
    <w:p>
      <w:pPr>
        <w:pStyle w:val="ListParagraph"/>
        <w:numPr>
          <w:ilvl w:val="0"/>
          <w:numId w:val="2"/>
        </w:numPr>
        <w:spacing w:after="40" w:before="40" w:line="300"/>
      </w:pPr>
      <w:r>
        <w:rPr>
          <w:rFonts w:ascii="Arial" w:cs="Arial" w:eastAsia="Arial" w:hAnsi="Arial"/>
          <w:b/>
          <w:bCs/>
          <w:sz w:val="22"/>
          <w:szCs w:val="22"/>
        </w:rPr>
        <w:t xml:space="preserve">Teams · </w:t>
      </w:r>
      <w:r>
        <w:rPr>
          <w:rFonts w:ascii="Arial" w:cs="Arial" w:eastAsia="Arial" w:hAnsi="Arial"/>
          <w:sz w:val="22"/>
          <w:szCs w:val="22"/>
        </w:rPr>
        <w:t xml:space="preserve">membership and roles.</w:t>
      </w:r>
    </w:p>
    <w:p>
      <w:pPr>
        <w:pStyle w:val="ListParagraph"/>
        <w:numPr>
          <w:ilvl w:val="0"/>
          <w:numId w:val="2"/>
        </w:numPr>
        <w:spacing w:after="40" w:before="40" w:line="300"/>
      </w:pPr>
      <w:r>
        <w:rPr>
          <w:rFonts w:ascii="Arial" w:cs="Arial" w:eastAsia="Arial" w:hAnsi="Arial"/>
          <w:b/>
          <w:bCs/>
          <w:sz w:val="22"/>
          <w:szCs w:val="22"/>
        </w:rPr>
        <w:t xml:space="preserve">RBAC · </w:t>
      </w:r>
      <w:r>
        <w:rPr>
          <w:rFonts w:ascii="Arial" w:cs="Arial" w:eastAsia="Arial" w:hAnsi="Arial"/>
          <w:sz w:val="22"/>
          <w:szCs w:val="22"/>
        </w:rPr>
        <w:t xml:space="preserve">fine-grained permissions per surface and per scope (e.g. "can approve in payments only").</w:t>
      </w:r>
    </w:p>
    <w:p>
      <w:pPr>
        <w:pStyle w:val="ListParagraph"/>
        <w:numPr>
          <w:ilvl w:val="0"/>
          <w:numId w:val="2"/>
        </w:numPr>
        <w:spacing w:after="40" w:before="40" w:line="300"/>
      </w:pPr>
      <w:r>
        <w:rPr>
          <w:rFonts w:ascii="Arial" w:cs="Arial" w:eastAsia="Arial" w:hAnsi="Arial"/>
          <w:b/>
          <w:bCs/>
          <w:sz w:val="22"/>
          <w:szCs w:val="22"/>
        </w:rPr>
        <w:t xml:space="preserve">SSO · </w:t>
      </w:r>
      <w:r>
        <w:rPr>
          <w:rFonts w:ascii="Arial" w:cs="Arial" w:eastAsia="Arial" w:hAnsi="Arial"/>
          <w:sz w:val="22"/>
          <w:szCs w:val="22"/>
        </w:rPr>
        <w:t xml:space="preserve">SAML, OIDC, SCIM provisioning. Mandatory for enterprise tier.</w:t>
      </w:r>
    </w:p>
    <w:p>
      <w:pPr>
        <w:pStyle w:val="ListParagraph"/>
        <w:numPr>
          <w:ilvl w:val="0"/>
          <w:numId w:val="2"/>
        </w:numPr>
        <w:spacing w:after="40" w:before="40" w:line="300"/>
      </w:pPr>
      <w:r>
        <w:rPr>
          <w:rFonts w:ascii="Arial" w:cs="Arial" w:eastAsia="Arial" w:hAnsi="Arial"/>
          <w:b/>
          <w:bCs/>
          <w:sz w:val="22"/>
          <w:szCs w:val="22"/>
        </w:rPr>
        <w:t xml:space="preserve">Connectors · </w:t>
      </w:r>
      <w:r>
        <w:rPr>
          <w:rFonts w:ascii="Arial" w:cs="Arial" w:eastAsia="Arial" w:hAnsi="Arial"/>
          <w:sz w:val="22"/>
          <w:szCs w:val="22"/>
        </w:rPr>
        <w:t xml:space="preserve">Claude Code, Codex CLI, Cursor, Windsurf, Aider, GitHub Copilot, GitLab Duo, internal MCP servers, GitHub, GitLab, Bitbucket, Jira, Linear, Slack, PagerDuty, Splunk, Datadog, Sentinel, S3/GCS/Azure WORM stores, Sigstore.</w:t>
      </w:r>
    </w:p>
    <w:p>
      <w:pPr>
        <w:pStyle w:val="ListParagraph"/>
        <w:numPr>
          <w:ilvl w:val="0"/>
          <w:numId w:val="2"/>
        </w:numPr>
        <w:spacing w:after="40" w:before="40" w:line="300"/>
      </w:pPr>
      <w:r>
        <w:rPr>
          <w:rFonts w:ascii="Arial" w:cs="Arial" w:eastAsia="Arial" w:hAnsi="Arial"/>
          <w:b/>
          <w:bCs/>
          <w:sz w:val="22"/>
          <w:szCs w:val="22"/>
        </w:rPr>
        <w:t xml:space="preserve">Admin audit · </w:t>
      </w:r>
      <w:r>
        <w:rPr>
          <w:rFonts w:ascii="Arial" w:cs="Arial" w:eastAsia="Arial" w:hAnsi="Arial"/>
          <w:sz w:val="22"/>
          <w:szCs w:val="22"/>
        </w:rPr>
        <w:t xml:space="preserve">every settings change is itself an audit event.</w:t>
      </w:r>
    </w:p>
    <w:p>
      <w:pPr>
        <w:pStyle w:val="ListParagraph"/>
        <w:numPr>
          <w:ilvl w:val="0"/>
          <w:numId w:val="2"/>
        </w:numPr>
        <w:spacing w:after="40" w:before="40" w:line="300"/>
      </w:pPr>
      <w:r>
        <w:rPr>
          <w:rFonts w:ascii="Arial" w:cs="Arial" w:eastAsia="Arial" w:hAnsi="Arial"/>
          <w:b/>
          <w:bCs/>
          <w:sz w:val="22"/>
          <w:szCs w:val="22"/>
        </w:rPr>
        <w:t xml:space="preserve">Billing · </w:t>
      </w:r>
      <w:r>
        <w:rPr>
          <w:rFonts w:ascii="Arial" w:cs="Arial" w:eastAsia="Arial" w:hAnsi="Arial"/>
          <w:sz w:val="22"/>
          <w:szCs w:val="22"/>
        </w:rPr>
        <w:t xml:space="preserve">usage by metric (events ingested, repos indexed, skills under management, retention).</w:t>
      </w:r>
    </w:p>
    <w:p>
      <w:pPr>
        <w:pStyle w:val="Heading1"/>
        <w:pageBreakBefore/>
        <w:spacing w:after="180" w:before="360"/>
      </w:pPr>
      <w:r>
        <w:rPr>
          <w:rFonts w:ascii="Arial" w:cs="Arial" w:eastAsia="Arial" w:hAnsi="Arial"/>
          <w:b/>
          <w:bCs/>
          <w:sz w:val="36"/>
          <w:szCs w:val="36"/>
        </w:rPr>
        <w:t xml:space="preserve">5. Architecture: ingest, decision, storage</w:t>
      </w:r>
    </w:p>
    <w:p>
      <w:pPr>
        <w:pStyle w:val="Heading2"/>
        <w:spacing w:after="140" w:before="280"/>
      </w:pPr>
      <w:r>
        <w:rPr>
          <w:rFonts w:ascii="Arial" w:cs="Arial" w:eastAsia="Arial" w:hAnsi="Arial"/>
          <w:b/>
          <w:bCs/>
          <w:sz w:val="28"/>
          <w:szCs w:val="28"/>
        </w:rPr>
        <w:t xml:space="preserve">5.1 Ingest sources</w:t>
      </w:r>
    </w:p>
    <w:p>
      <w:pPr>
        <w:spacing w:after="80" w:before="80" w:line="320"/>
        <w:jc w:val="left"/>
      </w:pPr>
      <w:r>
        <w:rPr>
          <w:rFonts w:ascii="Arial" w:cs="Arial" w:eastAsia="Arial" w:hAnsi="Arial"/>
          <w:b w:val="false"/>
          <w:bCs w:val="false"/>
          <w:i w:val="false"/>
          <w:iCs w:val="false"/>
          <w:sz w:val="22"/>
          <w:szCs w:val="22"/>
        </w:rPr>
        <w:t xml:space="preserve">We have to be everywhere coding agents emit signal. Each integration is a moat, not a feature.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260"/>
      </w:tblGrid>
      <w:tr>
        <w:trPr>
          <w:tblHeader/>
        </w:trPr>
        <w:tc>
          <w:tcPr>
            <w:tcW w:type="dxa" w:w="24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Surface</w:t>
            </w:r>
          </w:p>
        </w:tc>
        <w:tc>
          <w:tcPr>
            <w:tcW w:type="dxa" w:w="29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Mechanism</w:t>
            </w:r>
          </w:p>
        </w:tc>
        <w:tc>
          <w:tcPr>
            <w:tcW w:type="dxa" w:w="42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Signal captured</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Claude Code</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Native hooks (PreToolUse, PostToolUse) + telemetry export</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All tool calls, file diffs, skill invocations, MCP calls</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Codex CLI</w:t>
            </w:r>
          </w:p>
        </w:tc>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Hooks API + JSON event stream</w:t>
            </w:r>
          </w:p>
        </w:tc>
        <w:tc>
          <w:tcPr>
            <w:tcW w:type="dxa" w:w="42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All actions, AGENTS.md scope, tool results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Cursor / Windsurf</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Editor extension + workspace agent</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File touches, applied diffs, AI command runs</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GitHub Copilot Agents</w:t>
            </w:r>
          </w:p>
        </w:tc>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GitHub Apps + webhooks</w:t>
            </w:r>
          </w:p>
        </w:tc>
        <w:tc>
          <w:tcPr>
            <w:tcW w:type="dxa" w:w="42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PR-level activity, suggested changes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GitLab Duo</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Project hooks + Merge Request events</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Duo agent actions, MR lifecycle</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Internal MCP servers</w:t>
            </w:r>
          </w:p>
        </w:tc>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Middleware proxy (drop-in)</w:t>
            </w:r>
          </w:p>
        </w:tc>
        <w:tc>
          <w:tcPr>
            <w:tcW w:type="dxa" w:w="42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Every MCP tool call, sanitized inputs/outputs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CI/CD (GitHub Actions, GitLab CI, CircleCI)</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Action / step</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Agent-driven jobs, artifacts, test outcomes</w:t>
            </w:r>
          </w:p>
        </w:tc>
      </w:tr>
      <w:tr>
        <w:tc>
          <w:tcPr>
            <w:tcW w:type="dxa" w:w="2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Git providers</w:t>
            </w:r>
          </w:p>
        </w:tc>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Webhooks + post-receive</w:t>
            </w:r>
          </w:p>
        </w:tc>
        <w:tc>
          <w:tcPr>
            <w:tcW w:type="dxa" w:w="42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Commits, signed/unsigned, AI-attribution headers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IDE-agnostic</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OS-level audit fallback (macOS endpoint, Linux auditd)</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Filesystem touches when no other hook is present</w:t>
            </w:r>
          </w:p>
        </w:tc>
      </w:tr>
    </w:tbl>
    <w:p>
      <w:pPr>
        <w:pStyle w:val="Heading2"/>
        <w:spacing w:after="140" w:before="280"/>
      </w:pPr>
      <w:r>
        <w:rPr>
          <w:rFonts w:ascii="Arial" w:cs="Arial" w:eastAsia="Arial" w:hAnsi="Arial"/>
          <w:b/>
          <w:bCs/>
          <w:sz w:val="28"/>
          <w:szCs w:val="28"/>
        </w:rPr>
        <w:t xml:space="preserve">5.2 The decision path</w:t>
      </w:r>
    </w:p>
    <w:p>
      <w:pPr>
        <w:spacing w:after="80" w:before="80" w:line="320"/>
        <w:jc w:val="left"/>
      </w:pPr>
      <w:r>
        <w:rPr>
          <w:rFonts w:ascii="Arial" w:cs="Arial" w:eastAsia="Arial" w:hAnsi="Arial"/>
          <w:b w:val="false"/>
          <w:bCs w:val="false"/>
          <w:i w:val="false"/>
          <w:iCs w:val="false"/>
          <w:sz w:val="22"/>
          <w:szCs w:val="22"/>
        </w:rPr>
        <w:t xml:space="preserve">Every ingested event runs through a four-stage pipeline before reaching storage:</w:t>
      </w:r>
    </w:p>
    <w:p>
      <w:pPr>
        <w:pStyle w:val="ListParagraph"/>
        <w:numPr>
          <w:ilvl w:val="0"/>
          <w:numId w:val="3"/>
        </w:numPr>
        <w:spacing w:after="40" w:before="40" w:line="300"/>
      </w:pPr>
      <w:r>
        <w:rPr>
          <w:rFonts w:ascii="Arial" w:cs="Arial" w:eastAsia="Arial" w:hAnsi="Arial"/>
          <w:sz w:val="22"/>
          <w:szCs w:val="22"/>
        </w:rPr>
        <w:t xml:space="preserve">Normalize. Provider-specific event → canonical Skilgen event schema.</w:t>
      </w:r>
    </w:p>
    <w:p>
      <w:pPr>
        <w:pStyle w:val="ListParagraph"/>
        <w:numPr>
          <w:ilvl w:val="0"/>
          <w:numId w:val="3"/>
        </w:numPr>
        <w:spacing w:after="40" w:before="40" w:line="300"/>
      </w:pPr>
      <w:r>
        <w:rPr>
          <w:rFonts w:ascii="Arial" w:cs="Arial" w:eastAsia="Arial" w:hAnsi="Arial"/>
          <w:sz w:val="22"/>
          <w:szCs w:val="22"/>
        </w:rPr>
        <w:t xml:space="preserve">Enrich. Attach skill version + signature, repo sensitivity tier, user identity, linked external ticket, blast-radius estimate.</w:t>
      </w:r>
    </w:p>
    <w:p>
      <w:pPr>
        <w:pStyle w:val="ListParagraph"/>
        <w:numPr>
          <w:ilvl w:val="0"/>
          <w:numId w:val="3"/>
        </w:numPr>
        <w:spacing w:after="40" w:before="40" w:line="300"/>
      </w:pPr>
      <w:r>
        <w:rPr>
          <w:rFonts w:ascii="Arial" w:cs="Arial" w:eastAsia="Arial" w:hAnsi="Arial"/>
          <w:sz w:val="22"/>
          <w:szCs w:val="22"/>
        </w:rPr>
        <w:t xml:space="preserve">Decide. Run all matching policies in priority order. Compose decisions (most-restrictive wins). Emit decision verb.</w:t>
      </w:r>
    </w:p>
    <w:p>
      <w:pPr>
        <w:pStyle w:val="ListParagraph"/>
        <w:numPr>
          <w:ilvl w:val="0"/>
          <w:numId w:val="3"/>
        </w:numPr>
        <w:spacing w:after="40" w:before="40" w:line="300"/>
      </w:pPr>
      <w:r>
        <w:rPr>
          <w:rFonts w:ascii="Arial" w:cs="Arial" w:eastAsia="Arial" w:hAnsi="Arial"/>
          <w:sz w:val="22"/>
          <w:szCs w:val="22"/>
        </w:rPr>
        <w:t xml:space="preserve">Persist. Append to event log, update materialized views (Activity, Insights), trigger notifications, hash-chain into WORM.</w:t>
      </w:r>
    </w:p>
    <w:p>
      <w:pPr>
        <w:spacing w:after="80" w:before="80" w:line="320"/>
        <w:jc w:val="left"/>
      </w:pPr>
      <w:r>
        <w:rPr>
          <w:rFonts w:ascii="Arial" w:cs="Arial" w:eastAsia="Arial" w:hAnsi="Arial"/>
          <w:b w:val="false"/>
          <w:bCs w:val="false"/>
          <w:i w:val="false"/>
          <w:iCs w:val="false"/>
          <w:sz w:val="22"/>
          <w:szCs w:val="22"/>
        </w:rPr>
        <w:t xml:space="preserve">For enforcement-class integrations (hooks, MCP middleware), the decision is returned synchronously — the agent waits or is blocked. For observation-class integrations (webhooks, logs), the decision is logged after the fact and may produce post-hoc remediation tasks.</w:t>
      </w:r>
    </w:p>
    <w:p>
      <w:pPr>
        <w:pStyle w:val="Heading2"/>
        <w:spacing w:after="140" w:before="280"/>
      </w:pPr>
      <w:r>
        <w:rPr>
          <w:rFonts w:ascii="Arial" w:cs="Arial" w:eastAsia="Arial" w:hAnsi="Arial"/>
          <w:b/>
          <w:bCs/>
          <w:sz w:val="28"/>
          <w:szCs w:val="28"/>
        </w:rPr>
        <w:t xml:space="preserve">5.3 Storage tiers</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2900"/>
        <w:gridCol w:w="1960"/>
      </w:tblGrid>
      <w:tr>
        <w:trPr>
          <w:tblHeader/>
        </w:trPr>
        <w:tc>
          <w:tcPr>
            <w:tcW w:type="dxa" w:w="13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Tier</w:t>
            </w:r>
          </w:p>
        </w:tc>
        <w:tc>
          <w:tcPr>
            <w:tcW w:type="dxa" w:w="44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Contents</w:t>
            </w:r>
          </w:p>
        </w:tc>
        <w:tc>
          <w:tcPr>
            <w:tcW w:type="dxa" w:w="29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Backing store</w:t>
            </w:r>
          </w:p>
        </w:tc>
        <w:tc>
          <w:tcPr>
            <w:tcW w:type="dxa" w:w="19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Retention default</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Hot</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Last 30 days, queryable in Activity / Insights</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ClickHouse / Postgres</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30 days</w:t>
            </w:r>
          </w:p>
        </w:tc>
      </w:tr>
      <w:tr>
        <w:tc>
          <w:tcPr>
            <w:tcW w:type="dxa" w:w="13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Warm</w:t>
            </w:r>
          </w:p>
        </w:tc>
        <w:tc>
          <w:tcPr>
            <w:tcW w:type="dxa" w:w="44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Last 13 months, queryable but slower</w:t>
            </w:r>
          </w:p>
        </w:tc>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Object store + columnar</w:t>
            </w:r>
          </w:p>
        </w:tc>
        <w:tc>
          <w:tcPr>
            <w:tcW w:type="dxa" w:w="19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13 months</w:t>
            </w:r>
          </w:p>
        </w:tc>
      </w:tr>
      <w:tr>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Cold (audit)</w:t>
            </w:r>
          </w:p>
        </w:tc>
        <w:tc>
          <w:tcPr>
            <w:tcW w:type="dxa" w:w="4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Full history, immutable, hash-chained</w:t>
            </w:r>
          </w:p>
        </w:tc>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Customer-owned WORM (S3 Object Lock etc.)</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7 years (configurable)</w:t>
            </w:r>
          </w:p>
        </w:tc>
      </w:tr>
    </w:tbl>
    <w:p>
      <w:pPr>
        <w:pStyle w:val="Heading2"/>
        <w:spacing w:after="140" w:before="280"/>
      </w:pPr>
      <w:r>
        <w:rPr>
          <w:rFonts w:ascii="Arial" w:cs="Arial" w:eastAsia="Arial" w:hAnsi="Arial"/>
          <w:b/>
          <w:bCs/>
          <w:sz w:val="28"/>
          <w:szCs w:val="28"/>
        </w:rPr>
        <w:t xml:space="preserve">5.4 Deployment topologies</w:t>
      </w:r>
    </w:p>
    <w:p>
      <w:pPr>
        <w:pStyle w:val="ListParagraph"/>
        <w:numPr>
          <w:ilvl w:val="0"/>
          <w:numId w:val="2"/>
        </w:numPr>
        <w:spacing w:after="40" w:before="40" w:line="300"/>
      </w:pPr>
      <w:r>
        <w:rPr>
          <w:rFonts w:ascii="Arial" w:cs="Arial" w:eastAsia="Arial" w:hAnsi="Arial"/>
          <w:b/>
          <w:bCs/>
          <w:sz w:val="22"/>
          <w:szCs w:val="22"/>
        </w:rPr>
        <w:t xml:space="preserve">SaaS (default). </w:t>
      </w:r>
      <w:r>
        <w:rPr>
          <w:rFonts w:ascii="Arial" w:cs="Arial" w:eastAsia="Arial" w:hAnsi="Arial"/>
          <w:sz w:val="22"/>
          <w:szCs w:val="22"/>
        </w:rPr>
        <w:t xml:space="preserve">Multi-tenant on AWS, with single-tenant option at Enterprise tier. SOC2 Type II by month 9; ISO 27001 by month 12; FedRAMP Moderate ATO target month 18.</w:t>
      </w:r>
    </w:p>
    <w:p>
      <w:pPr>
        <w:pStyle w:val="ListParagraph"/>
        <w:numPr>
          <w:ilvl w:val="0"/>
          <w:numId w:val="2"/>
        </w:numPr>
        <w:spacing w:after="40" w:before="40" w:line="300"/>
      </w:pPr>
      <w:r>
        <w:rPr>
          <w:rFonts w:ascii="Arial" w:cs="Arial" w:eastAsia="Arial" w:hAnsi="Arial"/>
          <w:b/>
          <w:bCs/>
          <w:sz w:val="22"/>
          <w:szCs w:val="22"/>
        </w:rPr>
        <w:t xml:space="preserve">Customer-VPC. </w:t>
      </w:r>
      <w:r>
        <w:rPr>
          <w:rFonts w:ascii="Arial" w:cs="Arial" w:eastAsia="Arial" w:hAnsi="Arial"/>
          <w:sz w:val="22"/>
          <w:szCs w:val="22"/>
        </w:rPr>
        <w:t xml:space="preserve">Decision plane runs in the customer's VPC; control plane (auth, billing, updates) in our SaaS. Required for FSI / regulated workloads.</w:t>
      </w:r>
    </w:p>
    <w:p>
      <w:pPr>
        <w:pStyle w:val="ListParagraph"/>
        <w:numPr>
          <w:ilvl w:val="0"/>
          <w:numId w:val="2"/>
        </w:numPr>
        <w:spacing w:after="40" w:before="40" w:line="300"/>
      </w:pPr>
      <w:r>
        <w:rPr>
          <w:rFonts w:ascii="Arial" w:cs="Arial" w:eastAsia="Arial" w:hAnsi="Arial"/>
          <w:b/>
          <w:bCs/>
          <w:sz w:val="22"/>
          <w:szCs w:val="22"/>
        </w:rPr>
        <w:t xml:space="preserve">Air-gapped. </w:t>
      </w:r>
      <w:r>
        <w:rPr>
          <w:rFonts w:ascii="Arial" w:cs="Arial" w:eastAsia="Arial" w:hAnsi="Arial"/>
          <w:sz w:val="22"/>
          <w:szCs w:val="22"/>
        </w:rPr>
        <w:t xml:space="preserve">Fully on-prem deployment for defense / classified environments. Reach in 18+ months — but the architecture must not preclude it.</w:t>
      </w:r>
    </w:p>
    <w:p>
      <w:pPr>
        <w:pStyle w:val="Heading1"/>
        <w:pageBreakBefore/>
        <w:spacing w:after="180" w:before="360"/>
      </w:pPr>
      <w:r>
        <w:rPr>
          <w:rFonts w:ascii="Arial" w:cs="Arial" w:eastAsia="Arial" w:hAnsi="Arial"/>
          <w:b/>
          <w:bCs/>
          <w:sz w:val="36"/>
          <w:szCs w:val="36"/>
        </w:rPr>
        <w:t xml:space="preserve">6. Skilgen Score and the open-core strategy</w:t>
      </w:r>
    </w:p>
    <w:p>
      <w:pPr>
        <w:pStyle w:val="Heading2"/>
        <w:spacing w:after="140" w:before="280"/>
      </w:pPr>
      <w:r>
        <w:rPr>
          <w:rFonts w:ascii="Arial" w:cs="Arial" w:eastAsia="Arial" w:hAnsi="Arial"/>
          <w:b/>
          <w:bCs/>
          <w:sz w:val="28"/>
          <w:szCs w:val="28"/>
        </w:rPr>
        <w:t xml:space="preserve">6.1 Why we still keep Skilgen Score, and what changes</w:t>
      </w:r>
    </w:p>
    <w:p>
      <w:pPr>
        <w:spacing w:after="80" w:before="80" w:line="320"/>
        <w:jc w:val="left"/>
      </w:pPr>
      <w:r>
        <w:rPr>
          <w:rFonts w:ascii="Arial" w:cs="Arial" w:eastAsia="Arial" w:hAnsi="Arial"/>
          <w:b w:val="false"/>
          <w:bCs w:val="false"/>
          <w:i w:val="false"/>
          <w:iCs w:val="false"/>
          <w:sz w:val="22"/>
          <w:szCs w:val="22"/>
        </w:rPr>
        <w:t xml:space="preserve">Skilgen Score does not lead the pitch anymore — but it is the most defensible artifact we own, because it gives the governance plane its credibility. "We can govern your coding agents because we can vouch for the skills they use." Without Score, that sentence is hand-waving. With Score (open spec, open algorithm, public badge), it is verifiable.</w:t>
      </w:r>
    </w:p>
    <w:p>
      <w:pPr>
        <w:pStyle w:val="Heading2"/>
        <w:spacing w:after="140" w:before="280"/>
      </w:pPr>
      <w:r>
        <w:rPr>
          <w:rFonts w:ascii="Arial" w:cs="Arial" w:eastAsia="Arial" w:hAnsi="Arial"/>
          <w:b/>
          <w:bCs/>
          <w:sz w:val="28"/>
          <w:szCs w:val="28"/>
        </w:rPr>
        <w:t xml:space="preserve">6.2 Open-core split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4460"/>
      </w:tblGrid>
      <w:tr>
        <w:trPr>
          <w:tblHeader/>
        </w:trPr>
        <w:tc>
          <w:tcPr>
            <w:tcW w:type="dxa" w:w="32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Component</w:t>
            </w:r>
          </w:p>
        </w:tc>
        <w:tc>
          <w:tcPr>
            <w:tcW w:type="dxa" w:w="27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Disposition</w:t>
            </w:r>
          </w:p>
        </w:tc>
        <w:tc>
          <w:tcPr>
            <w:tcW w:type="dxa" w:w="44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Skilgen CLI</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Open source (Apache 2.0)</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Distribution moat. Same model as Codex CLI.</w:t>
            </w:r>
          </w:p>
        </w:tc>
      </w:tr>
      <w:tr>
        <w:tc>
          <w:tcPr>
            <w:tcW w:type="dxa" w:w="3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Skilgen Score algorithm + rubric</w:t>
            </w:r>
          </w:p>
        </w:tc>
        <w:tc>
          <w:tcPr>
            <w:tcW w:type="dxa" w:w="2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Open spec + open reference impl</w:t>
            </w:r>
          </w:p>
        </w:tc>
        <w:tc>
          <w:tcPr>
            <w:tcW w:type="dxa" w:w="4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Becomes the standard reference. Lighthouse for skills.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AST parsers (38 languages)</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Open source</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Encourages community contribution; raises floor for everyone.</w:t>
            </w:r>
          </w:p>
        </w:tc>
      </w:tr>
      <w:tr>
        <w:tc>
          <w:tcPr>
            <w:tcW w:type="dxa" w:w="3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GitHub Action / GitLab CI templates</w:t>
            </w:r>
          </w:p>
        </w:tc>
        <w:tc>
          <w:tcPr>
            <w:tcW w:type="dxa" w:w="2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Open source</w:t>
            </w:r>
          </w:p>
        </w:tc>
        <w:tc>
          <w:tcPr>
            <w:tcW w:type="dxa" w:w="4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Ubiquity drives badge adoption.</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SKILL.md drift detection format</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Open spec</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Become the standard for drift signals; lets other tools emit them.</w:t>
            </w:r>
          </w:p>
        </w:tc>
      </w:tr>
      <w:tr>
        <w:tc>
          <w:tcPr>
            <w:tcW w:type="dxa" w:w="3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Skillayer SaaS (Activity, Policy, Audit, Insights)</w:t>
            </w:r>
          </w:p>
        </w:tc>
        <w:tc>
          <w:tcPr>
            <w:tcW w:type="dxa" w:w="2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Closed source</w:t>
            </w:r>
          </w:p>
        </w:tc>
        <w:tc>
          <w:tcPr>
            <w:tcW w:type="dxa" w:w="4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Revenue moat. Multi-tenant infra + integrations + compliance certifications.</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Hosted registry + provenance log</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Closed source</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Operational moat. Trust comes from running it well.</w:t>
            </w:r>
          </w:p>
        </w:tc>
      </w:tr>
      <w:tr>
        <w:tc>
          <w:tcPr>
            <w:tcW w:type="dxa" w:w="3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Enterprise governance dashboard</w:t>
            </w:r>
          </w:p>
        </w:tc>
        <w:tc>
          <w:tcPr>
            <w:tcW w:type="dxa" w:w="2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Closed source</w:t>
            </w:r>
          </w:p>
        </w:tc>
        <w:tc>
          <w:tcPr>
            <w:tcW w:type="dxa" w:w="44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The buyer's daily surface.</w:t>
            </w:r>
          </w:p>
        </w:tc>
      </w:tr>
      <w:tr>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Compliance evidence packs</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Closed (templates open)</w:t>
            </w:r>
          </w:p>
        </w:tc>
        <w:tc>
          <w:tcPr>
            <w:tcW w:type="dxa" w:w="44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The artifact buyers pay for. Templates open to maximize adoption.</w:t>
            </w:r>
          </w:p>
        </w:tc>
      </w:tr>
    </w:tbl>
    <w:p>
      <w:pPr>
        <w:pStyle w:val="Heading2"/>
        <w:spacing w:after="140" w:before="280"/>
      </w:pPr>
      <w:r>
        <w:rPr>
          <w:rFonts w:ascii="Arial" w:cs="Arial" w:eastAsia="Arial" w:hAnsi="Arial"/>
          <w:b/>
          <w:bCs/>
          <w:sz w:val="28"/>
          <w:szCs w:val="28"/>
        </w:rPr>
        <w:t xml:space="preserve">6.3 Why open-core wins here</w:t>
      </w:r>
    </w:p>
    <w:p>
      <w:pPr>
        <w:spacing w:after="80" w:before="80" w:line="320"/>
        <w:jc w:val="left"/>
      </w:pPr>
      <w:r>
        <w:rPr>
          <w:rFonts w:ascii="Arial" w:cs="Arial" w:eastAsia="Arial" w:hAnsi="Arial"/>
          <w:b w:val="false"/>
          <w:bCs w:val="false"/>
          <w:i w:val="false"/>
          <w:iCs w:val="false"/>
          <w:sz w:val="22"/>
          <w:szCs w:val="22"/>
        </w:rPr>
        <w:t xml:space="preserve">Anthropic and OpenAI cannot credibly open-source a third-party score, because their incentive is to make their own surface look good. We can. Our neutrality is the moat. Every skill marketplace that adopts a Skilgen Score badge becomes a distribution surface for us. Every CI pipeline that fails on a low Skilgen Score becomes embedded developer infrastructure. The badge is to skills what the npm download count was to packages.</w:t>
      </w:r>
    </w:p>
    <w:p>
      <w:pPr>
        <w:pStyle w:val="Heading1"/>
        <w:pageBreakBefore/>
        <w:spacing w:after="180" w:before="360"/>
      </w:pPr>
      <w:r>
        <w:rPr>
          <w:rFonts w:ascii="Arial" w:cs="Arial" w:eastAsia="Arial" w:hAnsi="Arial"/>
          <w:b/>
          <w:bCs/>
          <w:sz w:val="36"/>
          <w:szCs w:val="36"/>
        </w:rPr>
        <w:t xml:space="preserve">7. Go-to-market motion</w:t>
      </w:r>
    </w:p>
    <w:p>
      <w:pPr>
        <w:pStyle w:val="Heading2"/>
        <w:spacing w:after="140" w:before="280"/>
      </w:pPr>
      <w:r>
        <w:rPr>
          <w:rFonts w:ascii="Arial" w:cs="Arial" w:eastAsia="Arial" w:hAnsi="Arial"/>
          <w:b/>
          <w:bCs/>
          <w:sz w:val="28"/>
          <w:szCs w:val="28"/>
        </w:rPr>
        <w:t xml:space="preserve">7.1 Sales motion</w:t>
      </w:r>
    </w:p>
    <w:p>
      <w:pPr>
        <w:spacing w:after="80" w:before="80" w:line="320"/>
        <w:jc w:val="left"/>
      </w:pPr>
      <w:r>
        <w:rPr>
          <w:rFonts w:ascii="Arial" w:cs="Arial" w:eastAsia="Arial" w:hAnsi="Arial"/>
          <w:b w:val="false"/>
          <w:bCs w:val="false"/>
          <w:i w:val="false"/>
          <w:iCs w:val="false"/>
          <w:sz w:val="22"/>
          <w:szCs w:val="22"/>
        </w:rPr>
        <w:t xml:space="preserve">This is a top-down enterprise motion, not a bottom-up developer motion. The wedge is the CISO's quarterly board update, not the developer's daily commit. That changes everything about how we sell.</w:t>
      </w:r>
    </w:p>
    <w:p>
      <w:pPr>
        <w:pStyle w:val="ListParagraph"/>
        <w:numPr>
          <w:ilvl w:val="0"/>
          <w:numId w:val="2"/>
        </w:numPr>
        <w:spacing w:after="40" w:before="40" w:line="300"/>
      </w:pPr>
      <w:r>
        <w:rPr>
          <w:rFonts w:ascii="Arial" w:cs="Arial" w:eastAsia="Arial" w:hAnsi="Arial"/>
          <w:b/>
          <w:bCs/>
          <w:sz w:val="22"/>
          <w:szCs w:val="22"/>
        </w:rPr>
        <w:t xml:space="preserve">Lead source: </w:t>
      </w:r>
      <w:r>
        <w:rPr>
          <w:rFonts w:ascii="Arial" w:cs="Arial" w:eastAsia="Arial" w:hAnsi="Arial"/>
          <w:sz w:val="22"/>
          <w:szCs w:val="22"/>
        </w:rPr>
        <w:t xml:space="preserve">outbound to named accounts (Fortune 500 with public coding-agent rollouts), inbound from compliance-driven content, partnerships with audit firms (Big 4, regional).</w:t>
      </w:r>
    </w:p>
    <w:p>
      <w:pPr>
        <w:pStyle w:val="ListParagraph"/>
        <w:numPr>
          <w:ilvl w:val="0"/>
          <w:numId w:val="2"/>
        </w:numPr>
        <w:spacing w:after="40" w:before="40" w:line="300"/>
      </w:pPr>
      <w:r>
        <w:rPr>
          <w:rFonts w:ascii="Arial" w:cs="Arial" w:eastAsia="Arial" w:hAnsi="Arial"/>
          <w:b/>
          <w:bCs/>
          <w:sz w:val="22"/>
          <w:szCs w:val="22"/>
        </w:rPr>
        <w:t xml:space="preserve">Discovery question: </w:t>
      </w:r>
      <w:r>
        <w:rPr>
          <w:rFonts w:ascii="Arial" w:cs="Arial" w:eastAsia="Arial" w:hAnsi="Arial"/>
          <w:sz w:val="22"/>
          <w:szCs w:val="22"/>
        </w:rPr>
        <w:t xml:space="preserve">"How do you know what your coding agents are doing?" Awkward silence is the qualified-lead signal.</w:t>
      </w:r>
    </w:p>
    <w:p>
      <w:pPr>
        <w:pStyle w:val="ListParagraph"/>
        <w:numPr>
          <w:ilvl w:val="0"/>
          <w:numId w:val="2"/>
        </w:numPr>
        <w:spacing w:after="40" w:before="40" w:line="300"/>
      </w:pPr>
      <w:r>
        <w:rPr>
          <w:rFonts w:ascii="Arial" w:cs="Arial" w:eastAsia="Arial" w:hAnsi="Arial"/>
          <w:b/>
          <w:bCs/>
          <w:sz w:val="22"/>
          <w:szCs w:val="22"/>
        </w:rPr>
        <w:t xml:space="preserve">Pilot shape: </w:t>
      </w:r>
      <w:r>
        <w:rPr>
          <w:rFonts w:ascii="Arial" w:cs="Arial" w:eastAsia="Arial" w:hAnsi="Arial"/>
          <w:sz w:val="22"/>
          <w:szCs w:val="22"/>
        </w:rPr>
        <w:t xml:space="preserve">30-day paid pilot, one business unit, one repo tier, three named integrations. Success criteria signed before kick-off.</w:t>
      </w:r>
    </w:p>
    <w:p>
      <w:pPr>
        <w:pStyle w:val="ListParagraph"/>
        <w:numPr>
          <w:ilvl w:val="0"/>
          <w:numId w:val="2"/>
        </w:numPr>
        <w:spacing w:after="40" w:before="40" w:line="300"/>
      </w:pPr>
      <w:r>
        <w:rPr>
          <w:rFonts w:ascii="Arial" w:cs="Arial" w:eastAsia="Arial" w:hAnsi="Arial"/>
          <w:b/>
          <w:bCs/>
          <w:sz w:val="22"/>
          <w:szCs w:val="22"/>
        </w:rPr>
        <w:t xml:space="preserve">Land contract: </w:t>
      </w:r>
      <w:r>
        <w:rPr>
          <w:rFonts w:ascii="Arial" w:cs="Arial" w:eastAsia="Arial" w:hAnsi="Arial"/>
          <w:sz w:val="22"/>
          <w:szCs w:val="22"/>
        </w:rPr>
        <w:t xml:space="preserve">$200k–$400k ARR for first business unit. 3-year terms with 20% expansion built in.</w:t>
      </w:r>
    </w:p>
    <w:p>
      <w:pPr>
        <w:pStyle w:val="ListParagraph"/>
        <w:numPr>
          <w:ilvl w:val="0"/>
          <w:numId w:val="2"/>
        </w:numPr>
        <w:spacing w:after="40" w:before="40" w:line="300"/>
      </w:pPr>
      <w:r>
        <w:rPr>
          <w:rFonts w:ascii="Arial" w:cs="Arial" w:eastAsia="Arial" w:hAnsi="Arial"/>
          <w:b/>
          <w:bCs/>
          <w:sz w:val="22"/>
          <w:szCs w:val="22"/>
        </w:rPr>
        <w:t xml:space="preserve">Expansion: </w:t>
      </w:r>
      <w:r>
        <w:rPr>
          <w:rFonts w:ascii="Arial" w:cs="Arial" w:eastAsia="Arial" w:hAnsi="Arial"/>
          <w:sz w:val="22"/>
          <w:szCs w:val="22"/>
        </w:rPr>
        <w:t xml:space="preserve">additional business units, additional integrations (premium connectors), evidence pack add-ons by control framework, FedRAMP-tier deployment uplift.</w:t>
      </w:r>
    </w:p>
    <w:p>
      <w:pPr>
        <w:pStyle w:val="Heading2"/>
        <w:spacing w:after="140" w:before="280"/>
      </w:pPr>
      <w:r>
        <w:rPr>
          <w:rFonts w:ascii="Arial" w:cs="Arial" w:eastAsia="Arial" w:hAnsi="Arial"/>
          <w:b/>
          <w:bCs/>
          <w:sz w:val="28"/>
          <w:szCs w:val="28"/>
        </w:rPr>
        <w:t xml:space="preserve">7.2 Pricing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700"/>
        <w:gridCol w:w="2760"/>
      </w:tblGrid>
      <w:tr>
        <w:trPr>
          <w:tblHeader/>
        </w:trPr>
        <w:tc>
          <w:tcPr>
            <w:tcW w:type="dxa" w:w="17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Target</w:t>
            </w:r>
          </w:p>
        </w:tc>
        <w:tc>
          <w:tcPr>
            <w:tcW w:type="dxa" w:w="27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Price band</w:t>
            </w:r>
          </w:p>
        </w:tc>
        <w:tc>
          <w:tcPr>
            <w:tcW w:type="dxa" w:w="27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Limits</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Open Source CLI</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Individual devs / OSS projects</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Free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Local-only, no SaaS features</w:t>
            </w:r>
          </w:p>
        </w:tc>
      </w:tr>
      <w:tr>
        <w:tc>
          <w:tcPr>
            <w:tcW w:type="dxa" w:w="1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Team</w:t>
            </w:r>
          </w:p>
        </w:tc>
        <w:tc>
          <w:tcPr>
            <w:tcW w:type="dxa" w:w="2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&lt;200 devs, single team</w:t>
            </w:r>
          </w:p>
        </w:tc>
        <w:tc>
          <w:tcPr>
            <w:tcW w:type="dxa" w:w="2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$24/seat/month</w:t>
            </w:r>
          </w:p>
        </w:tc>
        <w:tc>
          <w:tcPr>
            <w:tcW w:type="dxa" w:w="27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1 BU, basic policies, 30d retention</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Business</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200–2000 devs</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$60/seat/month + platform fee</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Full IA, SSO, 13mo retention, 5 connectors</w:t>
            </w:r>
          </w:p>
        </w:tc>
      </w:tr>
      <w:tr>
        <w:tc>
          <w:tcPr>
            <w:tcW w:type="dxa" w:w="1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Enterprise</w:t>
            </w:r>
          </w:p>
        </w:tc>
        <w:tc>
          <w:tcPr>
            <w:tcW w:type="dxa" w:w="22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2000+ devs / regulated</w:t>
            </w:r>
          </w:p>
        </w:tc>
        <w:tc>
          <w:tcPr>
            <w:tcW w:type="dxa" w:w="2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Custom ($200k–$1M+ ARR)</w:t>
            </w:r>
          </w:p>
        </w:tc>
        <w:tc>
          <w:tcPr>
            <w:tcW w:type="dxa" w:w="27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Single-tenant option, custom retention, all connectors, evidence packs, dedicated SE</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Government</w:t>
            </w:r>
          </w:p>
        </w:tc>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FedRAMP / DoD</w:t>
            </w:r>
          </w:p>
        </w:tc>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Custom</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Air-gap option, ATO support, FedRAMP-Moderate</w:t>
            </w:r>
          </w:p>
        </w:tc>
      </w:tr>
    </w:tbl>
    <w:p>
      <w:pPr>
        <w:pStyle w:val="Heading2"/>
        <w:spacing w:after="140" w:before="280"/>
      </w:pPr>
      <w:r>
        <w:rPr>
          <w:rFonts w:ascii="Arial" w:cs="Arial" w:eastAsia="Arial" w:hAnsi="Arial"/>
          <w:b/>
          <w:bCs/>
          <w:sz w:val="28"/>
          <w:szCs w:val="28"/>
        </w:rPr>
        <w:t xml:space="preserve">7.3 The category-defining moves</w:t>
      </w:r>
    </w:p>
    <w:p>
      <w:pPr>
        <w:pStyle w:val="ListParagraph"/>
        <w:numPr>
          <w:ilvl w:val="0"/>
          <w:numId w:val="3"/>
        </w:numPr>
        <w:spacing w:after="40" w:before="40" w:line="300"/>
      </w:pPr>
      <w:r>
        <w:rPr>
          <w:rFonts w:ascii="Arial" w:cs="Arial" w:eastAsia="Arial" w:hAnsi="Arial"/>
          <w:sz w:val="22"/>
          <w:szCs w:val="22"/>
        </w:rPr>
        <w:t xml:space="preserve">Publish a public quarterly "State of Coding Agent Activity" report — anonymized, aggregated stats on what the industry's coding agents are doing. This is to coding-agent governance what the Verizon DBIR is to security: the citation everyone uses.</w:t>
      </w:r>
    </w:p>
    <w:p>
      <w:pPr>
        <w:pStyle w:val="ListParagraph"/>
        <w:numPr>
          <w:ilvl w:val="0"/>
          <w:numId w:val="3"/>
        </w:numPr>
        <w:spacing w:after="40" w:before="40" w:line="300"/>
      </w:pPr>
      <w:r>
        <w:rPr>
          <w:rFonts w:ascii="Arial" w:cs="Arial" w:eastAsia="Arial" w:hAnsi="Arial"/>
          <w:sz w:val="22"/>
          <w:szCs w:val="22"/>
        </w:rPr>
        <w:t xml:space="preserve">Run an industry incident post-mortem program. When a public coding-agent incident lands, we publish a free, vendor-neutral analysis within 72 hours showing how the incident would have been prevented with proper governance. We become the trusted analyst voice in the category.</w:t>
      </w:r>
    </w:p>
    <w:p>
      <w:pPr>
        <w:pStyle w:val="ListParagraph"/>
        <w:numPr>
          <w:ilvl w:val="0"/>
          <w:numId w:val="3"/>
        </w:numPr>
        <w:spacing w:after="40" w:before="40" w:line="300"/>
      </w:pPr>
      <w:r>
        <w:rPr>
          <w:rFonts w:ascii="Arial" w:cs="Arial" w:eastAsia="Arial" w:hAnsi="Arial"/>
          <w:sz w:val="22"/>
          <w:szCs w:val="22"/>
        </w:rPr>
        <w:t xml:space="preserve">Sponsor the open standard. Continue contributing to agentskills.io, AGENTS.md, and the Linux Foundation Agentic AI Foundation. Owning the standard is impossible; being the most-trusted contributor is achievable.</w:t>
      </w:r>
    </w:p>
    <w:p>
      <w:pPr>
        <w:pStyle w:val="ListParagraph"/>
        <w:numPr>
          <w:ilvl w:val="0"/>
          <w:numId w:val="3"/>
        </w:numPr>
        <w:spacing w:after="40" w:before="40" w:line="300"/>
      </w:pPr>
      <w:r>
        <w:rPr>
          <w:rFonts w:ascii="Arial" w:cs="Arial" w:eastAsia="Arial" w:hAnsi="Arial"/>
          <w:sz w:val="22"/>
          <w:szCs w:val="22"/>
        </w:rPr>
        <w:t xml:space="preserve">Win the analyst slot. Forrester Wave / Gartner MQ category creation: "Coding Agent Governance Platforms" by month 18.</w:t>
      </w:r>
    </w:p>
    <w:p>
      <w:pPr>
        <w:pStyle w:val="Heading1"/>
        <w:pageBreakBefore/>
        <w:spacing w:after="180" w:before="360"/>
      </w:pPr>
      <w:r>
        <w:rPr>
          <w:rFonts w:ascii="Arial" w:cs="Arial" w:eastAsia="Arial" w:hAnsi="Arial"/>
          <w:b/>
          <w:bCs/>
          <w:sz w:val="36"/>
          <w:szCs w:val="36"/>
        </w:rPr>
        <w:t xml:space="preserve">8. Success metrics</w:t>
      </w:r>
    </w:p>
    <w:p>
      <w:pPr>
        <w:pStyle w:val="Heading2"/>
        <w:spacing w:after="140" w:before="280"/>
      </w:pPr>
      <w:r>
        <w:rPr>
          <w:rFonts w:ascii="Arial" w:cs="Arial" w:eastAsia="Arial" w:hAnsi="Arial"/>
          <w:b/>
          <w:bCs/>
          <w:sz w:val="28"/>
          <w:szCs w:val="28"/>
        </w:rPr>
        <w:t xml:space="preserve">8.1 Product metrics</w:t>
      </w:r>
    </w:p>
    <w:p>
      <w:pPr>
        <w:pStyle w:val="ListParagraph"/>
        <w:numPr>
          <w:ilvl w:val="0"/>
          <w:numId w:val="2"/>
        </w:numPr>
        <w:spacing w:after="40" w:before="40" w:line="300"/>
      </w:pPr>
      <w:r>
        <w:rPr>
          <w:rFonts w:ascii="Arial" w:cs="Arial" w:eastAsia="Arial" w:hAnsi="Arial"/>
          <w:sz w:val="22"/>
          <w:szCs w:val="22"/>
        </w:rPr>
        <w:t xml:space="preserve">Time-to-first-value: a new tenant sees their first agent action in Activity within 15 minutes of connecting their first integration.</w:t>
      </w:r>
    </w:p>
    <w:p>
      <w:pPr>
        <w:pStyle w:val="ListParagraph"/>
        <w:numPr>
          <w:ilvl w:val="0"/>
          <w:numId w:val="2"/>
        </w:numPr>
        <w:spacing w:after="40" w:before="40" w:line="300"/>
      </w:pPr>
      <w:r>
        <w:rPr>
          <w:rFonts w:ascii="Arial" w:cs="Arial" w:eastAsia="Arial" w:hAnsi="Arial"/>
          <w:sz w:val="22"/>
          <w:szCs w:val="22"/>
        </w:rPr>
        <w:t xml:space="preserve">Daily active investigators: ratio of users who opened a session in Replay or filed a violation per business day.</w:t>
      </w:r>
    </w:p>
    <w:p>
      <w:pPr>
        <w:pStyle w:val="ListParagraph"/>
        <w:numPr>
          <w:ilvl w:val="0"/>
          <w:numId w:val="2"/>
        </w:numPr>
        <w:spacing w:after="40" w:before="40" w:line="300"/>
      </w:pPr>
      <w:r>
        <w:rPr>
          <w:rFonts w:ascii="Arial" w:cs="Arial" w:eastAsia="Arial" w:hAnsi="Arial"/>
          <w:sz w:val="22"/>
          <w:szCs w:val="22"/>
        </w:rPr>
        <w:t xml:space="preserve">Policy adoption: median number of active policies per tenant after 30 / 60 / 90 days.</w:t>
      </w:r>
    </w:p>
    <w:p>
      <w:pPr>
        <w:pStyle w:val="ListParagraph"/>
        <w:numPr>
          <w:ilvl w:val="0"/>
          <w:numId w:val="2"/>
        </w:numPr>
        <w:spacing w:after="40" w:before="40" w:line="300"/>
      </w:pPr>
      <w:r>
        <w:rPr>
          <w:rFonts w:ascii="Arial" w:cs="Arial" w:eastAsia="Arial" w:hAnsi="Arial"/>
          <w:sz w:val="22"/>
          <w:szCs w:val="22"/>
        </w:rPr>
        <w:t xml:space="preserve">Coverage: % of agent actions across the tenant's fleet flowing through at least one ingest path. Target 95%+ by day 90.</w:t>
      </w:r>
    </w:p>
    <w:p>
      <w:pPr>
        <w:pStyle w:val="ListParagraph"/>
        <w:numPr>
          <w:ilvl w:val="0"/>
          <w:numId w:val="2"/>
        </w:numPr>
        <w:spacing w:after="40" w:before="40" w:line="300"/>
      </w:pPr>
      <w:r>
        <w:rPr>
          <w:rFonts w:ascii="Arial" w:cs="Arial" w:eastAsia="Arial" w:hAnsi="Arial"/>
          <w:sz w:val="22"/>
          <w:szCs w:val="22"/>
        </w:rPr>
        <w:t xml:space="preserve">Audit export utility: % of customers who export at least one evidence pack per quarter (proxy for buyer-value perception).</w:t>
      </w:r>
    </w:p>
    <w:p>
      <w:pPr>
        <w:pStyle w:val="Heading2"/>
        <w:spacing w:after="140" w:before="280"/>
      </w:pPr>
      <w:r>
        <w:rPr>
          <w:rFonts w:ascii="Arial" w:cs="Arial" w:eastAsia="Arial" w:hAnsi="Arial"/>
          <w:b/>
          <w:bCs/>
          <w:sz w:val="28"/>
          <w:szCs w:val="28"/>
        </w:rPr>
        <w:t xml:space="preserve">8.2 Business metrics</w:t>
      </w:r>
    </w:p>
    <w:p>
      <w:pPr>
        <w:pStyle w:val="ListParagraph"/>
        <w:numPr>
          <w:ilvl w:val="0"/>
          <w:numId w:val="2"/>
        </w:numPr>
        <w:spacing w:after="40" w:before="40" w:line="300"/>
      </w:pPr>
      <w:r>
        <w:rPr>
          <w:rFonts w:ascii="Arial" w:cs="Arial" w:eastAsia="Arial" w:hAnsi="Arial"/>
          <w:sz w:val="22"/>
          <w:szCs w:val="22"/>
        </w:rPr>
        <w:t xml:space="preserve">Logo growth: 5 paying enterprise logos by month 6, 25 by month 12, 80 by month 18.</w:t>
      </w:r>
    </w:p>
    <w:p>
      <w:pPr>
        <w:pStyle w:val="ListParagraph"/>
        <w:numPr>
          <w:ilvl w:val="0"/>
          <w:numId w:val="2"/>
        </w:numPr>
        <w:spacing w:after="40" w:before="40" w:line="300"/>
      </w:pPr>
      <w:r>
        <w:rPr>
          <w:rFonts w:ascii="Arial" w:cs="Arial" w:eastAsia="Arial" w:hAnsi="Arial"/>
          <w:sz w:val="22"/>
          <w:szCs w:val="22"/>
        </w:rPr>
        <w:t xml:space="preserve">ARR per logo: median $300k+ in enterprise tier.</w:t>
      </w:r>
    </w:p>
    <w:p>
      <w:pPr>
        <w:pStyle w:val="ListParagraph"/>
        <w:numPr>
          <w:ilvl w:val="0"/>
          <w:numId w:val="2"/>
        </w:numPr>
        <w:spacing w:after="40" w:before="40" w:line="300"/>
      </w:pPr>
      <w:r>
        <w:rPr>
          <w:rFonts w:ascii="Arial" w:cs="Arial" w:eastAsia="Arial" w:hAnsi="Arial"/>
          <w:sz w:val="22"/>
          <w:szCs w:val="22"/>
        </w:rPr>
        <w:t xml:space="preserve">Net dollar retention: 130%+ by month 18.</w:t>
      </w:r>
    </w:p>
    <w:p>
      <w:pPr>
        <w:pStyle w:val="ListParagraph"/>
        <w:numPr>
          <w:ilvl w:val="0"/>
          <w:numId w:val="2"/>
        </w:numPr>
        <w:spacing w:after="40" w:before="40" w:line="300"/>
      </w:pPr>
      <w:r>
        <w:rPr>
          <w:rFonts w:ascii="Arial" w:cs="Arial" w:eastAsia="Arial" w:hAnsi="Arial"/>
          <w:sz w:val="22"/>
          <w:szCs w:val="22"/>
        </w:rPr>
        <w:t xml:space="preserve">Compliance velocity: SOC2 Type II in month 9, ISO 27001 in month 12, FedRAMP-Mod ATO process started by month 12.</w:t>
      </w:r>
    </w:p>
    <w:p>
      <w:pPr>
        <w:pStyle w:val="Heading2"/>
        <w:spacing w:after="140" w:before="280"/>
      </w:pPr>
      <w:r>
        <w:rPr>
          <w:rFonts w:ascii="Arial" w:cs="Arial" w:eastAsia="Arial" w:hAnsi="Arial"/>
          <w:b/>
          <w:bCs/>
          <w:sz w:val="28"/>
          <w:szCs w:val="28"/>
        </w:rPr>
        <w:t xml:space="preserve">8.3 Category metrics</w:t>
      </w:r>
    </w:p>
    <w:p>
      <w:pPr>
        <w:pStyle w:val="ListParagraph"/>
        <w:numPr>
          <w:ilvl w:val="0"/>
          <w:numId w:val="2"/>
        </w:numPr>
        <w:spacing w:after="40" w:before="40" w:line="300"/>
      </w:pPr>
      <w:r>
        <w:rPr>
          <w:rFonts w:ascii="Arial" w:cs="Arial" w:eastAsia="Arial" w:hAnsi="Arial"/>
          <w:sz w:val="22"/>
          <w:szCs w:val="22"/>
        </w:rPr>
        <w:t xml:space="preserve">Skilgen Score badge present on &gt;25% of skills in major public marketplaces by month 12.</w:t>
      </w:r>
    </w:p>
    <w:p>
      <w:pPr>
        <w:pStyle w:val="ListParagraph"/>
        <w:numPr>
          <w:ilvl w:val="0"/>
          <w:numId w:val="2"/>
        </w:numPr>
        <w:spacing w:after="40" w:before="40" w:line="300"/>
      </w:pPr>
      <w:r>
        <w:rPr>
          <w:rFonts w:ascii="Arial" w:cs="Arial" w:eastAsia="Arial" w:hAnsi="Arial"/>
          <w:sz w:val="22"/>
          <w:szCs w:val="22"/>
        </w:rPr>
        <w:t xml:space="preserve">Cited as named example in at least one analyst report (Forrester / Gartner / IDC) by month 18.</w:t>
      </w:r>
    </w:p>
    <w:p>
      <w:pPr>
        <w:pStyle w:val="ListParagraph"/>
        <w:numPr>
          <w:ilvl w:val="0"/>
          <w:numId w:val="2"/>
        </w:numPr>
        <w:spacing w:after="40" w:before="40" w:line="300"/>
      </w:pPr>
      <w:r>
        <w:rPr>
          <w:rFonts w:ascii="Arial" w:cs="Arial" w:eastAsia="Arial" w:hAnsi="Arial"/>
          <w:sz w:val="22"/>
          <w:szCs w:val="22"/>
        </w:rPr>
        <w:t xml:space="preserve">Inbound "who governs your coding agents?" search traffic and brand search volume on "Skilgen" / "Skillayer" trending up quarter-over-quarter.</w:t>
      </w:r>
    </w:p>
    <w:p>
      <w:pPr>
        <w:pStyle w:val="Heading1"/>
        <w:pageBreakBefore/>
        <w:spacing w:after="180" w:before="360"/>
      </w:pPr>
      <w:r>
        <w:rPr>
          <w:rFonts w:ascii="Arial" w:cs="Arial" w:eastAsia="Arial" w:hAnsi="Arial"/>
          <w:b/>
          <w:bCs/>
          <w:sz w:val="36"/>
          <w:szCs w:val="36"/>
        </w:rPr>
        <w:t xml:space="preserve">9. 12-month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4000"/>
        <w:gridCol w:w="2360"/>
      </w:tblGrid>
      <w:tr>
        <w:trPr>
          <w:tblHeader/>
        </w:trPr>
        <w:tc>
          <w:tcPr>
            <w:tcW w:type="dxa" w:w="17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Phase</w:t>
            </w:r>
          </w:p>
        </w:tc>
        <w:tc>
          <w:tcPr>
            <w:tcW w:type="dxa" w:w="13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Window</w:t>
            </w:r>
          </w:p>
        </w:tc>
        <w:tc>
          <w:tcPr>
            <w:tcW w:type="dxa" w:w="40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Themes</w:t>
            </w:r>
          </w:p>
        </w:tc>
        <w:tc>
          <w:tcPr>
            <w:tcW w:type="dxa" w:w="23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Exit criteria</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M0 — IA cleanup</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Weeks 1–3</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Sidebar reduced to 6 items. v7 surfaces deprecated or merged. Activity becomes default landing.</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All v7 routes redirect; new IA shipped to existing tenants behind feature flag.</w:t>
            </w:r>
          </w:p>
        </w:tc>
      </w:tr>
      <w:tr>
        <w:tc>
          <w:tcPr>
            <w:tcW w:type="dxa" w:w="1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M1 — Activity GA</w:t>
            </w:r>
          </w:p>
        </w:tc>
        <w:tc>
          <w:tcPr>
            <w:tcW w:type="dxa" w:w="13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Months 1–3</w:t>
            </w:r>
          </w:p>
        </w:tc>
        <w:tc>
          <w:tcPr>
            <w:tcW w:type="dxa" w:w="40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Live feed, Sessions, Replay, Heatmap. Hooks for Claude Code + Codex + GitHub. Read-only.</w:t>
            </w:r>
          </w:p>
        </w:tc>
        <w:tc>
          <w:tcPr>
            <w:tcW w:type="dxa" w:w="23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5 design partners running Activity in production daily.</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M2 — Policy beta</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Months 3–5</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Rules DSL, Violations queue, Approvals queue, starter library. Enforcement via hooks on Claude Code + Codex.</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10 policies live in 3 design partners, &lt; 50ms decision p95.</w:t>
            </w:r>
          </w:p>
        </w:tc>
      </w:tr>
      <w:tr>
        <w:tc>
          <w:tcPr>
            <w:tcW w:type="dxa" w:w="1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M3 — Audit GA + SOC2 Type I</w:t>
            </w:r>
          </w:p>
        </w:tc>
        <w:tc>
          <w:tcPr>
            <w:tcW w:type="dxa" w:w="13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Months 5–8</w:t>
            </w:r>
          </w:p>
        </w:tc>
        <w:tc>
          <w:tcPr>
            <w:tcW w:type="dxa" w:w="40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Hash-chained event log, exports, evidence packs (SOC2, internal-IP). SIEM integrations.</w:t>
            </w:r>
          </w:p>
        </w:tc>
        <w:tc>
          <w:tcPr>
            <w:tcW w:type="dxa" w:w="23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First evidence pack delivered to a customer's actual auditor; positive feedback. SOC2 Type I report.</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M4 — Skills substrate refresh</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Months 6–9</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Score, Drift, Provenance, SkillQL surfaces re-shipped under new IA. Open-source the algorithm + spec.</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Score badge appears on at least one external marketplace.</w:t>
            </w:r>
          </w:p>
        </w:tc>
      </w:tr>
      <w:tr>
        <w:tc>
          <w:tcPr>
            <w:tcW w:type="dxa" w:w="1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M5 — Insights + breadth</w:t>
            </w:r>
          </w:p>
        </w:tc>
        <w:tc>
          <w:tcPr>
            <w:tcW w:type="dxa" w:w="13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Months 9–11</w:t>
            </w:r>
          </w:p>
        </w:tc>
        <w:tc>
          <w:tcPr>
            <w:tcW w:type="dxa" w:w="40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Fleet KPIs, Risky agents/repos, Coverage SLA. Cursor + Windsurf + Copilot + GitLab Duo connectors.</w:t>
            </w:r>
          </w:p>
        </w:tc>
        <w:tc>
          <w:tcPr>
            <w:tcW w:type="dxa" w:w="23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Cross-provider coverage demonstrated in customer fleets.</w:t>
            </w:r>
          </w:p>
        </w:tc>
      </w:tr>
      <w:tr>
        <w:tc>
          <w:tcPr>
            <w:tcW w:type="dxa" w:w="1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M6 — Enterprise readiness</w:t>
            </w:r>
          </w:p>
        </w:tc>
        <w:tc>
          <w:tcPr>
            <w:tcW w:type="dxa" w:w="13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Months 9–12</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Customer-VPC deployment option, SCIM, advanced RBAC, SOC2 Type II, ISO 27001 readiness audit.</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First Customer-VPC deployment closed; SOC2 Type II report.</w:t>
            </w:r>
          </w:p>
        </w:tc>
      </w:tr>
      <w:tr>
        <w:tc>
          <w:tcPr>
            <w:tcW w:type="dxa" w:w="17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M7 — Category creation</w:t>
            </w:r>
          </w:p>
        </w:tc>
        <w:tc>
          <w:tcPr>
            <w:tcW w:type="dxa" w:w="13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Months 12+</w:t>
            </w:r>
          </w:p>
        </w:tc>
        <w:tc>
          <w:tcPr>
            <w:tcW w:type="dxa" w:w="40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Quarterly State of Coding Agent Activity report, incident post-mortem program, analyst briefings.</w:t>
            </w:r>
          </w:p>
        </w:tc>
        <w:tc>
          <w:tcPr>
            <w:tcW w:type="dxa" w:w="23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Named in at least one analyst note; invited to sit on at least one industry working group.</w:t>
            </w:r>
          </w:p>
        </w:tc>
      </w:tr>
    </w:tbl>
    <w:p>
      <w:pPr>
        <w:pStyle w:val="Heading1"/>
        <w:pageBreakBefore/>
        <w:spacing w:after="180" w:before="360"/>
      </w:pPr>
      <w:r>
        <w:rPr>
          <w:rFonts w:ascii="Arial" w:cs="Arial" w:eastAsia="Arial" w:hAnsi="Arial"/>
          <w:b/>
          <w:bCs/>
          <w:sz w:val="36"/>
          <w:szCs w:val="36"/>
        </w:rP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00"/>
        <w:gridCol w:w="1100"/>
        <w:gridCol w:w="4260"/>
      </w:tblGrid>
      <w:tr>
        <w:trPr>
          <w:tblHeader/>
        </w:trPr>
        <w:tc>
          <w:tcPr>
            <w:tcW w:type="dxa" w:w="29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Impact</w:t>
            </w:r>
          </w:p>
        </w:tc>
        <w:tc>
          <w:tcPr>
            <w:tcW w:type="dxa" w:w="4260"/>
            <w:tcBorders>
              <w:top w:val="single" w:color="CCCCCC" w:sz="1"/>
              <w:left w:val="single" w:color="CCCCCC" w:sz="1"/>
              <w:bottom w:val="single" w:color="CCCCCC" w:sz="1"/>
              <w:right w:val="single" w:color="CCCCCC" w:sz="1"/>
            </w:tcBorders>
            <w:shd w:fill="1F2937" w:color="auto" w:val="clear"/>
            <w:tcMar>
              <w:top w:type="dxa" w:w="100"/>
              <w:left w:type="dxa" w:w="140"/>
              <w:bottom w:type="dxa" w:w="100"/>
              <w:right w:type="dxa" w:w="140"/>
            </w:tcMar>
          </w:tcPr>
          <w:p>
            <w:pPr>
              <w:spacing w:after="20" w:before="20" w:line="280"/>
            </w:pPr>
            <w:r>
              <w:rPr>
                <w:rFonts w:ascii="Arial" w:cs="Arial" w:eastAsia="Arial" w:hAnsi="Arial"/>
                <w:b/>
                <w:bCs/>
                <w:color w:val="FFFFFF"/>
                <w:sz w:val="20"/>
                <w:szCs w:val="20"/>
              </w:rPr>
              <w:t xml:space="preserve">Mitigation</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Anthropic ships first-party governance for Claude Code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Lean into cross-provider neutrality; partner with Anthropic on the open standard so we're the recommended cross-provider answer</w:t>
            </w:r>
          </w:p>
        </w:tc>
      </w:tr>
      <w:tr>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GitLab + Anthropic partnership extends to full coding-agent governance</w:t>
            </w:r>
          </w:p>
        </w:tc>
        <w:tc>
          <w:tcPr>
            <w:tcW w:type="dxa" w:w="11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Move fast on Codex / Cursor / Windsurf integrations; GitLab's bundle is single-vendor SDLC, not cross-vendor</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Compliance certs take longer than planned</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Engage a Big 4 audit firm in month 2; Type I in month 9 is non-negotiable</w:t>
            </w:r>
          </w:p>
        </w:tc>
      </w:tr>
      <w:tr>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Enforcement integrations are blocked by lab APIs</w:t>
            </w:r>
          </w:p>
        </w:tc>
        <w:tc>
          <w:tcPr>
            <w:tcW w:type="dxa" w:w="11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Multiple enforcement points (hooks, MCP middleware, CI gates, OS-level fallback) so no single API gates us</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First public coding-agent incident hits a competitor first; they get the category name</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Critical</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Be loud now: thought leadership, the quarterly report, conference presence, define the vocabulary before the incident</w:t>
            </w:r>
          </w:p>
        </w:tc>
      </w:tr>
      <w:tr>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Policy false positives cause developer revolt at design partners</w:t>
            </w:r>
          </w:p>
        </w:tc>
        <w:tc>
          <w:tcPr>
            <w:tcW w:type="dxa" w:w="11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High</w:t>
            </w:r>
          </w:p>
        </w:tc>
        <w:tc>
          <w:tcPr>
            <w:tcW w:type="dxa" w:w="42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log_only / shadow mode is a first-class decision verb; staged rollout per repo tier</w:t>
            </w:r>
          </w:p>
        </w:tc>
      </w:tr>
      <w:tr>
        <w:tc>
          <w:tcPr>
            <w:tcW w:type="dxa" w:w="29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Skilgen Score gets dismissed as marketing</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20" w:before="20" w:line="280"/>
            </w:pPr>
            <w:r>
              <w:rPr>
                <w:rFonts w:ascii="Arial" w:cs="Arial" w:eastAsia="Arial" w:hAnsi="Arial"/>
                <w:sz w:val="20"/>
                <w:szCs w:val="20"/>
              </w:rPr>
              <w:t xml:space="preserve">Open spec, open algorithm, third-party audit of the rubric, peer-reviewed methodology paper</w:t>
            </w:r>
          </w:p>
        </w:tc>
      </w:tr>
      <w:tr>
        <w:tc>
          <w:tcPr>
            <w:tcW w:type="dxa" w:w="29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Sales cycle is much longer than 90 days</w:t>
            </w:r>
          </w:p>
        </w:tc>
        <w:tc>
          <w:tcPr>
            <w:tcW w:type="dxa" w:w="11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High</w:t>
            </w:r>
          </w:p>
        </w:tc>
        <w:tc>
          <w:tcPr>
            <w:tcW w:type="dxa" w:w="110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Medium</w:t>
            </w:r>
          </w:p>
        </w:tc>
        <w:tc>
          <w:tcPr>
            <w:tcW w:type="dxa" w:w="4260"/>
            <w:tcBorders>
              <w:top w:val="single" w:color="CCCCCC" w:sz="1"/>
              <w:left w:val="single" w:color="CCCCCC" w:sz="1"/>
              <w:bottom w:val="single" w:color="CCCCCC" w:sz="1"/>
              <w:right w:val="single" w:color="CCCCCC" w:sz="1"/>
            </w:tcBorders>
            <w:shd w:fill="F8FAFC" w:color="auto" w:val="clear"/>
            <w:tcMar>
              <w:top w:type="dxa" w:w="100"/>
              <w:left w:type="dxa" w:w="140"/>
              <w:bottom w:type="dxa" w:w="100"/>
              <w:right w:type="dxa" w:w="140"/>
            </w:tcMar>
          </w:tcPr>
          <w:p>
            <w:pPr>
              <w:spacing w:after="20" w:before="20" w:line="280"/>
            </w:pPr>
            <w:r>
              <w:rPr>
                <w:rFonts w:ascii="Arial" w:cs="Arial" w:eastAsia="Arial" w:hAnsi="Arial"/>
                <w:sz w:val="20"/>
                <w:szCs w:val="20"/>
              </w:rPr>
              <w:t xml:space="preserve">Land via Pilot SOWs not full procurement; budget for 6–9 month average enterprise sales cycle</w:t>
            </w:r>
          </w:p>
        </w:tc>
      </w:tr>
    </w:tbl>
    <w:p>
      <w:pPr>
        <w:pStyle w:val="Heading1"/>
        <w:pageBreakBefore/>
        <w:spacing w:after="180" w:before="360"/>
      </w:pPr>
      <w:r>
        <w:rPr>
          <w:rFonts w:ascii="Arial" w:cs="Arial" w:eastAsia="Arial" w:hAnsi="Arial"/>
          <w:b/>
          <w:bCs/>
          <w:sz w:val="36"/>
          <w:szCs w:val="36"/>
        </w:rPr>
        <w:t xml:space="preserve">11. Open questions for engineering review</w:t>
      </w:r>
    </w:p>
    <w:p>
      <w:pPr>
        <w:pStyle w:val="ListParagraph"/>
        <w:numPr>
          <w:ilvl w:val="0"/>
          <w:numId w:val="3"/>
        </w:numPr>
        <w:spacing w:after="40" w:before="40" w:line="300"/>
      </w:pPr>
      <w:r>
        <w:rPr>
          <w:rFonts w:ascii="Arial" w:cs="Arial" w:eastAsia="Arial" w:hAnsi="Arial"/>
          <w:sz w:val="22"/>
          <w:szCs w:val="22"/>
        </w:rPr>
        <w:t xml:space="preserve">Hooks vs MCP middleware as primary enforcement point: which gives lower latency at p99 across providers? Build a benchmark spike in week 2.</w:t>
      </w:r>
    </w:p>
    <w:p>
      <w:pPr>
        <w:pStyle w:val="ListParagraph"/>
        <w:numPr>
          <w:ilvl w:val="0"/>
          <w:numId w:val="3"/>
        </w:numPr>
        <w:spacing w:after="40" w:before="40" w:line="300"/>
      </w:pPr>
      <w:r>
        <w:rPr>
          <w:rFonts w:ascii="Arial" w:cs="Arial" w:eastAsia="Arial" w:hAnsi="Arial"/>
          <w:sz w:val="22"/>
          <w:szCs w:val="22"/>
        </w:rPr>
        <w:t xml:space="preserve">Hash-chain implementation: roll our own (Merkle log) vs adopt Sigstore's transparency log primitives directly? Lean adopt; confirm with security review.</w:t>
      </w:r>
    </w:p>
    <w:p>
      <w:pPr>
        <w:pStyle w:val="ListParagraph"/>
        <w:numPr>
          <w:ilvl w:val="0"/>
          <w:numId w:val="3"/>
        </w:numPr>
        <w:spacing w:after="40" w:before="40" w:line="300"/>
      </w:pPr>
      <w:r>
        <w:rPr>
          <w:rFonts w:ascii="Arial" w:cs="Arial" w:eastAsia="Arial" w:hAnsi="Arial"/>
          <w:sz w:val="22"/>
          <w:szCs w:val="22"/>
        </w:rPr>
        <w:t xml:space="preserve">ClickHouse vs Postgres + materialized views vs TimescaleDB for the hot tier? Spike at expected event volumes (target: 10M events/day per large tenant).</w:t>
      </w:r>
    </w:p>
    <w:p>
      <w:pPr>
        <w:pStyle w:val="ListParagraph"/>
        <w:numPr>
          <w:ilvl w:val="0"/>
          <w:numId w:val="3"/>
        </w:numPr>
        <w:spacing w:after="40" w:before="40" w:line="300"/>
      </w:pPr>
      <w:r>
        <w:rPr>
          <w:rFonts w:ascii="Arial" w:cs="Arial" w:eastAsia="Arial" w:hAnsi="Arial"/>
          <w:sz w:val="22"/>
          <w:szCs w:val="22"/>
        </w:rPr>
        <w:t xml:space="preserve">Policy DSL: roll our own constrained YAML vs adopt OPA/Rego directly? Trade-off is ramp curve vs ecosystem. Lean: ship our YAML for 80% case, Rego escape hatch for the long tail.</w:t>
      </w:r>
    </w:p>
    <w:p>
      <w:pPr>
        <w:pStyle w:val="ListParagraph"/>
        <w:numPr>
          <w:ilvl w:val="0"/>
          <w:numId w:val="3"/>
        </w:numPr>
        <w:spacing w:after="40" w:before="40" w:line="300"/>
      </w:pPr>
      <w:r>
        <w:rPr>
          <w:rFonts w:ascii="Arial" w:cs="Arial" w:eastAsia="Arial" w:hAnsi="Arial"/>
          <w:sz w:val="22"/>
          <w:szCs w:val="22"/>
        </w:rPr>
        <w:t xml:space="preserve">How do we pull auth and identity attribution from each ingest source consistently? Each integration has its own user-identity story; we need a normalization spec.</w:t>
      </w:r>
    </w:p>
    <w:p>
      <w:pPr>
        <w:pStyle w:val="ListParagraph"/>
        <w:numPr>
          <w:ilvl w:val="0"/>
          <w:numId w:val="3"/>
        </w:numPr>
        <w:spacing w:after="40" w:before="40" w:line="300"/>
      </w:pPr>
      <w:r>
        <w:rPr>
          <w:rFonts w:ascii="Arial" w:cs="Arial" w:eastAsia="Arial" w:hAnsi="Arial"/>
          <w:sz w:val="22"/>
          <w:szCs w:val="22"/>
        </w:rPr>
        <w:t xml:space="preserve">Customer-VPC deployment: managed via our control plane (Snowflake-style) or fully self-hosted (Confluent-style)? Has implications for upgrade cadence and support burden.</w:t>
      </w:r>
    </w:p>
    <w:p>
      <w:pPr>
        <w:pStyle w:val="ListParagraph"/>
        <w:numPr>
          <w:ilvl w:val="0"/>
          <w:numId w:val="3"/>
        </w:numPr>
        <w:spacing w:after="40" w:before="40" w:line="300"/>
      </w:pPr>
      <w:r>
        <w:rPr>
          <w:rFonts w:ascii="Arial" w:cs="Arial" w:eastAsia="Arial" w:hAnsi="Arial"/>
          <w:sz w:val="22"/>
          <w:szCs w:val="22"/>
        </w:rPr>
        <w:t xml:space="preserve">Pricing metric: per seat vs per event vs per repo? Per seat aligns with how the buyer thinks about coverage; per event is the cleanest cost driver. Validate with 10 design partners.</w:t>
      </w:r>
    </w:p>
    <w:p>
      <w:pPr>
        <w:pStyle w:val="ListParagraph"/>
        <w:numPr>
          <w:ilvl w:val="0"/>
          <w:numId w:val="3"/>
        </w:numPr>
        <w:spacing w:after="40" w:before="40" w:line="300"/>
      </w:pPr>
      <w:r>
        <w:rPr>
          <w:rFonts w:ascii="Arial" w:cs="Arial" w:eastAsia="Arial" w:hAnsi="Arial"/>
          <w:sz w:val="22"/>
          <w:szCs w:val="22"/>
        </w:rPr>
        <w:t xml:space="preserve">Naming: does the product stay "Skillayer" with "Skilgen" as the OSS CLI, or do we rename the SaaS surface to make the governance positioning explicit? Candidate: Skillayer Govern, with Skilgen as OSS substrate.</w:t>
      </w:r>
    </w:p>
    <w:p>
      <w:pPr>
        <w:pStyle w:val="Heading1"/>
        <w:pageBreakBefore/>
        <w:spacing w:after="180" w:before="360"/>
      </w:pPr>
      <w:r>
        <w:rPr>
          <w:rFonts w:ascii="Arial" w:cs="Arial" w:eastAsia="Arial" w:hAnsi="Arial"/>
          <w:b/>
          <w:bCs/>
          <w:sz w:val="36"/>
          <w:szCs w:val="36"/>
        </w:rPr>
        <w:t xml:space="preserve">Appendix A — Sidebar before / after</w:t>
      </w:r>
    </w:p>
    <w:p>
      <w:pPr>
        <w:pStyle w:val="Heading2"/>
        <w:spacing w:after="140" w:before="280"/>
      </w:pPr>
      <w:r>
        <w:rPr>
          <w:rFonts w:ascii="Arial" w:cs="Arial" w:eastAsia="Arial" w:hAnsi="Arial"/>
          <w:b/>
          <w:bCs/>
          <w:sz w:val="28"/>
          <w:szCs w:val="28"/>
        </w:rPr>
        <w:t xml:space="preserve">Before (v7, ~30 items)</w:t>
      </w:r>
    </w:p>
    <w:p>
      <w:pPr>
        <w:spacing w:after="80" w:before="80" w:line="320"/>
        <w:jc w:val="left"/>
      </w:pPr>
      <w:r>
        <w:rPr>
          <w:rFonts w:ascii="Arial" w:cs="Arial" w:eastAsia="Arial" w:hAnsi="Arial"/>
          <w:b w:val="false"/>
          <w:bCs w:val="false"/>
          <w:i/>
          <w:iCs/>
          <w:color w:val="6B7280"/>
          <w:sz w:val="22"/>
          <w:szCs w:val="22"/>
        </w:rPr>
        <w:t xml:space="preserve">Overview · Repos · Skills · PR Inbox · Review · Agent Scorecard · AI Readiness · Connect Agent · Settings · My Code Today · Leaderboard · Analytics · Agent Performance · Heatmap · Intelligence · SkillQL · Skill Gaps · Skill Debt · Knowledge Risk · Red Flags · A/B Tests · Registry · Sessions · Digest · Autopilot · Sources · Coverage SLA · Half-life · Dependency Graph · Teams · Audit</w:t>
      </w:r>
    </w:p>
    <w:p>
      <w:pPr>
        <w:pStyle w:val="Heading2"/>
        <w:spacing w:after="140" w:before="280"/>
      </w:pPr>
      <w:r>
        <w:rPr>
          <w:rFonts w:ascii="Arial" w:cs="Arial" w:eastAsia="Arial" w:hAnsi="Arial"/>
          <w:b/>
          <w:bCs/>
          <w:sz w:val="28"/>
          <w:szCs w:val="28"/>
        </w:rPr>
        <w:t xml:space="preserve">After (v8, 6 items)</w:t>
      </w:r>
    </w:p>
    <w:p>
      <w:pPr>
        <w:spacing w:after="80" w:before="80" w:line="320"/>
        <w:jc w:val="left"/>
      </w:pPr>
      <w:r>
        <w:rPr>
          <w:rFonts w:ascii="Arial" w:cs="Arial" w:eastAsia="Arial" w:hAnsi="Arial"/>
          <w:b/>
          <w:bCs/>
          <w:i w:val="false"/>
          <w:iCs w:val="false"/>
          <w:sz w:val="22"/>
          <w:szCs w:val="22"/>
        </w:rPr>
        <w:t xml:space="preserve">Activity · Policy · Audit · Skills · Insights · Settings</w:t>
      </w:r>
    </w:p>
    <w:p>
      <w:pPr>
        <w:pStyle w:val="Heading1"/>
        <w:pageBreakBefore/>
        <w:spacing w:after="180" w:before="360"/>
      </w:pPr>
      <w:r>
        <w:rPr>
          <w:rFonts w:ascii="Arial" w:cs="Arial" w:eastAsia="Arial" w:hAnsi="Arial"/>
          <w:b/>
          <w:bCs/>
          <w:sz w:val="36"/>
          <w:szCs w:val="36"/>
        </w:rPr>
        <w:t xml:space="preserve">Appendix B — The category-defining sentence</w:t>
      </w:r>
    </w:p>
    <w:p>
      <w:pPr>
        <w:spacing w:after="80" w:before="80" w:line="320"/>
      </w:pPr>
      <w:r>
        <w:rPr>
          <w:rFonts w:ascii="Arial" w:cs="Arial" w:eastAsia="Arial" w:hAnsi="Arial"/>
          <w:b/>
          <w:bCs/>
          <w:sz w:val="22"/>
          <w:szCs w:val="22"/>
        </w:rPr>
        <w:t xml:space="preserve">Working candidate: </w:t>
      </w:r>
      <w:r>
        <w:rPr>
          <w:rFonts w:ascii="Arial" w:cs="Arial" w:eastAsia="Arial" w:hAnsi="Arial"/>
          <w:i/>
          <w:iCs/>
          <w:sz w:val="22"/>
          <w:szCs w:val="22"/>
        </w:rPr>
        <w:t xml:space="preserve">"You don't know what your coding agents did last night. We do."</w:t>
      </w:r>
    </w:p>
    <w:p>
      <w:pPr>
        <w:spacing w:after="80" w:before="80" w:line="320"/>
        <w:jc w:val="left"/>
      </w:pPr>
      <w:r>
        <w:rPr>
          <w:rFonts w:ascii="Arial" w:cs="Arial" w:eastAsia="Arial" w:hAnsi="Arial"/>
          <w:b w:val="false"/>
          <w:bCs w:val="false"/>
          <w:i w:val="false"/>
          <w:iCs w:val="false"/>
          <w:sz w:val="22"/>
          <w:szCs w:val="22"/>
        </w:rPr>
        <w:t xml:space="preserve">Test: a CISO can repeat it after hearing it once. A board deck can include it without further explanation. A search engine query reflects the buyer's actual concern, not our product taxonomy.</w:t>
      </w:r>
    </w:p>
    <w:p>
      <w:pPr>
        <w:spacing w:after="80" w:before="80" w:line="320"/>
        <w:jc w:val="left"/>
      </w:pPr>
      <w:r>
        <w:rPr>
          <w:rFonts w:ascii="Arial" w:cs="Arial" w:eastAsia="Arial" w:hAnsi="Arial"/>
          <w:b w:val="false"/>
          <w:bCs w:val="false"/>
          <w:i/>
          <w:iCs/>
          <w:sz w:val="22"/>
          <w:szCs w:val="22"/>
        </w:rPr>
        <w:t xml:space="preserve">Backup candidate: "The control plane for enterprise coding agents."</w:t>
      </w:r>
    </w:p>
    <w:p>
      <w:pPr>
        <w:spacing w:after="80" w:before="80" w:line="320"/>
        <w:jc w:val="left"/>
      </w:pPr>
      <w:r>
        <w:rPr>
          <w:rFonts w:ascii="Arial" w:cs="Arial" w:eastAsia="Arial" w:hAnsi="Arial"/>
          <w:b w:val="false"/>
          <w:bCs w:val="false"/>
          <w:i/>
          <w:iCs/>
          <w:sz w:val="22"/>
          <w:szCs w:val="22"/>
        </w:rPr>
        <w:t xml:space="preserve">To validate during the next three customer calls: which of the two lands faster, and what spontaneous follow-up question does each provoke?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Skilgen / Skillayer · Agent Governance Plane · PRD v8.0 · Confidential — Internal</w:t>
    </w:r>
    <w:r>
      <w:rPr>
        <w:rFonts w:ascii="Arial" w:cs="Arial" w:eastAsia="Arial" w:hAnsi="Arial"/>
        <w:color w:val="9CA3AF"/>
        <w:sz w:val="18"/>
        <w:szCs w:val="18"/>
      </w:rPr>
      <w:t xml:space="preserve">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1182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Skilgen / Skillayer Agent Governance Plane — PRD v8</dc:title>
  <dc:creator>Ravi</dc:creator>
  <cp:lastModifiedBy>Un-named</cp:lastModifiedBy>
  <cp:revision>1</cp:revision>
  <dcterms:created xsi:type="dcterms:W3CDTF">2026-05-02T05:22:14.949Z</dcterms:created>
  <dcterms:modified xsi:type="dcterms:W3CDTF">2026-05-02T05:22:15.005Z</dcterms:modified>
</cp:coreProperties>
</file>

<file path=docProps/custom.xml><?xml version="1.0" encoding="utf-8"?>
<Properties xmlns="http://schemas.openxmlformats.org/officeDocument/2006/custom-properties" xmlns:vt="http://schemas.openxmlformats.org/officeDocument/2006/docPropsVTypes"/>
</file>