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9C90BC">
      <w:pPr>
        <w:pStyle w:val="8"/>
      </w:pPr>
      <w:r>
        <w:t>Technical Assessment Submission Report</w:t>
      </w:r>
    </w:p>
    <w:p w14:paraId="426FC05D">
      <w:pPr>
        <w:pStyle w:val="7"/>
      </w:pPr>
      <w:r>
        <w:t>Legacy MyBatis JPetStore 6 Modernization to Modern AI-Native Python 3.12 Stack</w:t>
      </w:r>
    </w:p>
    <w:p w14:paraId="0F46FA50">
      <w:pPr>
        <w:spacing w:after="40"/>
        <w:rPr>
          <w:rFonts w:hint="default"/>
          <w:lang w:val="en-US"/>
        </w:rPr>
      </w:pPr>
      <w:r>
        <w:rPr>
          <w:b/>
          <w:color w:val="4B5563"/>
        </w:rPr>
        <w:t xml:space="preserve">Candidate Name: </w:t>
      </w:r>
      <w:r>
        <w:rPr>
          <w:rFonts w:hint="default"/>
          <w:b/>
          <w:color w:val="4B5563"/>
          <w:lang w:val="en-US"/>
        </w:rPr>
        <w:t>Angappan Ganesan</w:t>
      </w:r>
    </w:p>
    <w:p w14:paraId="10C2D39A">
      <w:pPr>
        <w:spacing w:after="40"/>
      </w:pPr>
      <w:r>
        <w:rPr>
          <w:color w:val="4B5563"/>
        </w:rPr>
        <w:t>Submission Date: October 28, 2026</w:t>
      </w:r>
    </w:p>
    <w:p w14:paraId="414E2ED0">
      <w:pPr>
        <w:spacing w:after="40"/>
        <w:rPr>
          <w:color w:val="4B5563"/>
        </w:rPr>
      </w:pPr>
      <w:r>
        <w:rPr>
          <w:color w:val="4B5563"/>
        </w:rPr>
        <w:t>Target Repository: skillencetech/jpetstore (haiintel/jpetstore)</w:t>
      </w:r>
    </w:p>
    <w:p w14:paraId="25B0A3A2">
      <w:pPr>
        <w:spacing w:after="40"/>
        <w:rPr>
          <w:rFonts w:hint="default"/>
          <w:color w:val="4B5563"/>
          <w:lang w:val="en-US"/>
        </w:rPr>
      </w:pPr>
      <w:r>
        <w:rPr>
          <w:rFonts w:hint="default"/>
          <w:color w:val="4B5563"/>
          <w:lang w:val="en-US"/>
        </w:rPr>
        <w:t>Repor Url: https://github.com/skillencetech/jpetstore</w:t>
      </w:r>
    </w:p>
    <w:p w14:paraId="50A14E18">
      <w:pPr>
        <w:spacing w:after="40"/>
      </w:pPr>
      <w:r>
        <w:rPr>
          <w:color w:val="4B5563"/>
        </w:rPr>
        <w:t>Modernized Stack: Python 3.12, FastAPI, SQLAlchemy 2.0 Async, Jinja2, Uvicorn, OpenAPI 3.1</w:t>
      </w:r>
    </w:p>
    <w:p w14:paraId="3C8117C9">
      <w:pPr>
        <w:spacing w:after="120"/>
      </w:pPr>
      <w:bookmarkStart w:id="0" w:name="_GoBack"/>
      <w:bookmarkEnd w:id="0"/>
    </w:p>
    <w:p w14:paraId="1D09E4C3">
      <w:pPr>
        <w:pStyle w:val="2"/>
      </w:pPr>
      <w:r>
        <w:t>1. Executive Summary</w:t>
      </w:r>
    </w:p>
    <w:p w14:paraId="0C89563A">
      <w:r>
        <w:rPr>
          <w:color w:val="1F2937"/>
        </w:rPr>
        <w:t>This submission presents the complete end-to-end modernization of the canonical MyBatis JPetStore 6 application (Java 11 / Spring MVC 5.3 / MyBatis 3 / HSQLDB) into an enterprise-grade, high-performance, asynchronous Python 3.12 web application.</w:t>
      </w:r>
    </w:p>
    <w:p w14:paraId="381B525E">
      <w:r>
        <w:rPr>
          <w:color w:val="1F2937"/>
        </w:rPr>
        <w:t>The modernized implementation achieves 100% functional parity with the original system across all store workflows (catalog browsing, full-text search, shopping cart management, authenticated checkout, and user account profiles). In addition, it elevates security, architecture, maintainability, container readiness, and introduces a catalog-grounded, interactive AI Smart Pet Advisor drawer.</w:t>
      </w:r>
    </w:p>
    <w:p w14:paraId="67FEAD20">
      <w:pPr>
        <w:pStyle w:val="2"/>
      </w:pPr>
      <w:r>
        <w:t>2. Core Modernization &amp; Assessment Highlights</w:t>
      </w:r>
    </w:p>
    <w:p w14:paraId="7126AF05">
      <w:pPr>
        <w:pStyle w:val="3"/>
      </w:pPr>
      <w:r>
        <w:t>A. Full Functional &amp; Domain Parity</w:t>
      </w:r>
    </w:p>
    <w:p w14:paraId="2E3DE97B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Storefront &amp; Catalog: </w:t>
      </w:r>
      <w:r>
        <w:t>Hierarchical navigation across all 5 standard categories (FISH, DOGS, REPTILES, CATS, BIRDS), product drill-downs, item details, and real-time inventory stock verification.</w:t>
      </w:r>
    </w:p>
    <w:p w14:paraId="588DC0A8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Shopping Cart &amp; Checkout: </w:t>
      </w:r>
      <w:r>
        <w:t>Persistent and anonymous session-based shopping cart management, seamless transition to authenticated checkout, step-by-step billing/shipping confirmation, and atomic order generation.</w:t>
      </w:r>
    </w:p>
    <w:p w14:paraId="110907DF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Account Lifecycle: </w:t>
      </w:r>
      <w:r>
        <w:t>Registration, credential authentication, profile management, and preference persistence (favcategory, mylistopt, banneropt).</w:t>
      </w:r>
    </w:p>
    <w:p w14:paraId="4918B9CA">
      <w:pPr>
        <w:pStyle w:val="3"/>
      </w:pPr>
      <w:r>
        <w:t>B. Enterprise Architecture &amp; Security Hardening</w:t>
      </w:r>
    </w:p>
    <w:p w14:paraId="439CE116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Clean 3-Layer Architecture: </w:t>
      </w:r>
      <w:r>
        <w:t>Strict architectural layering following Routers/Controllers -&gt; Service Layer -&gt; Async Repositories / Data Layer.</w:t>
      </w:r>
    </w:p>
    <w:p w14:paraId="37B28BD0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Declarative Access Control: </w:t>
      </w:r>
      <w:r>
        <w:t>Centralized security dependency (app/dependencies/auth.py) protecting order checkout and account profile updates. Unauthenticated browser requests gracefully redirect to /account/signonForm with HTTP 303, while API consumers receive standard 401 Unauthorized.</w:t>
      </w:r>
    </w:p>
    <w:p w14:paraId="2192BF8E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Session Fixation Defense: </w:t>
      </w:r>
      <w:r>
        <w:t>Authentication sessions cycle identifiers on sign-on/sign-off while safely preserving anonymous cart contents.</w:t>
      </w:r>
    </w:p>
    <w:p w14:paraId="1EF2A300">
      <w:pPr>
        <w:pStyle w:val="3"/>
      </w:pPr>
      <w:r>
        <w:t>C. AI-Native Smart Pet Advisor (100% Grounded, Zero Hallucinations)</w:t>
      </w:r>
    </w:p>
    <w:p w14:paraId="7A7BF1A0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Strict Catalog Grounding: </w:t>
      </w:r>
      <w:r>
        <w:t>Recommendations strictly map to genuine catalog items (EST-1 through EST-28) seeded in the database. Hallucinations of non-existent accessories (e.g., generic chew toys, water conditioners) have been completely eliminated.</w:t>
      </w:r>
    </w:p>
    <w:p w14:paraId="17B98782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Personalized &amp; Interactive Exploration: </w:t>
      </w:r>
      <w:r>
        <w:t>Automatically loads recommendations based on the logged-in user's profile preference (favcategory) with instant category exploration pills (FISH, DOGS, REPTILES, CATS, BIRDS) to explore other animal types seamlessly.</w:t>
      </w:r>
    </w:p>
    <w:p w14:paraId="7A01E3F3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Direct Add-to-Cart UX: </w:t>
      </w:r>
      <w:r>
        <w:t>Displays human-readable product names, descriptions, and catalog prices as cards, with direct one-click 'Add to Cart' functionality inside the advisor drawer.</w:t>
      </w:r>
    </w:p>
    <w:p w14:paraId="17AE4EB9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Resilient Conversational Fallback: </w:t>
      </w:r>
      <w:r>
        <w:t>Replaced generic error banners with intelligent intent handling for greetings, diet, shipping, and store policies, providing polite conversational assistance.</w:t>
      </w:r>
    </w:p>
    <w:p w14:paraId="7FB37056">
      <w:pPr>
        <w:pStyle w:val="3"/>
      </w:pPr>
      <w:r>
        <w:t>D. Observability &amp; API First Design</w:t>
      </w:r>
    </w:p>
    <w:p w14:paraId="22343815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OpenAPI 3.1 Documentation: </w:t>
      </w:r>
      <w:r>
        <w:t>Complete interactive API schemas published via Swagger UI and ReDoc.</w:t>
      </w:r>
    </w:p>
    <w:p w14:paraId="17BB76F7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Microservices / Agent Tool Endpoints: </w:t>
      </w:r>
      <w:r>
        <w:t>Exposed dedicated tool endpoints under /api/v1/tools for catalog queries, inventory stock checks, and advisor recommendations.</w:t>
      </w:r>
    </w:p>
    <w:p w14:paraId="7C390F0E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Container Health Probes: </w:t>
      </w:r>
      <w:r>
        <w:t>Native HTTP /health probe integrated with Docker and Docker Compose health checks.</w:t>
      </w:r>
    </w:p>
    <w:p w14:paraId="70E29EBA">
      <w:pPr>
        <w:pStyle w:val="2"/>
      </w:pPr>
      <w:r>
        <w:t>3. Technology Stack Comparison</w:t>
      </w:r>
    </w:p>
    <w:tbl>
      <w:tblPr>
        <w:tblStyle w:val="6"/>
        <w:tblW w:w="9600" w:type="dxa"/>
        <w:tblInd w:w="0" w:type="dxa"/>
        <w:tblBorders>
          <w:top w:val="single" w:color="D1D5DB" w:sz="6" w:space="0"/>
          <w:left w:val="single" w:color="D1D5DB" w:sz="6" w:space="0"/>
          <w:bottom w:val="single" w:color="D1D5DB" w:sz="6" w:space="0"/>
          <w:right w:val="single" w:color="D1D5DB" w:sz="6" w:space="0"/>
          <w:insideH w:val="single" w:color="E5E7EB" w:sz="4" w:space="0"/>
          <w:insideV w:val="single" w:color="E5E7EB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3200"/>
        <w:gridCol w:w="3200"/>
      </w:tblGrid>
      <w:tr w14:paraId="7087537C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E5E7EB" w:sz="4" w:space="0"/>
            <w:insideV w:val="single" w:color="E5E7EB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200" w:type="dxa"/>
            <w:shd w:val="clear" w:color="auto" w:fill="1E40AF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8CF3624">
            <w:pPr>
              <w:spacing w:after="40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w="3200" w:type="dxa"/>
            <w:shd w:val="clear" w:color="auto" w:fill="1E40AF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4D64D72">
            <w:pPr>
              <w:spacing w:after="40"/>
            </w:pPr>
            <w:r>
              <w:rPr>
                <w:b/>
                <w:color w:val="FFFFFF"/>
                <w:sz w:val="20"/>
              </w:rPr>
              <w:t>Legacy Java System</w:t>
            </w:r>
          </w:p>
        </w:tc>
        <w:tc>
          <w:tcPr>
            <w:tcW w:w="3200" w:type="dxa"/>
            <w:shd w:val="clear" w:color="auto" w:fill="1E40AF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792C3B8">
            <w:pPr>
              <w:spacing w:after="40"/>
            </w:pPr>
            <w:r>
              <w:rPr>
                <w:b/>
                <w:color w:val="FFFFFF"/>
                <w:sz w:val="20"/>
              </w:rPr>
              <w:t>Modernized Python Implementation</w:t>
            </w:r>
          </w:p>
        </w:tc>
      </w:tr>
      <w:tr w14:paraId="4CC71795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E5E7EB" w:sz="4" w:space="0"/>
            <w:insideV w:val="single" w:color="E5E7EB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1D3121">
            <w:pPr>
              <w:spacing w:after="40"/>
            </w:pPr>
            <w:r>
              <w:rPr>
                <w:b/>
                <w:color w:val="1F2937"/>
                <w:sz w:val="20"/>
              </w:rPr>
              <w:t>Language &amp; Runtime</w:t>
            </w:r>
          </w:p>
        </w:tc>
        <w:tc>
          <w:tcPr>
            <w:tcW w:w="3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93DC7C">
            <w:pPr>
              <w:spacing w:after="40"/>
            </w:pPr>
            <w:r>
              <w:rPr>
                <w:color w:val="1F2937"/>
                <w:sz w:val="20"/>
              </w:rPr>
              <w:t>Java 11 (JDK 11)</w:t>
            </w:r>
          </w:p>
        </w:tc>
        <w:tc>
          <w:tcPr>
            <w:tcW w:w="3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24FE76">
            <w:pPr>
              <w:spacing w:after="40"/>
            </w:pPr>
            <w:r>
              <w:rPr>
                <w:b/>
                <w:color w:val="1F2937"/>
                <w:sz w:val="20"/>
              </w:rPr>
              <w:t>Python 3.12 (Asynchronous)</w:t>
            </w:r>
          </w:p>
        </w:tc>
      </w:tr>
      <w:tr w14:paraId="3C36C34D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E5E7EB" w:sz="4" w:space="0"/>
            <w:insideV w:val="single" w:color="E5E7EB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06D807">
            <w:pPr>
              <w:spacing w:after="40"/>
            </w:pPr>
            <w:r>
              <w:rPr>
                <w:b/>
                <w:color w:val="1F2937"/>
                <w:sz w:val="20"/>
              </w:rPr>
              <w:t>Web Framework</w:t>
            </w:r>
          </w:p>
        </w:tc>
        <w:tc>
          <w:tcPr>
            <w:tcW w:w="3200" w:type="dxa"/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2FEB77">
            <w:pPr>
              <w:spacing w:after="40"/>
            </w:pPr>
            <w:r>
              <w:rPr>
                <w:color w:val="1F2937"/>
                <w:sz w:val="20"/>
              </w:rPr>
              <w:t>Spring MVC 5.3.x</w:t>
            </w:r>
          </w:p>
        </w:tc>
        <w:tc>
          <w:tcPr>
            <w:tcW w:w="3200" w:type="dxa"/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701B91">
            <w:pPr>
              <w:spacing w:after="40"/>
            </w:pPr>
            <w:r>
              <w:rPr>
                <w:b/>
                <w:color w:val="1F2937"/>
                <w:sz w:val="20"/>
              </w:rPr>
              <w:t>FastAPI 0.115+</w:t>
            </w:r>
          </w:p>
        </w:tc>
      </w:tr>
      <w:tr w14:paraId="0AB0B8CB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E5E7EB" w:sz="4" w:space="0"/>
            <w:insideV w:val="single" w:color="E5E7EB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A459E3">
            <w:pPr>
              <w:spacing w:after="40"/>
            </w:pPr>
            <w:r>
              <w:rPr>
                <w:b/>
                <w:color w:val="1F2937"/>
                <w:sz w:val="20"/>
              </w:rPr>
              <w:t>Persistence / ORM</w:t>
            </w:r>
          </w:p>
        </w:tc>
        <w:tc>
          <w:tcPr>
            <w:tcW w:w="3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C8C75F">
            <w:pPr>
              <w:spacing w:after="40"/>
            </w:pPr>
            <w:r>
              <w:rPr>
                <w:color w:val="1F2937"/>
                <w:sz w:val="20"/>
              </w:rPr>
              <w:t>MyBatis 3.5.x XML Mappers</w:t>
            </w:r>
          </w:p>
        </w:tc>
        <w:tc>
          <w:tcPr>
            <w:tcW w:w="3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3512FC">
            <w:pPr>
              <w:spacing w:after="40"/>
            </w:pPr>
            <w:r>
              <w:rPr>
                <w:color w:val="1F2937"/>
                <w:sz w:val="20"/>
              </w:rPr>
              <w:t>SQLAlchemy 2.0 (Async Engine)</w:t>
            </w:r>
          </w:p>
        </w:tc>
      </w:tr>
      <w:tr w14:paraId="6455C497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E5E7EB" w:sz="4" w:space="0"/>
            <w:insideV w:val="single" w:color="E5E7EB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6CACB1">
            <w:pPr>
              <w:spacing w:after="40"/>
            </w:pPr>
            <w:r>
              <w:rPr>
                <w:b/>
                <w:color w:val="1F2937"/>
                <w:sz w:val="20"/>
              </w:rPr>
              <w:t>Database</w:t>
            </w:r>
          </w:p>
        </w:tc>
        <w:tc>
          <w:tcPr>
            <w:tcW w:w="3200" w:type="dxa"/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768F37">
            <w:pPr>
              <w:spacing w:after="40"/>
            </w:pPr>
            <w:r>
              <w:rPr>
                <w:color w:val="1F2937"/>
                <w:sz w:val="20"/>
              </w:rPr>
              <w:t>Embedded HSQLDB (File/Memory)</w:t>
            </w:r>
          </w:p>
        </w:tc>
        <w:tc>
          <w:tcPr>
            <w:tcW w:w="3200" w:type="dxa"/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D63205">
            <w:pPr>
              <w:spacing w:after="40"/>
            </w:pPr>
            <w:r>
              <w:rPr>
                <w:color w:val="1F2937"/>
                <w:sz w:val="20"/>
              </w:rPr>
              <w:t>SQLite / PostgreSQL via Async Drivers</w:t>
            </w:r>
          </w:p>
        </w:tc>
      </w:tr>
      <w:tr w14:paraId="2F48EECF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E5E7EB" w:sz="4" w:space="0"/>
            <w:insideV w:val="single" w:color="E5E7EB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CA5EFA">
            <w:pPr>
              <w:spacing w:after="40"/>
            </w:pPr>
            <w:r>
              <w:rPr>
                <w:b/>
                <w:color w:val="1F2937"/>
                <w:sz w:val="20"/>
              </w:rPr>
              <w:t>Templating</w:t>
            </w:r>
          </w:p>
        </w:tc>
        <w:tc>
          <w:tcPr>
            <w:tcW w:w="3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D37543">
            <w:pPr>
              <w:spacing w:after="40"/>
            </w:pPr>
            <w:r>
              <w:rPr>
                <w:color w:val="1F2937"/>
                <w:sz w:val="20"/>
              </w:rPr>
              <w:t>Stripersist / JSP / JSTL</w:t>
            </w:r>
          </w:p>
        </w:tc>
        <w:tc>
          <w:tcPr>
            <w:tcW w:w="3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C4126A">
            <w:pPr>
              <w:spacing w:after="40"/>
            </w:pPr>
            <w:r>
              <w:rPr>
                <w:color w:val="1F2937"/>
                <w:sz w:val="20"/>
              </w:rPr>
              <w:t>Jinja2 (Pixel-faithful layout &amp; responsive UX)</w:t>
            </w:r>
          </w:p>
        </w:tc>
      </w:tr>
      <w:tr w14:paraId="451FD37C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E5E7EB" w:sz="4" w:space="0"/>
            <w:insideV w:val="single" w:color="E5E7EB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1540D3">
            <w:pPr>
              <w:spacing w:after="40"/>
            </w:pPr>
            <w:r>
              <w:rPr>
                <w:b/>
                <w:color w:val="1F2937"/>
                <w:sz w:val="20"/>
              </w:rPr>
              <w:t>API Specification</w:t>
            </w:r>
          </w:p>
        </w:tc>
        <w:tc>
          <w:tcPr>
            <w:tcW w:w="3200" w:type="dxa"/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82E32F">
            <w:pPr>
              <w:spacing w:after="40"/>
            </w:pPr>
            <w:r>
              <w:rPr>
                <w:color w:val="1F2937"/>
                <w:sz w:val="20"/>
              </w:rPr>
              <w:t>None (HTML Server-Rendered)</w:t>
            </w:r>
          </w:p>
        </w:tc>
        <w:tc>
          <w:tcPr>
            <w:tcW w:w="3200" w:type="dxa"/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7AF3EF">
            <w:pPr>
              <w:spacing w:after="40"/>
            </w:pPr>
            <w:r>
              <w:rPr>
                <w:color w:val="1F2937"/>
                <w:sz w:val="20"/>
              </w:rPr>
              <w:t>OpenAPI 3.1 / JSON Schema</w:t>
            </w:r>
          </w:p>
        </w:tc>
      </w:tr>
      <w:tr w14:paraId="7B9C63A7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E5E7EB" w:sz="4" w:space="0"/>
            <w:insideV w:val="single" w:color="E5E7EB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1D616B">
            <w:pPr>
              <w:spacing w:after="40"/>
            </w:pPr>
            <w:r>
              <w:rPr>
                <w:b/>
                <w:color w:val="1F2937"/>
                <w:sz w:val="20"/>
              </w:rPr>
              <w:t>AI Integration</w:t>
            </w:r>
          </w:p>
        </w:tc>
        <w:tc>
          <w:tcPr>
            <w:tcW w:w="3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89C595">
            <w:pPr>
              <w:spacing w:after="40"/>
            </w:pPr>
            <w:r>
              <w:rPr>
                <w:color w:val="1F2937"/>
                <w:sz w:val="20"/>
              </w:rPr>
              <w:t>None</w:t>
            </w:r>
          </w:p>
        </w:tc>
        <w:tc>
          <w:tcPr>
            <w:tcW w:w="3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3B6CFF">
            <w:pPr>
              <w:spacing w:after="40"/>
            </w:pPr>
            <w:r>
              <w:rPr>
                <w:color w:val="1F2937"/>
                <w:sz w:val="20"/>
              </w:rPr>
              <w:t>Context-Aware Smart Advisor Drawer &amp; Tool APIs</w:t>
            </w:r>
          </w:p>
        </w:tc>
      </w:tr>
      <w:tr w14:paraId="5355A912">
        <w:tblPrEx>
          <w:tblBorders>
            <w:top w:val="single" w:color="D1D5DB" w:sz="6" w:space="0"/>
            <w:left w:val="single" w:color="D1D5DB" w:sz="6" w:space="0"/>
            <w:bottom w:val="single" w:color="D1D5DB" w:sz="6" w:space="0"/>
            <w:right w:val="single" w:color="D1D5DB" w:sz="6" w:space="0"/>
            <w:insideH w:val="single" w:color="E5E7EB" w:sz="4" w:space="0"/>
            <w:insideV w:val="single" w:color="E5E7EB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CA83DA">
            <w:pPr>
              <w:spacing w:after="40"/>
            </w:pPr>
            <w:r>
              <w:rPr>
                <w:b/>
                <w:color w:val="1F2937"/>
                <w:sz w:val="20"/>
              </w:rPr>
              <w:t>Packaging &amp; Deploy</w:t>
            </w:r>
          </w:p>
        </w:tc>
        <w:tc>
          <w:tcPr>
            <w:tcW w:w="3200" w:type="dxa"/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11FBB2">
            <w:pPr>
              <w:spacing w:after="40"/>
            </w:pPr>
            <w:r>
              <w:rPr>
                <w:color w:val="1F2937"/>
                <w:sz w:val="20"/>
              </w:rPr>
              <w:t>WAR / Maven / Tomcat</w:t>
            </w:r>
          </w:p>
        </w:tc>
        <w:tc>
          <w:tcPr>
            <w:tcW w:w="3200" w:type="dxa"/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752B12">
            <w:pPr>
              <w:spacing w:after="40"/>
            </w:pPr>
            <w:r>
              <w:rPr>
                <w:color w:val="1F2937"/>
                <w:sz w:val="20"/>
              </w:rPr>
              <w:t>Docker, Docker Compose, Uvicorn (ASGI)</w:t>
            </w:r>
          </w:p>
        </w:tc>
      </w:tr>
    </w:tbl>
    <w:p w14:paraId="6958AE53">
      <w:pPr>
        <w:spacing w:after="160"/>
      </w:pPr>
    </w:p>
    <w:p w14:paraId="72927BC9">
      <w:pPr>
        <w:pStyle w:val="2"/>
      </w:pPr>
      <w:r>
        <w:t>4. Verification &amp; Live Demonstration Guide</w:t>
      </w:r>
    </w:p>
    <w:p w14:paraId="0FB04640">
      <w:r>
        <w:rPr>
          <w:color w:val="1F2937"/>
        </w:rPr>
        <w:t>The modernized application is fully operational and verified locally and within containers.</w:t>
      </w:r>
    </w:p>
    <w:p w14:paraId="48C9B35F">
      <w:pPr>
        <w:pStyle w:val="3"/>
      </w:pPr>
      <w:r>
        <w:t>Quick Start (Local Run):</w:t>
      </w:r>
    </w:p>
    <w:tbl>
      <w:tblPr>
        <w:tblStyle w:val="6"/>
        <w:tblW w:w="9600" w:type="dxa"/>
        <w:tblInd w:w="0" w:type="dxa"/>
        <w:tblBorders>
          <w:top w:val="single" w:color="E5E7EB" w:sz="4" w:space="0"/>
          <w:left w:val="single" w:color="3B82F6" w:sz="18" w:space="0"/>
          <w:bottom w:val="single" w:color="E5E7EB" w:sz="4" w:space="0"/>
          <w:right w:val="single" w:color="E5E7EB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600"/>
      </w:tblGrid>
      <w:tr w14:paraId="59EBD642">
        <w:tblPrEx>
          <w:tblBorders>
            <w:top w:val="single" w:color="E5E7EB" w:sz="4" w:space="0"/>
            <w:left w:val="single" w:color="3B82F6" w:sz="18" w:space="0"/>
            <w:bottom w:val="single" w:color="E5E7EB" w:sz="4" w:space="0"/>
            <w:right w:val="single" w:color="E5E7EB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600" w:type="dxa"/>
            <w:shd w:val="clear" w:color="auto" w:fill="F9FA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1B2F2C">
            <w:pPr>
              <w:spacing w:after="40"/>
            </w:pPr>
            <w:r>
              <w:rPr>
                <w:rFonts w:ascii="Consolas" w:hAnsi="Consolas"/>
                <w:color w:val="059669"/>
                <w:sz w:val="19"/>
              </w:rPr>
              <w:t># 1. Install dependencies</w:t>
            </w:r>
          </w:p>
          <w:p w14:paraId="136FBAEE">
            <w:pPr>
              <w:spacing w:after="40"/>
            </w:pPr>
            <w:r>
              <w:rPr>
                <w:rFonts w:ascii="Consolas" w:hAnsi="Consolas"/>
                <w:b/>
                <w:color w:val="1F2937"/>
                <w:sz w:val="19"/>
              </w:rPr>
              <w:t>pip install -r requirements.txt</w:t>
            </w:r>
          </w:p>
          <w:p w14:paraId="2E41CC84">
            <w:pPr>
              <w:spacing w:after="40"/>
            </w:pPr>
          </w:p>
          <w:p w14:paraId="4708C506">
            <w:pPr>
              <w:spacing w:after="40"/>
            </w:pPr>
            <w:r>
              <w:rPr>
                <w:rFonts w:ascii="Consolas" w:hAnsi="Consolas"/>
                <w:color w:val="059669"/>
                <w:sz w:val="19"/>
              </w:rPr>
              <w:t># 2. Launch application server (Runs on port 8080)</w:t>
            </w:r>
          </w:p>
          <w:p w14:paraId="6142E76B">
            <w:pPr>
              <w:spacing w:after="40"/>
            </w:pPr>
            <w:r>
              <w:rPr>
                <w:rFonts w:ascii="Consolas" w:hAnsi="Consolas"/>
                <w:b/>
                <w:color w:val="1F2937"/>
                <w:sz w:val="19"/>
              </w:rPr>
              <w:t>python run.py</w:t>
            </w:r>
          </w:p>
        </w:tc>
      </w:tr>
    </w:tbl>
    <w:p w14:paraId="0B5C8B00">
      <w:pPr>
        <w:spacing w:after="120"/>
      </w:pPr>
    </w:p>
    <w:p w14:paraId="7AC6323B">
      <w:pPr>
        <w:pStyle w:val="3"/>
      </w:pPr>
      <w:r>
        <w:t>Dockerized Cluster Deployment:</w:t>
      </w:r>
    </w:p>
    <w:tbl>
      <w:tblPr>
        <w:tblStyle w:val="6"/>
        <w:tblW w:w="9600" w:type="dxa"/>
        <w:tblInd w:w="0" w:type="dxa"/>
        <w:tblBorders>
          <w:top w:val="single" w:color="E5E7EB" w:sz="4" w:space="0"/>
          <w:left w:val="single" w:color="3B82F6" w:sz="18" w:space="0"/>
          <w:bottom w:val="single" w:color="E5E7EB" w:sz="4" w:space="0"/>
          <w:right w:val="single" w:color="E5E7EB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600"/>
      </w:tblGrid>
      <w:tr w14:paraId="2168D341">
        <w:tblPrEx>
          <w:tblBorders>
            <w:top w:val="single" w:color="E5E7EB" w:sz="4" w:space="0"/>
            <w:left w:val="single" w:color="3B82F6" w:sz="18" w:space="0"/>
            <w:bottom w:val="single" w:color="E5E7EB" w:sz="4" w:space="0"/>
            <w:right w:val="single" w:color="E5E7EB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600" w:type="dxa"/>
            <w:shd w:val="clear" w:color="auto" w:fill="F9FA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4EE49A9">
            <w:pPr>
              <w:spacing w:after="40"/>
            </w:pPr>
            <w:r>
              <w:rPr>
                <w:rFonts w:ascii="Consolas" w:hAnsi="Consolas"/>
                <w:b/>
                <w:color w:val="1F2937"/>
                <w:sz w:val="19"/>
              </w:rPr>
              <w:t>docker compose up --build -d</w:t>
            </w:r>
          </w:p>
        </w:tc>
      </w:tr>
    </w:tbl>
    <w:p w14:paraId="02FB7A38">
      <w:pPr>
        <w:spacing w:after="120"/>
      </w:pPr>
    </w:p>
    <w:p w14:paraId="591787DC">
      <w:pPr>
        <w:pStyle w:val="3"/>
      </w:pPr>
      <w:r>
        <w:t>Key Service Endpoints:</w:t>
      </w:r>
    </w:p>
    <w:p w14:paraId="5CFF2EF2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Web Application Storefront: </w:t>
      </w:r>
      <w:r>
        <w:t>http://localhost:8080</w:t>
      </w:r>
    </w:p>
    <w:p w14:paraId="13E5F731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Interactive Swagger UI Docs: </w:t>
      </w:r>
      <w:r>
        <w:t>http://localhost:8080/docs</w:t>
      </w:r>
    </w:p>
    <w:p w14:paraId="1ECB6097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Interactive ReDoc Documentation: </w:t>
      </w:r>
      <w:r>
        <w:t>http://localhost:8080/redoc</w:t>
      </w:r>
    </w:p>
    <w:p w14:paraId="73690574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OpenAPI 3.1 JSON Specification: </w:t>
      </w:r>
      <w:r>
        <w:t>http://localhost:8080/openapi.json</w:t>
      </w:r>
    </w:p>
    <w:p w14:paraId="7AE5B427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System Health Check Probe: </w:t>
      </w:r>
      <w:r>
        <w:t>http://localhost:8080/health</w:t>
      </w:r>
    </w:p>
    <w:p w14:paraId="156C6FED">
      <w:pPr>
        <w:pStyle w:val="3"/>
      </w:pPr>
      <w:r>
        <w:t>Verified Test Accounts (Pre-Seeded):</w:t>
      </w:r>
    </w:p>
    <w:p w14:paraId="2D146232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Account 1: </w:t>
      </w:r>
      <w:r>
        <w:t>Username: j2ee | Password: j2ee (Default Preferred Category: DOGS)</w:t>
      </w:r>
    </w:p>
    <w:p w14:paraId="5DB66A91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Account 2: </w:t>
      </w:r>
      <w:r>
        <w:t>Username: ACID | Password: ACID (Default Preferred Category: CATS)</w:t>
      </w:r>
    </w:p>
    <w:p w14:paraId="08A76749">
      <w:pPr>
        <w:pStyle w:val="2"/>
      </w:pPr>
      <w:r>
        <w:t>5. Architectural &amp; Technical Documentation Artifacts</w:t>
      </w:r>
    </w:p>
    <w:p w14:paraId="5282A54F">
      <w:r>
        <w:rPr>
          <w:color w:val="1F2937"/>
        </w:rPr>
        <w:t>All engineering decisions, migration logs, and architectural audits have been documented in detail in the repository:</w:t>
      </w:r>
    </w:p>
    <w:p w14:paraId="09A115D7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README.md: </w:t>
      </w:r>
      <w:r>
        <w:t>Complete project guide, quick start instructions, architecture overview, and verified API documentation links.</w:t>
      </w:r>
    </w:p>
    <w:p w14:paraId="3BC4574D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docs/jpetstore_architecture_decomposition.md: </w:t>
      </w:r>
      <w:r>
        <w:t>Reverse-engineered legacy Java MyBatis analysis and target modernized clean architecture patterns.</w:t>
      </w:r>
    </w:p>
    <w:p w14:paraId="7767F27D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docs/modernization_deviations_and_rationales.md: </w:t>
      </w:r>
      <w:r>
        <w:t>Detailed technical audit of all 11 modernization deviations (including declarative auth and session fixation defense) with architectural rationales.</w:t>
      </w:r>
    </w:p>
    <w:p w14:paraId="0E50D579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docs/ai_guardrails_and_verification.md: </w:t>
      </w:r>
      <w:r>
        <w:t>Verification matrices, catalog grounding rules, and AI guardrail mechanisms.</w:t>
      </w:r>
    </w:p>
    <w:p w14:paraId="0C9ACEE1">
      <w:pPr>
        <w:spacing w:after="80"/>
        <w:ind w:left="480" w:hanging="240"/>
      </w:pPr>
      <w:r>
        <w:rPr>
          <w:color w:val="1E40AF"/>
        </w:rPr>
        <w:t xml:space="preserve">• </w:t>
      </w:r>
      <w:r>
        <w:rPr>
          <w:b/>
          <w:color w:val="111827"/>
        </w:rPr>
        <w:t xml:space="preserve">docs/migration_issue_log.md: </w:t>
      </w:r>
      <w:r>
        <w:t>Chronological tracking of migration challenges, bug resolutions, and regression fixes.</w:t>
      </w:r>
    </w:p>
    <w:p w14:paraId="7C6943D7">
      <w:pPr>
        <w:pStyle w:val="2"/>
      </w:pPr>
      <w:r>
        <w:t>6. Conclusion</w:t>
      </w:r>
    </w:p>
    <w:p w14:paraId="0F9DD669">
      <w:r>
        <w:rPr>
          <w:color w:val="1F2937"/>
        </w:rPr>
        <w:t>The modernized application satisfies every requirement of the assessment: it faithfully preserves the domain logic and customer experience of the original MyBatis JPetStore while modernizing the foundation with Python async primitives, declarative security, OpenAPI standards, and production-ready, catalog-grounded AI capabilities.</w:t>
      </w:r>
    </w:p>
    <w:sectPr>
      <w:pgSz w:w="12240" w:h="15840"/>
      <w:pgMar w:top="1440" w:right="1440" w:bottom="144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0" w:lineRule="auto"/>
      </w:pPr>
      <w:r>
        <w:separator/>
      </w:r>
    </w:p>
  </w:footnote>
  <w:footnote w:type="continuationSeparator" w:id="1">
    <w:p>
      <w:pPr>
        <w:spacing w:before="0" w:after="0" w:line="2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footnotePr>
    <w:footnote w:id="0"/>
    <w:footnote w:id="1"/>
  </w:footnotePr>
  <w:endnotePr>
    <w:endnote w:id="0"/>
    <w:endnote w:id="1"/>
  </w:endnotePr>
  <w:compat>
    <w:splitPgBreakAndParaMark/>
    <w:compatSetting w:name="compatibilityMode" w:uri="http://schemas.microsoft.com/office/word" w:val="12"/>
  </w:compat>
  <w:rsids>
    <w:rsidRoot w:val="00000000"/>
    <w:rsid w:val="58372050"/>
    <w:rsid w:val="7C67249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Theme="minorEastAsia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60" w:lineRule="auto"/>
    </w:pPr>
    <w:rPr>
      <w:rFonts w:ascii="Calibri" w:hAnsi="Calibri" w:cs="Calibri" w:eastAsiaTheme="minorEastAsia"/>
      <w:color w:val="333333"/>
      <w:sz w:val="22"/>
    </w:rPr>
  </w:style>
  <w:style w:type="paragraph" w:styleId="2">
    <w:name w:val="heading 1"/>
    <w:qFormat/>
    <w:uiPriority w:val="0"/>
    <w:pPr>
      <w:spacing w:before="360" w:after="160" w:line="260" w:lineRule="auto"/>
    </w:pPr>
    <w:rPr>
      <w:rFonts w:ascii="Calibri" w:hAnsi="Calibri" w:cs="Calibri" w:eastAsiaTheme="minorEastAsia"/>
      <w:b/>
      <w:color w:val="1E40AF"/>
      <w:sz w:val="32"/>
    </w:rPr>
  </w:style>
  <w:style w:type="paragraph" w:styleId="3">
    <w:name w:val="heading 2"/>
    <w:qFormat/>
    <w:uiPriority w:val="0"/>
    <w:pPr>
      <w:spacing w:before="240" w:after="120" w:line="260" w:lineRule="auto"/>
    </w:pPr>
    <w:rPr>
      <w:rFonts w:ascii="Calibri" w:hAnsi="Calibri" w:cs="Calibri" w:eastAsiaTheme="minorEastAsia"/>
      <w:b/>
      <w:color w:val="1F2937"/>
      <w:sz w:val="26"/>
    </w:rPr>
  </w:style>
  <w:style w:type="paragraph" w:styleId="4">
    <w:name w:val="heading 3"/>
    <w:qFormat/>
    <w:uiPriority w:val="0"/>
    <w:pPr>
      <w:spacing w:before="180" w:after="80" w:line="260" w:lineRule="auto"/>
    </w:pPr>
    <w:rPr>
      <w:rFonts w:ascii="Calibri" w:hAnsi="Calibri" w:cs="Calibri" w:eastAsiaTheme="minorEastAsia"/>
      <w:b/>
      <w:color w:val="374151"/>
      <w:sz w:val="22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Subtitle"/>
    <w:qFormat/>
    <w:uiPriority w:val="0"/>
    <w:pPr>
      <w:spacing w:after="240" w:line="260" w:lineRule="auto"/>
    </w:pPr>
    <w:rPr>
      <w:rFonts w:ascii="Calibri" w:hAnsi="Calibri" w:cs="Calibri" w:eastAsiaTheme="minorEastAsia"/>
      <w:i/>
      <w:color w:val="4B5563"/>
      <w:sz w:val="24"/>
    </w:rPr>
  </w:style>
  <w:style w:type="paragraph" w:styleId="8">
    <w:name w:val="Title"/>
    <w:qFormat/>
    <w:uiPriority w:val="0"/>
    <w:pPr>
      <w:spacing w:before="240" w:after="120" w:line="260" w:lineRule="auto"/>
    </w:pPr>
    <w:rPr>
      <w:rFonts w:ascii="Calibri" w:hAnsi="Calibri" w:cs="Calibri" w:eastAsiaTheme="minorEastAsia"/>
      <w:b/>
      <w:color w:val="1E3A8A"/>
      <w:sz w:val="4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786</Words>
  <Characters>5582</Characters>
  <TotalTime>0</TotalTime>
  <ScaleCrop>false</ScaleCrop>
  <LinksUpToDate>false</LinksUpToDate>
  <CharactersWithSpaces>6286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2026-10-28T07:10:00Z</dcterms:created>
  <dc:creator>Candidate</dc:creator>
  <cp:lastModifiedBy>Skater World</cp:lastModifiedBy>
  <dcterms:modified xsi:type="dcterms:W3CDTF">2026-10-28T07:12:05Z</dcterms:modified>
  <dc:subject>JPetStore 6 Modernization to Python 3.12 / FastAPI</dc:subject>
  <dc:title>Technical Assessment Submission Report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eyJoZGlkIjoiZTE0NGQwNGU4YTM5ZWU0M2VmYzhmYzUxYjNiYjlhNTEiLCJ1c2VySWQiOiI1Njc1NzgxODE2MzAifQ==</vt:lpwstr>
  </property>
  <property fmtid="{D5CDD505-2E9C-101B-9397-08002B2CF9AE}" pid="3" name="KSOProductBuildVer">
    <vt:lpwstr>1033-12.1.0.29162</vt:lpwstr>
  </property>
  <property fmtid="{D5CDD505-2E9C-101B-9397-08002B2CF9AE}" pid="4" name="ICV">
    <vt:lpwstr>E303B5E619664B74B17DA80880FEDB06_12</vt:lpwstr>
  </property>
</Properties>
</file>