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Technical Assessment Submission Report</w:t>
      </w:r>
    </w:p>
    <w:p>
      <w:pPr>
        <w:pBdr>
          <w:bottom w:val="single" w:color="1F3864" w:sz="8" w:space="6"/>
        </w:pBdr>
        <w:spacing w:after="200"/>
      </w:pPr>
      <w:r>
        <w:rPr>
          <w:rFonts w:ascii="Arial" w:cs="Arial" w:eastAsia="Arial" w:hAnsi="Arial"/>
          <w:color w:val="404040"/>
          <w:sz w:val="24"/>
          <w:szCs w:val="24"/>
        </w:rPr>
        <w:t xml:space="preserve">Modernization of MyBatis JPetStore 6 to a Python 3.12+ AI-Native Stack</w:t>
      </w:r>
    </w:p>
    <w:p>
      <w:pPr>
        <w:spacing w:after="40"/>
      </w:pPr>
      <w:r>
        <w:rPr>
          <w:rFonts w:ascii="Arial" w:cs="Arial" w:eastAsia="Arial" w:hAnsi="Arial"/>
          <w:b/>
          <w:bCs/>
          <w:sz w:val="21"/>
          <w:szCs w:val="21"/>
        </w:rPr>
        <w:t xml:space="preserve">Candidate: </w:t>
      </w:r>
      <w:r>
        <w:rPr>
          <w:rFonts w:ascii="Arial" w:cs="Arial" w:eastAsia="Arial" w:hAnsi="Arial"/>
          <w:sz w:val="21"/>
          <w:szCs w:val="21"/>
        </w:rPr>
        <w:t xml:space="preserve">Angappan Ganesan</w:t>
      </w:r>
    </w:p>
    <w:p>
      <w:pPr>
        <w:spacing w:after="40"/>
      </w:pPr>
      <w:r>
        <w:rPr>
          <w:rFonts w:ascii="Arial" w:cs="Arial" w:eastAsia="Arial" w:hAnsi="Arial"/>
          <w:b/>
          <w:bCs/>
          <w:sz w:val="21"/>
          <w:szCs w:val="21"/>
        </w:rPr>
        <w:t xml:space="preserve">Submission date: </w:t>
      </w:r>
      <w:r>
        <w:rPr>
          <w:rFonts w:ascii="Arial" w:cs="Arial" w:eastAsia="Arial" w:hAnsi="Arial"/>
          <w:sz w:val="21"/>
          <w:szCs w:val="21"/>
        </w:rPr>
        <w:t xml:space="preserve">October 28, 2026</w:t>
      </w:r>
    </w:p>
    <w:p>
      <w:pPr>
        <w:spacing w:after="40"/>
      </w:pPr>
      <w:r>
        <w:rPr>
          <w:rFonts w:ascii="Arial" w:cs="Arial" w:eastAsia="Arial" w:hAnsi="Arial"/>
          <w:b/>
          <w:bCs/>
          <w:sz w:val="21"/>
          <w:szCs w:val="21"/>
        </w:rPr>
        <w:t xml:space="preserve">Revised: </w:t>
      </w:r>
      <w:r>
        <w:rPr>
          <w:rFonts w:ascii="Arial" w:cs="Arial" w:eastAsia="Arial" w:hAnsi="Arial"/>
          <w:sz w:val="21"/>
          <w:szCs w:val="21"/>
        </w:rPr>
        <w:t xml:space="preserve">October 29, 2026</w:t>
      </w:r>
    </w:p>
    <w:p>
      <w:pPr>
        <w:spacing w:after="40"/>
      </w:pPr>
      <w:r>
        <w:rPr>
          <w:rFonts w:ascii="Arial" w:cs="Arial" w:eastAsia="Arial" w:hAnsi="Arial"/>
          <w:b/>
          <w:bCs/>
          <w:sz w:val="21"/>
          <w:szCs w:val="21"/>
        </w:rPr>
        <w:t xml:space="preserve">Repository: </w:t>
      </w:r>
      <w:r>
        <w:rPr>
          <w:rFonts w:ascii="Arial" w:cs="Arial" w:eastAsia="Arial" w:hAnsi="Arial"/>
          <w:sz w:val="21"/>
          <w:szCs w:val="21"/>
        </w:rPr>
        <w:t xml:space="preserve">https://github.com/skillencetech/jpetstore</w:t>
      </w:r>
    </w:p>
    <w:p>
      <w:pPr>
        <w:spacing w:after="160"/>
      </w:pPr>
      <w:r>
        <w:rPr>
          <w:rFonts w:ascii="Arial" w:cs="Arial" w:eastAsia="Arial" w:hAnsi="Arial"/>
          <w:b/>
          <w:bCs/>
          <w:sz w:val="21"/>
          <w:szCs w:val="21"/>
        </w:rPr>
        <w:t xml:space="preserve">Stack: </w:t>
      </w:r>
      <w:r>
        <w:rPr>
          <w:rFonts w:ascii="Arial" w:cs="Arial" w:eastAsia="Arial" w:hAnsi="Arial"/>
          <w:sz w:val="21"/>
          <w:szCs w:val="21"/>
        </w:rPr>
        <w:t xml:space="preserve">Python 3.12+, FastAPI, SQLAlchemy 2.0 (async), Jinja2, Uvicorn, OpenAPI 3.1</w:t>
      </w:r>
    </w:p>
    <w:p>
      <w:pPr>
        <w:pStyle w:val="Heading1"/>
        <w:spacing w:after="120" w:before="280"/>
      </w:pPr>
      <w:r>
        <w:rPr>
          <w:rFonts w:ascii="Arial" w:cs="Arial" w:eastAsia="Arial" w:hAnsi="Arial"/>
          <w:b/>
          <w:bCs/>
          <w:color w:val="1F3864"/>
          <w:sz w:val="28"/>
          <w:szCs w:val="28"/>
        </w:rPr>
        <w:t xml:space="preserve">1. Executive Summary</w:t>
      </w:r>
    </w:p>
    <w:p>
      <w:pPr>
        <w:spacing w:after="120" w:line="276"/>
      </w:pPr>
      <w:r>
        <w:rPr>
          <w:rFonts w:ascii="Arial" w:cs="Arial" w:eastAsia="Arial" w:hAnsi="Arial"/>
          <w:sz w:val="21"/>
          <w:szCs w:val="21"/>
        </w:rPr>
        <w:t xml:space="preserve">This submission modernizes the MyBatis JPetStore 6 application (Java 11, Spring MVC 5.3, MyBatis 3, HSQLDB) into an asynchronous Python web application. The brief asked for a Python-based application that retains the intended business behavior of the original, with attention to quality, maintainability, security, reliability and testability.</w:t>
      </w:r>
    </w:p>
    <w:p>
      <w:pPr>
        <w:spacing w:after="120" w:line="276"/>
      </w:pPr>
      <w:r>
        <w:rPr>
          <w:rFonts w:ascii="Arial" w:cs="Arial" w:eastAsia="Arial" w:hAnsi="Arial"/>
          <w:sz w:val="21"/>
          <w:szCs w:val="21"/>
        </w:rPr>
        <w:t xml:space="preserve">The modernized application provides the same store workflows: catalog browsing, keyword search, shopping cart, authenticated checkout and account profiles. Parity is claimed for these documented workflows and is checked by an automated regression suite and by visual comparison with the original. Remaining differences are recorded in the issue log. Beyond the port, the work fixes weaknesses in the legacy design and adds a small AI layer. The client confirmed that the approach was at the candidate’s discretion, including fixing identified vulnerabilities and adding AI capabilities.</w:t>
      </w:r>
    </w:p>
    <w:p>
      <w:pPr>
        <w:spacing w:after="120" w:line="276"/>
      </w:pPr>
      <w:r>
        <w:rPr>
          <w:rFonts w:ascii="Arial" w:cs="Arial" w:eastAsia="Arial" w:hAnsi="Arial"/>
          <w:sz w:val="21"/>
          <w:szCs w:val="21"/>
        </w:rPr>
        <w:t xml:space="preserve">This revision aligns the wording of the report with the repository documents, which are the current version. Statements that could not be supported by measurement have been removed or qualified.</w:t>
      </w:r>
    </w:p>
    <w:p>
      <w:pPr>
        <w:pStyle w:val="Heading1"/>
        <w:spacing w:after="120" w:before="280"/>
      </w:pPr>
      <w:r>
        <w:rPr>
          <w:rFonts w:ascii="Arial" w:cs="Arial" w:eastAsia="Arial" w:hAnsi="Arial"/>
          <w:b/>
          <w:bCs/>
          <w:color w:val="1F3864"/>
          <w:sz w:val="28"/>
          <w:szCs w:val="28"/>
        </w:rPr>
        <w:t xml:space="preserve">2. Highlights</w:t>
      </w:r>
    </w:p>
    <w:p>
      <w:pPr>
        <w:pStyle w:val="Heading2"/>
        <w:spacing w:after="80" w:before="200"/>
      </w:pPr>
      <w:r>
        <w:rPr>
          <w:rFonts w:ascii="Arial" w:cs="Arial" w:eastAsia="Arial" w:hAnsi="Arial"/>
          <w:b/>
          <w:bCs/>
          <w:color w:val="2E5597"/>
          <w:sz w:val="23"/>
          <w:szCs w:val="23"/>
        </w:rPr>
        <w:t xml:space="preserve">A. Functional coverage</w:t>
      </w:r>
    </w:p>
    <w:p>
      <w:pPr>
        <w:pStyle w:val="ListParagraph"/>
        <w:numPr>
          <w:ilvl w:val="0"/>
          <w:numId w:val="2"/>
        </w:numPr>
        <w:spacing w:after="70" w:line="270"/>
      </w:pPr>
      <w:r>
        <w:rPr>
          <w:rFonts w:ascii="Arial" w:cs="Arial" w:eastAsia="Arial" w:hAnsi="Arial"/>
          <w:b/>
          <w:bCs/>
          <w:sz w:val="21"/>
          <w:szCs w:val="21"/>
        </w:rPr>
        <w:t xml:space="preserve">Storefront and catalog: </w:t>
      </w:r>
      <w:r>
        <w:rPr>
          <w:rFonts w:ascii="Arial" w:cs="Arial" w:eastAsia="Arial" w:hAnsi="Arial"/>
          <w:sz w:val="21"/>
          <w:szCs w:val="21"/>
        </w:rPr>
        <w:t xml:space="preserve">hierarchical navigation across the five categories (FISH, DOGS, REPTILES, CATS, BIRDS), product and item pages, live stock display, and keyword search with semantic scoring.</w:t>
      </w:r>
    </w:p>
    <w:p>
      <w:pPr>
        <w:pStyle w:val="ListParagraph"/>
        <w:numPr>
          <w:ilvl w:val="0"/>
          <w:numId w:val="2"/>
        </w:numPr>
        <w:spacing w:after="70" w:line="270"/>
      </w:pPr>
      <w:r>
        <w:rPr>
          <w:rFonts w:ascii="Arial" w:cs="Arial" w:eastAsia="Arial" w:hAnsi="Arial"/>
          <w:b/>
          <w:bCs/>
          <w:sz w:val="21"/>
          <w:szCs w:val="21"/>
        </w:rPr>
        <w:t xml:space="preserve">Cart and checkout: </w:t>
      </w:r>
      <w:r>
        <w:rPr>
          <w:rFonts w:ascii="Arial" w:cs="Arial" w:eastAsia="Arial" w:hAnsi="Arial"/>
          <w:sz w:val="21"/>
          <w:szCs w:val="21"/>
        </w:rPr>
        <w:t xml:space="preserve">session cart held in a signed cookie, Pet Favorites list, multi-step billing and shipping confirmation, and atomic order creation with a conditional stock decrement.</w:t>
      </w:r>
    </w:p>
    <w:p>
      <w:pPr>
        <w:pStyle w:val="ListParagraph"/>
        <w:numPr>
          <w:ilvl w:val="0"/>
          <w:numId w:val="2"/>
        </w:numPr>
        <w:spacing w:after="70" w:line="270"/>
      </w:pPr>
      <w:r>
        <w:rPr>
          <w:rFonts w:ascii="Arial" w:cs="Arial" w:eastAsia="Arial" w:hAnsi="Arial"/>
          <w:b/>
          <w:bCs/>
          <w:sz w:val="21"/>
          <w:szCs w:val="21"/>
        </w:rPr>
        <w:t xml:space="preserve">Accounts: </w:t>
      </w:r>
      <w:r>
        <w:rPr>
          <w:rFonts w:ascii="Arial" w:cs="Arial" w:eastAsia="Arial" w:hAnsi="Arial"/>
          <w:sz w:val="21"/>
          <w:szCs w:val="21"/>
        </w:rPr>
        <w:t xml:space="preserve">registration, sign-in, profile management and preferences (favorite category, favorites list, banner), with English and Japanese localization.</w:t>
      </w:r>
    </w:p>
    <w:p>
      <w:pPr>
        <w:pStyle w:val="Heading2"/>
        <w:spacing w:after="80" w:before="200"/>
      </w:pPr>
      <w:r>
        <w:rPr>
          <w:rFonts w:ascii="Arial" w:cs="Arial" w:eastAsia="Arial" w:hAnsi="Arial"/>
          <w:b/>
          <w:bCs/>
          <w:color w:val="2E5597"/>
          <w:sz w:val="23"/>
          <w:szCs w:val="23"/>
        </w:rPr>
        <w:t xml:space="preserve">B. Architecture and security</w:t>
      </w:r>
    </w:p>
    <w:p>
      <w:pPr>
        <w:pStyle w:val="ListParagraph"/>
        <w:numPr>
          <w:ilvl w:val="0"/>
          <w:numId w:val="2"/>
        </w:numPr>
        <w:spacing w:after="70" w:line="270"/>
      </w:pPr>
      <w:r>
        <w:rPr>
          <w:rFonts w:ascii="Arial" w:cs="Arial" w:eastAsia="Arial" w:hAnsi="Arial"/>
          <w:b/>
          <w:bCs/>
          <w:sz w:val="21"/>
          <w:szCs w:val="21"/>
        </w:rPr>
        <w:t xml:space="preserve">Layered design: </w:t>
      </w:r>
      <w:r>
        <w:rPr>
          <w:rFonts w:ascii="Arial" w:cs="Arial" w:eastAsia="Arial" w:hAnsi="Arial"/>
          <w:sz w:val="21"/>
          <w:szCs w:val="21"/>
        </w:rPr>
        <w:t xml:space="preserve">routers, then services, then async repositories, over SQLAlchemy 2.0.</w:t>
      </w:r>
    </w:p>
    <w:p>
      <w:pPr>
        <w:pStyle w:val="ListParagraph"/>
        <w:numPr>
          <w:ilvl w:val="0"/>
          <w:numId w:val="2"/>
        </w:numPr>
        <w:spacing w:after="70" w:line="270"/>
      </w:pPr>
      <w:r>
        <w:rPr>
          <w:rFonts w:ascii="Arial" w:cs="Arial" w:eastAsia="Arial" w:hAnsi="Arial"/>
          <w:b/>
          <w:bCs/>
          <w:sz w:val="21"/>
          <w:szCs w:val="21"/>
        </w:rPr>
        <w:t xml:space="preserve">Password storage: </w:t>
      </w:r>
      <w:r>
        <w:rPr>
          <w:rFonts w:ascii="Arial" w:cs="Arial" w:eastAsia="Arial" w:hAnsi="Arial"/>
          <w:sz w:val="21"/>
          <w:szCs w:val="21"/>
        </w:rPr>
        <w:t xml:space="preserve">the legacy system stores passwords in plaintext. The modernized system hashes them with salted scrypt, upgrading seeded legacy credentials on first successful sign-in and hashing all new registrations.</w:t>
      </w:r>
    </w:p>
    <w:p>
      <w:pPr>
        <w:pStyle w:val="ListParagraph"/>
        <w:numPr>
          <w:ilvl w:val="0"/>
          <w:numId w:val="2"/>
        </w:numPr>
        <w:spacing w:after="70" w:line="270"/>
      </w:pPr>
      <w:r>
        <w:rPr>
          <w:rFonts w:ascii="Arial" w:cs="Arial" w:eastAsia="Arial" w:hAnsi="Arial"/>
          <w:b/>
          <w:bCs/>
          <w:sz w:val="21"/>
          <w:szCs w:val="21"/>
        </w:rPr>
        <w:t xml:space="preserve">Access control: </w:t>
      </w:r>
      <w:r>
        <w:rPr>
          <w:rFonts w:ascii="Arial" w:cs="Arial" w:eastAsia="Arial" w:hAnsi="Arial"/>
          <w:sz w:val="21"/>
          <w:szCs w:val="21"/>
        </w:rPr>
        <w:t xml:space="preserve">a central dependency (app/dependencies/auth.py) protects checkout and profile updates. It re-checks the account in the database on each request, so deleted or inactive accounts lose access. Web clients are redirected to the sign-in form (HTTP 303) and API clients receive HTTP 401.</w:t>
      </w:r>
    </w:p>
    <w:p>
      <w:pPr>
        <w:pStyle w:val="ListParagraph"/>
        <w:numPr>
          <w:ilvl w:val="0"/>
          <w:numId w:val="2"/>
        </w:numPr>
        <w:spacing w:after="70" w:line="270"/>
      </w:pPr>
      <w:r>
        <w:rPr>
          <w:rFonts w:ascii="Arial" w:cs="Arial" w:eastAsia="Arial" w:hAnsi="Arial"/>
          <w:b/>
          <w:bCs/>
          <w:sz w:val="21"/>
          <w:szCs w:val="21"/>
        </w:rPr>
        <w:t xml:space="preserve">Session handling: </w:t>
      </w:r>
      <w:r>
        <w:rPr>
          <w:rFonts w:ascii="Arial" w:cs="Arial" w:eastAsia="Arial" w:hAnsi="Arial"/>
          <w:sz w:val="21"/>
          <w:szCs w:val="21"/>
        </w:rPr>
        <w:t xml:space="preserve">the session is cleared on sign-in to prevent fixation, preserving the anonymous cart. Session state is held in signed client cookies, so the web tier keeps no server-side session store.</w:t>
      </w:r>
    </w:p>
    <w:p>
      <w:pPr>
        <w:pStyle w:val="ListParagraph"/>
        <w:numPr>
          <w:ilvl w:val="0"/>
          <w:numId w:val="2"/>
        </w:numPr>
        <w:spacing w:after="70" w:line="270"/>
      </w:pPr>
      <w:r>
        <w:rPr>
          <w:rFonts w:ascii="Arial" w:cs="Arial" w:eastAsia="Arial" w:hAnsi="Arial"/>
          <w:b/>
          <w:bCs/>
          <w:sz w:val="21"/>
          <w:szCs w:val="21"/>
        </w:rPr>
        <w:t xml:space="preserve">Order privacy: </w:t>
      </w:r>
      <w:r>
        <w:rPr>
          <w:rFonts w:ascii="Arial" w:cs="Arial" w:eastAsia="Arial" w:hAnsi="Arial"/>
          <w:sz w:val="21"/>
          <w:szCs w:val="21"/>
        </w:rPr>
        <w:t xml:space="preserve">order views and order APIs are limited to the owning user, and card numbers are masked in API responses.</w:t>
      </w:r>
    </w:p>
    <w:p>
      <w:pPr>
        <w:pStyle w:val="ListParagraph"/>
        <w:numPr>
          <w:ilvl w:val="0"/>
          <w:numId w:val="2"/>
        </w:numPr>
        <w:spacing w:after="70" w:line="270"/>
      </w:pPr>
      <w:r>
        <w:rPr>
          <w:rFonts w:ascii="Arial" w:cs="Arial" w:eastAsia="Arial" w:hAnsi="Arial"/>
          <w:b/>
          <w:bCs/>
          <w:sz w:val="21"/>
          <w:szCs w:val="21"/>
        </w:rPr>
        <w:t xml:space="preserve">Stock integrity: </w:t>
      </w:r>
      <w:r>
        <w:rPr>
          <w:rFonts w:ascii="Arial" w:cs="Arial" w:eastAsia="Arial" w:hAnsi="Arial"/>
          <w:sz w:val="21"/>
          <w:szCs w:val="21"/>
        </w:rPr>
        <w:t xml:space="preserve">inventory is decremented with a conditional update (qty &gt;= requested) inside the order transaction, so stock cannot go negative. Stock and order sequence values are never cached.</w:t>
      </w:r>
    </w:p>
    <w:p>
      <w:pPr>
        <w:pStyle w:val="Heading2"/>
        <w:spacing w:after="80" w:before="200"/>
      </w:pPr>
      <w:r>
        <w:rPr>
          <w:rFonts w:ascii="Arial" w:cs="Arial" w:eastAsia="Arial" w:hAnsi="Arial"/>
          <w:b/>
          <w:bCs/>
          <w:color w:val="2E5597"/>
          <w:sz w:val="23"/>
          <w:szCs w:val="23"/>
        </w:rPr>
        <w:t xml:space="preserve">C. Catalog-grounded Smart Pet Advisor</w:t>
      </w:r>
    </w:p>
    <w:p>
      <w:pPr>
        <w:pStyle w:val="ListParagraph"/>
        <w:numPr>
          <w:ilvl w:val="0"/>
          <w:numId w:val="2"/>
        </w:numPr>
        <w:spacing w:after="70" w:line="270"/>
      </w:pPr>
      <w:r>
        <w:rPr>
          <w:rFonts w:ascii="Arial" w:cs="Arial" w:eastAsia="Arial" w:hAnsi="Arial"/>
          <w:b/>
          <w:bCs/>
          <w:sz w:val="21"/>
          <w:szCs w:val="21"/>
        </w:rPr>
        <w:t xml:space="preserve">Rule-based and local: </w:t>
      </w:r>
      <w:r>
        <w:rPr>
          <w:rFonts w:ascii="Arial" w:cs="Arial" w:eastAsia="Arial" w:hAnsi="Arial"/>
          <w:sz w:val="21"/>
          <w:szCs w:val="21"/>
        </w:rPr>
        <w:t xml:space="preserve">search scoring and the advisor run in-process and make no calls to an external LLM, so they use no external tokens. Matching is keyword and concept based, so unusual phrasing may match less well than a learned model.</w:t>
      </w:r>
    </w:p>
    <w:p>
      <w:pPr>
        <w:pStyle w:val="ListParagraph"/>
        <w:numPr>
          <w:ilvl w:val="0"/>
          <w:numId w:val="2"/>
        </w:numPr>
        <w:spacing w:after="70" w:line="270"/>
      </w:pPr>
      <w:r>
        <w:rPr>
          <w:rFonts w:ascii="Arial" w:cs="Arial" w:eastAsia="Arial" w:hAnsi="Arial"/>
          <w:b/>
          <w:bCs/>
          <w:sz w:val="21"/>
          <w:szCs w:val="21"/>
        </w:rPr>
        <w:t xml:space="preserve">Grounded recommendations: </w:t>
      </w:r>
      <w:r>
        <w:rPr>
          <w:rFonts w:ascii="Arial" w:cs="Arial" w:eastAsia="Arial" w:hAnsi="Arial"/>
          <w:sz w:val="21"/>
          <w:szCs w:val="21"/>
        </w:rPr>
        <w:t xml:space="preserve">an early version suggested accessories that were not in the catalog. Recommendations are now built only from catalog item IDs (EST-1 to EST-28).</w:t>
      </w:r>
    </w:p>
    <w:p>
      <w:pPr>
        <w:pStyle w:val="ListParagraph"/>
        <w:numPr>
          <w:ilvl w:val="0"/>
          <w:numId w:val="2"/>
        </w:numPr>
        <w:spacing w:after="70" w:line="270"/>
      </w:pPr>
      <w:r>
        <w:rPr>
          <w:rFonts w:ascii="Arial" w:cs="Arial" w:eastAsia="Arial" w:hAnsi="Arial"/>
          <w:b/>
          <w:bCs/>
          <w:sz w:val="21"/>
          <w:szCs w:val="21"/>
        </w:rPr>
        <w:t xml:space="preserve">Personalized exploration: </w:t>
      </w:r>
      <w:r>
        <w:rPr>
          <w:rFonts w:ascii="Arial" w:cs="Arial" w:eastAsia="Arial" w:hAnsi="Arial"/>
          <w:sz w:val="21"/>
          <w:szCs w:val="21"/>
        </w:rPr>
        <w:t xml:space="preserve">recommendations start from the signed-in user’s favorite category, with category pills to explore others.</w:t>
      </w:r>
    </w:p>
    <w:p>
      <w:pPr>
        <w:pStyle w:val="ListParagraph"/>
        <w:numPr>
          <w:ilvl w:val="0"/>
          <w:numId w:val="2"/>
        </w:numPr>
        <w:spacing w:after="70" w:line="270"/>
      </w:pPr>
      <w:r>
        <w:rPr>
          <w:rFonts w:ascii="Arial" w:cs="Arial" w:eastAsia="Arial" w:hAnsi="Arial"/>
          <w:b/>
          <w:bCs/>
          <w:sz w:val="21"/>
          <w:szCs w:val="21"/>
        </w:rPr>
        <w:t xml:space="preserve">Add to cart: </w:t>
      </w:r>
      <w:r>
        <w:rPr>
          <w:rFonts w:ascii="Arial" w:cs="Arial" w:eastAsia="Arial" w:hAnsi="Arial"/>
          <w:sz w:val="21"/>
          <w:szCs w:val="21"/>
        </w:rPr>
        <w:t xml:space="preserve">cards show product names, descriptions and catalog prices with one-click add to cart.</w:t>
      </w:r>
    </w:p>
    <w:p>
      <w:pPr>
        <w:pStyle w:val="ListParagraph"/>
        <w:numPr>
          <w:ilvl w:val="0"/>
          <w:numId w:val="2"/>
        </w:numPr>
        <w:spacing w:after="70" w:line="270"/>
      </w:pPr>
      <w:r>
        <w:rPr>
          <w:rFonts w:ascii="Arial" w:cs="Arial" w:eastAsia="Arial" w:hAnsi="Arial"/>
          <w:b/>
          <w:bCs/>
          <w:sz w:val="21"/>
          <w:szCs w:val="21"/>
        </w:rPr>
        <w:t xml:space="preserve">Fallback: </w:t>
      </w:r>
      <w:r>
        <w:rPr>
          <w:rFonts w:ascii="Arial" w:cs="Arial" w:eastAsia="Arial" w:hAnsi="Arial"/>
          <w:sz w:val="21"/>
          <w:szCs w:val="21"/>
        </w:rPr>
        <w:t xml:space="preserve">greetings and off-topic input receive a polite conversational response instead of an error banner.</w:t>
      </w:r>
    </w:p>
    <w:p>
      <w:pPr>
        <w:pStyle w:val="Heading2"/>
        <w:spacing w:after="80" w:before="200"/>
      </w:pPr>
      <w:r>
        <w:rPr>
          <w:rFonts w:ascii="Arial" w:cs="Arial" w:eastAsia="Arial" w:hAnsi="Arial"/>
          <w:b/>
          <w:bCs/>
          <w:color w:val="2E5597"/>
          <w:sz w:val="23"/>
          <w:szCs w:val="23"/>
        </w:rPr>
        <w:t xml:space="preserve">D. API and operations</w:t>
      </w:r>
    </w:p>
    <w:p>
      <w:pPr>
        <w:pStyle w:val="ListParagraph"/>
        <w:numPr>
          <w:ilvl w:val="0"/>
          <w:numId w:val="2"/>
        </w:numPr>
        <w:spacing w:after="70" w:line="270"/>
      </w:pPr>
      <w:r>
        <w:rPr>
          <w:rFonts w:ascii="Arial" w:cs="Arial" w:eastAsia="Arial" w:hAnsi="Arial"/>
          <w:b/>
          <w:bCs/>
          <w:sz w:val="21"/>
          <w:szCs w:val="21"/>
        </w:rPr>
        <w:t xml:space="preserve">OpenAPI 3.1: </w:t>
      </w:r>
      <w:r>
        <w:rPr>
          <w:rFonts w:ascii="Arial" w:cs="Arial" w:eastAsia="Arial" w:hAnsi="Arial"/>
          <w:sz w:val="21"/>
          <w:szCs w:val="21"/>
        </w:rPr>
        <w:t xml:space="preserve">interactive documentation through Swagger UI and ReDoc.</w:t>
      </w:r>
    </w:p>
    <w:p>
      <w:pPr>
        <w:pStyle w:val="ListParagraph"/>
        <w:numPr>
          <w:ilvl w:val="0"/>
          <w:numId w:val="2"/>
        </w:numPr>
        <w:spacing w:after="70" w:line="270"/>
      </w:pPr>
      <w:r>
        <w:rPr>
          <w:rFonts w:ascii="Arial" w:cs="Arial" w:eastAsia="Arial" w:hAnsi="Arial"/>
          <w:b/>
          <w:bCs/>
          <w:sz w:val="21"/>
          <w:szCs w:val="21"/>
        </w:rPr>
        <w:t xml:space="preserve">Agent tool endpoints: </w:t>
      </w:r>
      <w:r>
        <w:rPr>
          <w:rFonts w:ascii="Arial" w:cs="Arial" w:eastAsia="Arial" w:hAnsi="Arial"/>
          <w:sz w:val="21"/>
          <w:szCs w:val="21"/>
        </w:rPr>
        <w:t xml:space="preserve">typed endpoints under /api/v1/tools for catalog search, item and stock queries, order quotes and advisor recommendations.</w:t>
      </w:r>
    </w:p>
    <w:p>
      <w:pPr>
        <w:pStyle w:val="ListParagraph"/>
        <w:numPr>
          <w:ilvl w:val="0"/>
          <w:numId w:val="2"/>
        </w:numPr>
        <w:spacing w:after="70" w:line="270"/>
      </w:pPr>
      <w:r>
        <w:rPr>
          <w:rFonts w:ascii="Arial" w:cs="Arial" w:eastAsia="Arial" w:hAnsi="Arial"/>
          <w:b/>
          <w:bCs/>
          <w:sz w:val="21"/>
          <w:szCs w:val="21"/>
        </w:rPr>
        <w:t xml:space="preserve">Health probe: </w:t>
      </w:r>
      <w:r>
        <w:rPr>
          <w:rFonts w:ascii="Arial" w:cs="Arial" w:eastAsia="Arial" w:hAnsi="Arial"/>
          <w:sz w:val="21"/>
          <w:szCs w:val="21"/>
        </w:rPr>
        <w:t xml:space="preserve">an HTTP /health endpoint used by the Docker and Docker Compose health checks.</w:t>
      </w:r>
    </w:p>
    <w:p>
      <w:pPr>
        <w:pStyle w:val="Heading1"/>
        <w:spacing w:after="120" w:before="280"/>
      </w:pPr>
      <w:r>
        <w:rPr>
          <w:rFonts w:ascii="Arial" w:cs="Arial" w:eastAsia="Arial" w:hAnsi="Arial"/>
          <w:b/>
          <w:bCs/>
          <w:color w:val="1F3864"/>
          <w:sz w:val="28"/>
          <w:szCs w:val="28"/>
        </w:rPr>
        <w:t xml:space="preserve">3. Technology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4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Component</w:t>
            </w:r>
          </w:p>
        </w:tc>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Legacy Java system</w:t>
            </w:r>
          </w:p>
        </w:tc>
        <w:tc>
          <w:tcPr>
            <w:tcW w:type="dxa" w:w="444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Modernized Python implementation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Language and runtime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Java 11, Tomcat 9 (thread per request)</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Python 3.12+, async ASGI (Uvicorn)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Web framework</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Spring MVC 5.3</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FastAPI</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Persistence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MyBatis 3 XML mappers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SQLAlchemy 2.0 async, repository layer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Database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Embedded HSQLDB</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SQLite by default, PostgreSQL by configuration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Templating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JSP / JSTL</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Jinja2, reusing the original markup structure, CSS and images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Session state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Server-held HttpSession</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Signed client cookies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Passwords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Plaintext</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Salted scrypt, upgraded on first sign-in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API specification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None (HTML pages only)</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OpenAPI 3.1 and JSON Schema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AI</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None</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Rule-based semantic search and advisor, agent tool endpoints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Packaging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WAR, Maven, Tomcat</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Docker, Docker Compose, Uvicorn</w:t>
            </w:r>
          </w:p>
        </w:tc>
      </w:tr>
    </w:tbl>
    <w:p>
      <w:pPr>
        <w:pStyle w:val="Heading1"/>
        <w:spacing w:after="120" w:before="280"/>
      </w:pPr>
      <w:r>
        <w:rPr>
          <w:rFonts w:ascii="Arial" w:cs="Arial" w:eastAsia="Arial" w:hAnsi="Arial"/>
          <w:b/>
          <w:bCs/>
          <w:color w:val="1F3864"/>
          <w:sz w:val="28"/>
          <w:szCs w:val="28"/>
        </w:rPr>
        <w:t xml:space="preserve">4. Architectural Decisions</w:t>
      </w:r>
    </w:p>
    <w:p>
      <w:pPr>
        <w:spacing w:after="120" w:line="276"/>
      </w:pPr>
      <w:r>
        <w:rPr>
          <w:rFonts w:ascii="Arial" w:cs="Arial" w:eastAsia="Arial" w:hAnsi="Arial"/>
          <w:sz w:val="21"/>
          <w:szCs w:val="21"/>
        </w:rPr>
        <w:t xml:space="preserve">Nine Architecture Decision Records document the options considered and the trade-offs for each decision (docs/architecture_decision_records.md).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ADR</w:t>
            </w:r>
          </w:p>
        </w:tc>
        <w:tc>
          <w:tcPr>
            <w:tcW w:type="dxa" w:w="884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Decision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001</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FastAPI on Uvicorn (ASGI) as the web framework</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002</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Port the JSPs to Jinja2 and reuse the original CSS and images, instead of building a separate SPA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003</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SQLAlchemy 2.0 with repositories and a unit of work</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004</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Stateless signed session cookies instead of server-held sessions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005</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Selective cache-aside for static catalog data; stock and order sequence are never cached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006</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Salted scrypt password hashing (Argon2id was the original choice, replaced because its native build failed in the target environment)</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007</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Embedded AI capabilities that make no external LLM calls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008</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SQLite by default, PostgreSQL by configuration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color w:val="000000"/>
                <w:sz w:val="19"/>
                <w:szCs w:val="19"/>
              </w:rPr>
              <w:t xml:space="preserve">009</w:t>
            </w:r>
          </w:p>
        </w:tc>
        <w:tc>
          <w:tcPr>
            <w:tcW w:type="dxa" w:w="8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Central access control and session hardening</w:t>
            </w:r>
          </w:p>
        </w:tc>
      </w:tr>
    </w:tbl>
    <w:p>
      <w:pPr>
        <w:pStyle w:val="Heading1"/>
        <w:spacing w:after="120" w:before="280"/>
      </w:pPr>
      <w:r>
        <w:rPr>
          <w:rFonts w:ascii="Arial" w:cs="Arial" w:eastAsia="Arial" w:hAnsi="Arial"/>
          <w:b/>
          <w:bCs/>
          <w:color w:val="1F3864"/>
          <w:sz w:val="28"/>
          <w:szCs w:val="28"/>
        </w:rPr>
        <w:t xml:space="preserve">5. Verification and CI/CD</w:t>
      </w:r>
    </w:p>
    <w:p>
      <w:pPr>
        <w:spacing w:after="120" w:line="276"/>
      </w:pPr>
      <w:r>
        <w:rPr>
          <w:rFonts w:ascii="Arial" w:cs="Arial" w:eastAsia="Arial" w:hAnsi="Arial"/>
          <w:sz w:val="21"/>
          <w:szCs w:val="21"/>
        </w:rPr>
        <w:t xml:space="preserve">The repository includes a GitHub Actions workflow (.github/workflows/ci.yml) that runs on every push and pull request:</w:t>
      </w:r>
    </w:p>
    <w:p>
      <w:pPr>
        <w:pStyle w:val="ListParagraph"/>
        <w:numPr>
          <w:ilvl w:val="0"/>
          <w:numId w:val="2"/>
        </w:numPr>
        <w:spacing w:after="70" w:line="270"/>
      </w:pPr>
      <w:r>
        <w:rPr>
          <w:rFonts w:ascii="Arial" w:cs="Arial" w:eastAsia="Arial" w:hAnsi="Arial"/>
          <w:sz w:val="21"/>
          <w:szCs w:val="21"/>
        </w:rPr>
        <w:t xml:space="preserve">Ruff for linting and format checking</w:t>
      </w:r>
    </w:p>
    <w:p>
      <w:pPr>
        <w:pStyle w:val="ListParagraph"/>
        <w:numPr>
          <w:ilvl w:val="0"/>
          <w:numId w:val="2"/>
        </w:numPr>
        <w:spacing w:after="70" w:line="270"/>
      </w:pPr>
      <w:r>
        <w:rPr>
          <w:rFonts w:ascii="Arial" w:cs="Arial" w:eastAsia="Arial" w:hAnsi="Arial"/>
          <w:sz w:val="21"/>
          <w:szCs w:val="21"/>
        </w:rPr>
        <w:t xml:space="preserve">Mypy for static type checking</w:t>
      </w:r>
    </w:p>
    <w:p>
      <w:pPr>
        <w:pStyle w:val="ListParagraph"/>
        <w:numPr>
          <w:ilvl w:val="0"/>
          <w:numId w:val="2"/>
        </w:numPr>
        <w:spacing w:after="70" w:line="270"/>
      </w:pPr>
      <w:r>
        <w:rPr>
          <w:rFonts w:ascii="Arial" w:cs="Arial" w:eastAsia="Arial" w:hAnsi="Arial"/>
          <w:sz w:val="21"/>
          <w:szCs w:val="21"/>
        </w:rPr>
        <w:t xml:space="preserve">Bandit for security scanning</w:t>
      </w:r>
    </w:p>
    <w:p>
      <w:pPr>
        <w:pStyle w:val="ListParagraph"/>
        <w:numPr>
          <w:ilvl w:val="0"/>
          <w:numId w:val="2"/>
        </w:numPr>
        <w:spacing w:after="70" w:line="270"/>
      </w:pPr>
      <w:r>
        <w:rPr>
          <w:rFonts w:ascii="Arial" w:cs="Arial" w:eastAsia="Arial" w:hAnsi="Arial"/>
          <w:sz w:val="21"/>
          <w:szCs w:val="21"/>
        </w:rPr>
        <w:t xml:space="preserve">Pytest for the regression suite</w:t>
      </w:r>
    </w:p>
    <w:p>
      <w:pPr>
        <w:pStyle w:val="ListParagraph"/>
        <w:numPr>
          <w:ilvl w:val="0"/>
          <w:numId w:val="2"/>
        </w:numPr>
        <w:spacing w:after="70" w:line="270"/>
      </w:pPr>
      <w:r>
        <w:rPr>
          <w:rFonts w:ascii="Arial" w:cs="Arial" w:eastAsia="Arial" w:hAnsi="Arial"/>
          <w:sz w:val="21"/>
          <w:szCs w:val="21"/>
        </w:rPr>
        <w:t xml:space="preserve">A Docker build</w:t>
      </w:r>
    </w:p>
    <w:p>
      <w:pPr>
        <w:spacing w:after="120" w:line="276"/>
      </w:pPr>
      <w:r>
        <w:rPr>
          <w:rFonts w:ascii="Arial" w:cs="Arial" w:eastAsia="Arial" w:hAnsi="Arial"/>
          <w:sz w:val="21"/>
          <w:szCs w:val="21"/>
        </w:rPr>
        <w:t xml:space="preserve">The regression suite is in seven test modules covering the database and seed data, catalog and search, cart, account and password handling, orders and stock, the agent tool endpoints, and the advisor. Bandit does not prove that queries are parameterized; that property comes from using SQLAlchemy expressions and from code review.</w:t>
      </w:r>
    </w:p>
    <w:p>
      <w:pPr>
        <w:spacing w:after="120" w:line="276"/>
      </w:pPr>
      <w:r>
        <w:rPr>
          <w:rFonts w:ascii="Arial" w:cs="Arial" w:eastAsia="Arial" w:hAnsi="Arial"/>
          <w:sz w:val="21"/>
          <w:szCs w:val="21"/>
        </w:rPr>
        <w:t xml:space="preserve">Revision note: on October 29, 2026 a failure in the CI pipeline was identified and addressed. The results of the latest run are available under the repository’s Actions tab.</w:t>
      </w:r>
    </w:p>
    <w:p>
      <w:pPr>
        <w:pStyle w:val="Heading1"/>
        <w:spacing w:after="120" w:before="280"/>
      </w:pPr>
      <w:r>
        <w:rPr>
          <w:rFonts w:ascii="Arial" w:cs="Arial" w:eastAsia="Arial" w:hAnsi="Arial"/>
          <w:b/>
          <w:bCs/>
          <w:color w:val="1F3864"/>
          <w:sz w:val="28"/>
          <w:szCs w:val="28"/>
        </w:rPr>
        <w:t xml:space="preserve">6. Running the Application</w:t>
      </w:r>
    </w:p>
    <w:p>
      <w:pPr>
        <w:spacing w:after="60"/>
      </w:pPr>
      <w:r>
        <w:rPr>
          <w:rFonts w:ascii="Arial" w:cs="Arial" w:eastAsia="Arial" w:hAnsi="Arial"/>
          <w:b/>
          <w:bCs/>
          <w:sz w:val="21"/>
          <w:szCs w:val="21"/>
        </w:rPr>
        <w:t xml:space="preserve">Local run (port 8080):</w:t>
      </w:r>
    </w:p>
    <w:p>
      <w:pPr>
        <w:shd w:fill="F2F2F2" w:val="clear"/>
        <w:spacing w:after="0"/>
        <w:ind w:left="120" w:right="120"/>
      </w:pPr>
      <w:r>
        <w:rPr>
          <w:rFonts w:ascii="Consolas" w:cs="Consolas" w:eastAsia="Consolas" w:hAnsi="Consolas"/>
          <w:sz w:val="19"/>
          <w:szCs w:val="19"/>
        </w:rPr>
        <w:t xml:space="preserve">pip install -r requirements.txt</w:t>
      </w:r>
    </w:p>
    <w:p>
      <w:pPr>
        <w:shd w:fill="F2F2F2" w:val="clear"/>
        <w:spacing w:after="140"/>
        <w:ind w:left="120" w:right="120"/>
      </w:pPr>
      <w:r>
        <w:rPr>
          <w:rFonts w:ascii="Consolas" w:cs="Consolas" w:eastAsia="Consolas" w:hAnsi="Consolas"/>
          <w:sz w:val="19"/>
          <w:szCs w:val="19"/>
        </w:rPr>
        <w:t xml:space="preserve">python run.py</w:t>
      </w:r>
    </w:p>
    <w:p>
      <w:pPr>
        <w:spacing w:after="60"/>
      </w:pPr>
      <w:r>
        <w:rPr>
          <w:rFonts w:ascii="Arial" w:cs="Arial" w:eastAsia="Arial" w:hAnsi="Arial"/>
          <w:b/>
          <w:bCs/>
          <w:sz w:val="21"/>
          <w:szCs w:val="21"/>
        </w:rPr>
        <w:t xml:space="preserve">Container (port 8000):</w:t>
      </w:r>
    </w:p>
    <w:p>
      <w:pPr>
        <w:shd w:fill="F2F2F2" w:val="clear"/>
        <w:spacing w:after="140"/>
        <w:ind w:left="120" w:right="120"/>
      </w:pPr>
      <w:r>
        <w:rPr>
          <w:rFonts w:ascii="Consolas" w:cs="Consolas" w:eastAsia="Consolas" w:hAnsi="Consolas"/>
          <w:sz w:val="19"/>
          <w:szCs w:val="19"/>
        </w:rPr>
        <w:t xml:space="preserve">docker compose up --build -d</w:t>
      </w:r>
    </w:p>
    <w:p>
      <w:pPr>
        <w:spacing w:after="60"/>
      </w:pPr>
      <w:r>
        <w:rPr>
          <w:rFonts w:ascii="Arial" w:cs="Arial" w:eastAsia="Arial" w:hAnsi="Arial"/>
          <w:b/>
          <w:bCs/>
          <w:sz w:val="21"/>
          <w:szCs w:val="21"/>
        </w:rPr>
        <w:t xml:space="preserve">Endpoints (local run):</w:t>
      </w:r>
    </w:p>
    <w:p>
      <w:pPr>
        <w:pStyle w:val="ListParagraph"/>
        <w:numPr>
          <w:ilvl w:val="0"/>
          <w:numId w:val="2"/>
        </w:numPr>
        <w:spacing w:after="70" w:line="270"/>
      </w:pPr>
      <w:r>
        <w:rPr>
          <w:rFonts w:ascii="Arial" w:cs="Arial" w:eastAsia="Arial" w:hAnsi="Arial"/>
          <w:b/>
          <w:bCs/>
          <w:sz w:val="21"/>
          <w:szCs w:val="21"/>
        </w:rPr>
        <w:t xml:space="preserve">Storefront: </w:t>
      </w:r>
      <w:r>
        <w:rPr>
          <w:rFonts w:ascii="Arial" w:cs="Arial" w:eastAsia="Arial" w:hAnsi="Arial"/>
          <w:sz w:val="21"/>
          <w:szCs w:val="21"/>
        </w:rPr>
        <w:t xml:space="preserve">http://localhost:8080</w:t>
      </w:r>
    </w:p>
    <w:p>
      <w:pPr>
        <w:pStyle w:val="ListParagraph"/>
        <w:numPr>
          <w:ilvl w:val="0"/>
          <w:numId w:val="2"/>
        </w:numPr>
        <w:spacing w:after="70" w:line="270"/>
      </w:pPr>
      <w:r>
        <w:rPr>
          <w:rFonts w:ascii="Arial" w:cs="Arial" w:eastAsia="Arial" w:hAnsi="Arial"/>
          <w:b/>
          <w:bCs/>
          <w:sz w:val="21"/>
          <w:szCs w:val="21"/>
        </w:rPr>
        <w:t xml:space="preserve">Swagger UI: </w:t>
      </w:r>
      <w:r>
        <w:rPr>
          <w:rFonts w:ascii="Arial" w:cs="Arial" w:eastAsia="Arial" w:hAnsi="Arial"/>
          <w:sz w:val="21"/>
          <w:szCs w:val="21"/>
        </w:rPr>
        <w:t xml:space="preserve">http://localhost:8080/docs</w:t>
      </w:r>
    </w:p>
    <w:p>
      <w:pPr>
        <w:pStyle w:val="ListParagraph"/>
        <w:numPr>
          <w:ilvl w:val="0"/>
          <w:numId w:val="2"/>
        </w:numPr>
        <w:spacing w:after="70" w:line="270"/>
      </w:pPr>
      <w:r>
        <w:rPr>
          <w:rFonts w:ascii="Arial" w:cs="Arial" w:eastAsia="Arial" w:hAnsi="Arial"/>
          <w:b/>
          <w:bCs/>
          <w:sz w:val="21"/>
          <w:szCs w:val="21"/>
        </w:rPr>
        <w:t xml:space="preserve">ReDoc: </w:t>
      </w:r>
      <w:r>
        <w:rPr>
          <w:rFonts w:ascii="Arial" w:cs="Arial" w:eastAsia="Arial" w:hAnsi="Arial"/>
          <w:sz w:val="21"/>
          <w:szCs w:val="21"/>
        </w:rPr>
        <w:t xml:space="preserve">http://localhost:8080/redoc</w:t>
      </w:r>
    </w:p>
    <w:p>
      <w:pPr>
        <w:pStyle w:val="ListParagraph"/>
        <w:numPr>
          <w:ilvl w:val="0"/>
          <w:numId w:val="2"/>
        </w:numPr>
        <w:spacing w:after="70" w:line="270"/>
      </w:pPr>
      <w:r>
        <w:rPr>
          <w:rFonts w:ascii="Arial" w:cs="Arial" w:eastAsia="Arial" w:hAnsi="Arial"/>
          <w:b/>
          <w:bCs/>
          <w:sz w:val="21"/>
          <w:szCs w:val="21"/>
        </w:rPr>
        <w:t xml:space="preserve">OpenAPI JSON: </w:t>
      </w:r>
      <w:r>
        <w:rPr>
          <w:rFonts w:ascii="Arial" w:cs="Arial" w:eastAsia="Arial" w:hAnsi="Arial"/>
          <w:sz w:val="21"/>
          <w:szCs w:val="21"/>
        </w:rPr>
        <w:t xml:space="preserve">http://localhost:8080/openapi.json</w:t>
      </w:r>
    </w:p>
    <w:p>
      <w:pPr>
        <w:pStyle w:val="ListParagraph"/>
        <w:numPr>
          <w:ilvl w:val="0"/>
          <w:numId w:val="2"/>
        </w:numPr>
        <w:spacing w:after="70" w:line="270"/>
      </w:pPr>
      <w:r>
        <w:rPr>
          <w:rFonts w:ascii="Arial" w:cs="Arial" w:eastAsia="Arial" w:hAnsi="Arial"/>
          <w:b/>
          <w:bCs/>
          <w:sz w:val="21"/>
          <w:szCs w:val="21"/>
        </w:rPr>
        <w:t xml:space="preserve">Health check: </w:t>
      </w:r>
      <w:r>
        <w:rPr>
          <w:rFonts w:ascii="Arial" w:cs="Arial" w:eastAsia="Arial" w:hAnsi="Arial"/>
          <w:sz w:val="21"/>
          <w:szCs w:val="21"/>
        </w:rPr>
        <w:t xml:space="preserve">http://localhost:8080/health</w:t>
      </w:r>
    </w:p>
    <w:p>
      <w:pPr>
        <w:spacing w:after="60" w:before="100"/>
      </w:pPr>
      <w:r>
        <w:rPr>
          <w:rFonts w:ascii="Arial" w:cs="Arial" w:eastAsia="Arial" w:hAnsi="Arial"/>
          <w:b/>
          <w:bCs/>
          <w:sz w:val="21"/>
          <w:szCs w:val="21"/>
        </w:rPr>
        <w:t xml:space="preserve">Seeded test accounts:</w:t>
      </w:r>
    </w:p>
    <w:p>
      <w:pPr>
        <w:pStyle w:val="ListParagraph"/>
        <w:numPr>
          <w:ilvl w:val="0"/>
          <w:numId w:val="2"/>
        </w:numPr>
        <w:spacing w:after="70" w:line="270"/>
      </w:pPr>
      <w:r>
        <w:rPr>
          <w:rFonts w:ascii="Arial" w:cs="Arial" w:eastAsia="Arial" w:hAnsi="Arial"/>
          <w:b/>
          <w:bCs/>
          <w:sz w:val="21"/>
          <w:szCs w:val="21"/>
        </w:rPr>
        <w:t xml:space="preserve">Account 1: </w:t>
      </w:r>
      <w:r>
        <w:rPr>
          <w:rFonts w:ascii="Arial" w:cs="Arial" w:eastAsia="Arial" w:hAnsi="Arial"/>
          <w:sz w:val="21"/>
          <w:szCs w:val="21"/>
        </w:rPr>
        <w:t xml:space="preserve">j2ee / j2ee (favorite category DOGS)</w:t>
      </w:r>
    </w:p>
    <w:p>
      <w:pPr>
        <w:pStyle w:val="ListParagraph"/>
        <w:numPr>
          <w:ilvl w:val="0"/>
          <w:numId w:val="2"/>
        </w:numPr>
        <w:spacing w:after="70" w:line="270"/>
      </w:pPr>
      <w:r>
        <w:rPr>
          <w:rFonts w:ascii="Arial" w:cs="Arial" w:eastAsia="Arial" w:hAnsi="Arial"/>
          <w:b/>
          <w:bCs/>
          <w:sz w:val="21"/>
          <w:szCs w:val="21"/>
        </w:rPr>
        <w:t xml:space="preserve">Account 2: </w:t>
      </w:r>
      <w:r>
        <w:rPr>
          <w:rFonts w:ascii="Arial" w:cs="Arial" w:eastAsia="Arial" w:hAnsi="Arial"/>
          <w:sz w:val="21"/>
          <w:szCs w:val="21"/>
        </w:rPr>
        <w:t xml:space="preserve">ACID / ACID (favorite category CATS)</w:t>
      </w:r>
    </w:p>
    <w:p>
      <w:pPr>
        <w:spacing w:after="120" w:line="276"/>
      </w:pPr>
      <w:r>
        <w:rPr>
          <w:rFonts w:ascii="Arial" w:cs="Arial" w:eastAsia="Arial" w:hAnsi="Arial"/>
          <w:sz w:val="21"/>
          <w:szCs w:val="21"/>
        </w:rPr>
        <w:t xml:space="preserve">Seeded passwords are upgraded to salted hashes on each account’s first successful sign-in.</w:t>
      </w:r>
    </w:p>
    <w:p>
      <w:pPr>
        <w:pStyle w:val="Heading1"/>
        <w:spacing w:after="120" w:before="280"/>
      </w:pPr>
      <w:r>
        <w:rPr>
          <w:rFonts w:ascii="Arial" w:cs="Arial" w:eastAsia="Arial" w:hAnsi="Arial"/>
          <w:b/>
          <w:bCs/>
          <w:color w:val="1F3864"/>
          <w:sz w:val="28"/>
          <w:szCs w:val="28"/>
        </w:rPr>
        <w:t xml:space="preserve">7. Tokenomics</w:t>
      </w:r>
    </w:p>
    <w:p>
      <w:pPr>
        <w:spacing w:after="120" w:line="276"/>
      </w:pPr>
      <w:r>
        <w:rPr>
          <w:rFonts w:ascii="Arial" w:cs="Arial" w:eastAsia="Arial" w:hAnsi="Arial"/>
          <w:sz w:val="21"/>
          <w:szCs w:val="21"/>
        </w:rPr>
        <w:t xml:space="preserve">AI use while building is recorded as far as the tooling allows. The IDE reports quota only as a percentage of each model pool, not as token counts, so no token or cost figures are reported. Percentages are not converted into tokens.</w:t>
      </w:r>
    </w:p>
    <w:p>
      <w:pPr>
        <w:pStyle w:val="ListParagraph"/>
        <w:numPr>
          <w:ilvl w:val="0"/>
          <w:numId w:val="2"/>
        </w:numPr>
        <w:spacing w:after="70" w:line="270"/>
      </w:pPr>
      <w:r>
        <w:rPr>
          <w:rFonts w:ascii="Arial" w:cs="Arial" w:eastAsia="Arial" w:hAnsi="Arial"/>
          <w:b/>
          <w:bCs/>
          <w:sz w:val="21"/>
          <w:szCs w:val="21"/>
        </w:rPr>
        <w:t xml:space="preserve">Pool readings (October 28): </w:t>
      </w:r>
      <w:r>
        <w:rPr>
          <w:rFonts w:ascii="Arial" w:cs="Arial" w:eastAsia="Arial" w:hAnsi="Arial"/>
          <w:sz w:val="21"/>
          <w:szCs w:val="21"/>
        </w:rPr>
        <w:t xml:space="preserve">the Gemini pool moved from 89% to 80% weekly remaining and from 100% to 71% five-hour remaining between 9:28 AM and 12:34 PM. The Claude and GPT pool was already exhausted at both readings. The pool is account-wide, so the figures are an upper bound for this project.</w:t>
      </w:r>
    </w:p>
    <w:p>
      <w:pPr>
        <w:pStyle w:val="ListParagraph"/>
        <w:numPr>
          <w:ilvl w:val="0"/>
          <w:numId w:val="2"/>
        </w:numPr>
        <w:spacing w:after="70" w:line="270"/>
      </w:pPr>
      <w:r>
        <w:rPr>
          <w:rFonts w:ascii="Arial" w:cs="Arial" w:eastAsia="Arial" w:hAnsi="Arial"/>
          <w:b/>
          <w:bCs/>
          <w:sz w:val="21"/>
          <w:szCs w:val="21"/>
        </w:rPr>
        <w:t xml:space="preserve">Prompts: </w:t>
      </w:r>
      <w:r>
        <w:rPr>
          <w:rFonts w:ascii="Arial" w:cs="Arial" w:eastAsia="Arial" w:hAnsi="Arial"/>
          <w:sz w:val="21"/>
          <w:szCs w:val="21"/>
        </w:rPr>
        <w:t xml:space="preserve">66 prompts across two working sessions, tagged by milestone in the prompt log. 15 of them reported a defect or parity gap, which is the iteration evidence.</w:t>
      </w:r>
    </w:p>
    <w:p>
      <w:pPr>
        <w:pStyle w:val="ListParagraph"/>
        <w:numPr>
          <w:ilvl w:val="0"/>
          <w:numId w:val="2"/>
        </w:numPr>
        <w:spacing w:after="70" w:line="270"/>
      </w:pPr>
      <w:r>
        <w:rPr>
          <w:rFonts w:ascii="Arial" w:cs="Arial" w:eastAsia="Arial" w:hAnsi="Arial"/>
          <w:b/>
          <w:bCs/>
          <w:sz w:val="21"/>
          <w:szCs w:val="21"/>
        </w:rPr>
        <w:t xml:space="preserve">Runtime design: </w:t>
      </w:r>
      <w:r>
        <w:rPr>
          <w:rFonts w:ascii="Arial" w:cs="Arial" w:eastAsia="Arial" w:hAnsi="Arial"/>
          <w:sz w:val="21"/>
          <w:szCs w:val="21"/>
        </w:rPr>
        <w:t xml:space="preserve">the search and advisor features make no external model calls, so they have no per-request token cost. Latency and tool-schema size were not benchmarked.</w:t>
      </w:r>
    </w:p>
    <w:p>
      <w:pPr>
        <w:spacing w:after="120" w:line="276"/>
      </w:pPr>
      <w:r>
        <w:rPr>
          <w:rFonts w:ascii="Arial" w:cs="Arial" w:eastAsia="Arial" w:hAnsi="Arial"/>
          <w:sz w:val="21"/>
          <w:szCs w:val="21"/>
        </w:rPr>
        <w:t xml:space="preserve">Further detail is in docs/tokenomics_telemetry_audit.md.</w:t>
      </w:r>
    </w:p>
    <w:p>
      <w:pPr>
        <w:pStyle w:val="Heading1"/>
        <w:spacing w:after="120" w:before="280"/>
      </w:pPr>
      <w:r>
        <w:rPr>
          <w:rFonts w:ascii="Arial" w:cs="Arial" w:eastAsia="Arial" w:hAnsi="Arial"/>
          <w:b/>
          <w:bCs/>
          <w:color w:val="1F3864"/>
          <w:sz w:val="28"/>
          <w:szCs w:val="28"/>
        </w:rPr>
        <w:t xml:space="preserve">8. Known Limitations</w:t>
      </w:r>
    </w:p>
    <w:p>
      <w:pPr>
        <w:pStyle w:val="ListParagraph"/>
        <w:numPr>
          <w:ilvl w:val="0"/>
          <w:numId w:val="2"/>
        </w:numPr>
        <w:spacing w:after="70" w:line="270"/>
      </w:pPr>
      <w:r>
        <w:rPr>
          <w:rFonts w:ascii="Arial" w:cs="Arial" w:eastAsia="Arial" w:hAnsi="Arial"/>
          <w:sz w:val="21"/>
          <w:szCs w:val="21"/>
        </w:rPr>
        <w:t xml:space="preserve">Sessions are signed but not encrypted cookies, so contents are readable by the client and limited to about 4 KB. Only identifiers and cart references are stored.</w:t>
      </w:r>
    </w:p>
    <w:p>
      <w:pPr>
        <w:pStyle w:val="ListParagraph"/>
        <w:numPr>
          <w:ilvl w:val="0"/>
          <w:numId w:val="2"/>
        </w:numPr>
        <w:spacing w:after="70" w:line="270"/>
      </w:pPr>
      <w:r>
        <w:rPr>
          <w:rFonts w:ascii="Arial" w:cs="Arial" w:eastAsia="Arial" w:hAnsi="Arial"/>
          <w:sz w:val="21"/>
          <w:szCs w:val="21"/>
        </w:rPr>
        <w:t xml:space="preserve">Search and the advisor are rule-based. Phrasing outside the scoring rules can return weaker results than a learned model.</w:t>
      </w:r>
    </w:p>
    <w:p>
      <w:pPr>
        <w:pStyle w:val="ListParagraph"/>
        <w:numPr>
          <w:ilvl w:val="0"/>
          <w:numId w:val="2"/>
        </w:numPr>
        <w:spacing w:after="70" w:line="270"/>
      </w:pPr>
      <w:r>
        <w:rPr>
          <w:rFonts w:ascii="Arial" w:cs="Arial" w:eastAsia="Arial" w:hAnsi="Arial"/>
          <w:sz w:val="21"/>
          <w:szCs w:val="21"/>
        </w:rPr>
        <w:t xml:space="preserve">The default database is SQLite, and the automated tests run against SQLite. PostgreSQL is supported by changing the database URL and installing an async PostgreSQL driver.</w:t>
      </w:r>
    </w:p>
    <w:p>
      <w:pPr>
        <w:pStyle w:val="ListParagraph"/>
        <w:numPr>
          <w:ilvl w:val="0"/>
          <w:numId w:val="2"/>
        </w:numPr>
        <w:spacing w:after="70" w:line="270"/>
      </w:pPr>
      <w:r>
        <w:rPr>
          <w:rFonts w:ascii="Arial" w:cs="Arial" w:eastAsia="Arial" w:hAnsi="Arial"/>
          <w:sz w:val="21"/>
          <w:szCs w:val="21"/>
        </w:rPr>
        <w:t xml:space="preserve">No load or latency benchmarking was performed. Scalability statements describe the design, not measured throughput.</w:t>
      </w:r>
    </w:p>
    <w:p>
      <w:pPr>
        <w:pStyle w:val="ListParagraph"/>
        <w:numPr>
          <w:ilvl w:val="0"/>
          <w:numId w:val="2"/>
        </w:numPr>
        <w:spacing w:after="70" w:line="270"/>
      </w:pPr>
      <w:r>
        <w:rPr>
          <w:rFonts w:ascii="Arial" w:cs="Arial" w:eastAsia="Arial" w:hAnsi="Arial"/>
          <w:sz w:val="21"/>
          <w:szCs w:val="21"/>
        </w:rPr>
        <w:t xml:space="preserve">Until a seeded legacy account signs in for the first time, its seed password remains plaintext in the database.</w:t>
      </w:r>
    </w:p>
    <w:p>
      <w:pPr>
        <w:pStyle w:val="Heading1"/>
        <w:spacing w:after="120" w:before="280"/>
      </w:pPr>
      <w:r>
        <w:rPr>
          <w:rFonts w:ascii="Arial" w:cs="Arial" w:eastAsia="Arial" w:hAnsi="Arial"/>
          <w:b/>
          <w:bCs/>
          <w:color w:val="1F3864"/>
          <w:sz w:val="28"/>
          <w:szCs w:val="28"/>
        </w:rPr>
        <w:t xml:space="preserve">9. Documentation in the Repository</w:t>
      </w:r>
    </w:p>
    <w:p>
      <w:pPr>
        <w:pStyle w:val="ListParagraph"/>
        <w:numPr>
          <w:ilvl w:val="0"/>
          <w:numId w:val="2"/>
        </w:numPr>
        <w:spacing w:after="70" w:line="270"/>
      </w:pPr>
      <w:r>
        <w:rPr>
          <w:rFonts w:ascii="Arial" w:cs="Arial" w:eastAsia="Arial" w:hAnsi="Arial"/>
          <w:b/>
          <w:bCs/>
          <w:sz w:val="21"/>
          <w:szCs w:val="21"/>
        </w:rPr>
        <w:t xml:space="preserve">README.md: </w:t>
      </w:r>
      <w:r>
        <w:rPr>
          <w:rFonts w:ascii="Arial" w:cs="Arial" w:eastAsia="Arial" w:hAnsi="Arial"/>
          <w:sz w:val="21"/>
          <w:szCs w:val="21"/>
        </w:rPr>
        <w:t xml:space="preserve">project guide, architecture overview, run instructions and documentation index.</w:t>
      </w:r>
    </w:p>
    <w:p>
      <w:pPr>
        <w:pStyle w:val="ListParagraph"/>
        <w:numPr>
          <w:ilvl w:val="0"/>
          <w:numId w:val="2"/>
        </w:numPr>
        <w:spacing w:after="70" w:line="270"/>
      </w:pPr>
      <w:r>
        <w:rPr>
          <w:rFonts w:ascii="Arial" w:cs="Arial" w:eastAsia="Arial" w:hAnsi="Arial"/>
          <w:b/>
          <w:bCs/>
          <w:sz w:val="21"/>
          <w:szCs w:val="21"/>
        </w:rPr>
        <w:t xml:space="preserve">docs/jpetstore_architecture_decomposition.md: </w:t>
      </w:r>
      <w:r>
        <w:rPr>
          <w:rFonts w:ascii="Arial" w:cs="Arial" w:eastAsia="Arial" w:hAnsi="Arial"/>
          <w:sz w:val="21"/>
          <w:szCs w:val="21"/>
        </w:rPr>
        <w:t xml:space="preserve">analysis of the legacy application: components, data dictionary and checkout flow.</w:t>
      </w:r>
    </w:p>
    <w:p>
      <w:pPr>
        <w:pStyle w:val="ListParagraph"/>
        <w:numPr>
          <w:ilvl w:val="0"/>
          <w:numId w:val="2"/>
        </w:numPr>
        <w:spacing w:after="70" w:line="270"/>
      </w:pPr>
      <w:r>
        <w:rPr>
          <w:rFonts w:ascii="Arial" w:cs="Arial" w:eastAsia="Arial" w:hAnsi="Arial"/>
          <w:b/>
          <w:bCs/>
          <w:sz w:val="21"/>
          <w:szCs w:val="21"/>
        </w:rPr>
        <w:t xml:space="preserve">docs/jpetstore_migration_proposal_and_roadmap.md: </w:t>
      </w:r>
      <w:r>
        <w:rPr>
          <w:rFonts w:ascii="Arial" w:cs="Arial" w:eastAsia="Arial" w:hAnsi="Arial"/>
          <w:sz w:val="21"/>
          <w:szCs w:val="21"/>
        </w:rPr>
        <w:t xml:space="preserve">phased roadmap and definition of done.</w:t>
      </w:r>
    </w:p>
    <w:p>
      <w:pPr>
        <w:pStyle w:val="ListParagraph"/>
        <w:numPr>
          <w:ilvl w:val="0"/>
          <w:numId w:val="2"/>
        </w:numPr>
        <w:spacing w:after="70" w:line="270"/>
      </w:pPr>
      <w:r>
        <w:rPr>
          <w:rFonts w:ascii="Arial" w:cs="Arial" w:eastAsia="Arial" w:hAnsi="Arial"/>
          <w:b/>
          <w:bCs/>
          <w:sz w:val="21"/>
          <w:szCs w:val="21"/>
        </w:rPr>
        <w:t xml:space="preserve">docs/architecture_decision_records.md: </w:t>
      </w:r>
      <w:r>
        <w:rPr>
          <w:rFonts w:ascii="Arial" w:cs="Arial" w:eastAsia="Arial" w:hAnsi="Arial"/>
          <w:sz w:val="21"/>
          <w:szCs w:val="21"/>
        </w:rPr>
        <w:t xml:space="preserve">ADR-001 through ADR-009.</w:t>
      </w:r>
    </w:p>
    <w:p>
      <w:pPr>
        <w:pStyle w:val="ListParagraph"/>
        <w:numPr>
          <w:ilvl w:val="0"/>
          <w:numId w:val="2"/>
        </w:numPr>
        <w:spacing w:after="70" w:line="270"/>
      </w:pPr>
      <w:r>
        <w:rPr>
          <w:rFonts w:ascii="Arial" w:cs="Arial" w:eastAsia="Arial" w:hAnsi="Arial"/>
          <w:b/>
          <w:bCs/>
          <w:sz w:val="21"/>
          <w:szCs w:val="21"/>
        </w:rPr>
        <w:t xml:space="preserve">docs/modernization_deviations_and_rationales.md: </w:t>
      </w:r>
      <w:r>
        <w:rPr>
          <w:rFonts w:ascii="Arial" w:cs="Arial" w:eastAsia="Arial" w:hAnsi="Arial"/>
          <w:sz w:val="21"/>
          <w:szCs w:val="21"/>
        </w:rPr>
        <w:t xml:space="preserve">each intentional deviation from legacy behavior, with rationale and trade-offs.</w:t>
      </w:r>
    </w:p>
    <w:p>
      <w:pPr>
        <w:pStyle w:val="ListParagraph"/>
        <w:numPr>
          <w:ilvl w:val="0"/>
          <w:numId w:val="2"/>
        </w:numPr>
        <w:spacing w:after="70" w:line="270"/>
      </w:pPr>
      <w:r>
        <w:rPr>
          <w:rFonts w:ascii="Arial" w:cs="Arial" w:eastAsia="Arial" w:hAnsi="Arial"/>
          <w:b/>
          <w:bCs/>
          <w:sz w:val="21"/>
          <w:szCs w:val="21"/>
        </w:rPr>
        <w:t xml:space="preserve">docs/ai_guardrails_and_verification.md: </w:t>
      </w:r>
      <w:r>
        <w:rPr>
          <w:rFonts w:ascii="Arial" w:cs="Arial" w:eastAsia="Arial" w:hAnsi="Arial"/>
          <w:sz w:val="21"/>
          <w:szCs w:val="21"/>
        </w:rPr>
        <w:t xml:space="preserve">guardrails, verification tooling and limits.</w:t>
      </w:r>
    </w:p>
    <w:p>
      <w:pPr>
        <w:pStyle w:val="ListParagraph"/>
        <w:numPr>
          <w:ilvl w:val="0"/>
          <w:numId w:val="2"/>
        </w:numPr>
        <w:spacing w:after="70" w:line="270"/>
      </w:pPr>
      <w:r>
        <w:rPr>
          <w:rFonts w:ascii="Arial" w:cs="Arial" w:eastAsia="Arial" w:hAnsi="Arial"/>
          <w:b/>
          <w:bCs/>
          <w:sz w:val="21"/>
          <w:szCs w:val="21"/>
        </w:rPr>
        <w:t xml:space="preserve">docs/tokenomics_telemetry_audit.md: </w:t>
      </w:r>
      <w:r>
        <w:rPr>
          <w:rFonts w:ascii="Arial" w:cs="Arial" w:eastAsia="Arial" w:hAnsi="Arial"/>
          <w:sz w:val="21"/>
          <w:szCs w:val="21"/>
        </w:rPr>
        <w:t xml:space="preserve">AI usage during the build and runtime cost design.</w:t>
      </w:r>
    </w:p>
    <w:p>
      <w:pPr>
        <w:pStyle w:val="ListParagraph"/>
        <w:numPr>
          <w:ilvl w:val="0"/>
          <w:numId w:val="2"/>
        </w:numPr>
        <w:spacing w:after="70" w:line="270"/>
      </w:pPr>
      <w:r>
        <w:rPr>
          <w:rFonts w:ascii="Arial" w:cs="Arial" w:eastAsia="Arial" w:hAnsi="Arial"/>
          <w:b/>
          <w:bCs/>
          <w:sz w:val="21"/>
          <w:szCs w:val="21"/>
        </w:rPr>
        <w:t xml:space="preserve">docs/live_demonstration_guide.md: </w:t>
      </w:r>
      <w:r>
        <w:rPr>
          <w:rFonts w:ascii="Arial" w:cs="Arial" w:eastAsia="Arial" w:hAnsi="Arial"/>
          <w:sz w:val="21"/>
          <w:szCs w:val="21"/>
        </w:rPr>
        <w:t xml:space="preserve">step-by-step demonstration script and Q&amp;A sheet.</w:t>
      </w:r>
    </w:p>
    <w:p>
      <w:pPr>
        <w:pStyle w:val="ListParagraph"/>
        <w:numPr>
          <w:ilvl w:val="0"/>
          <w:numId w:val="2"/>
        </w:numPr>
        <w:spacing w:after="70" w:line="270"/>
      </w:pPr>
      <w:r>
        <w:rPr>
          <w:rFonts w:ascii="Arial" w:cs="Arial" w:eastAsia="Arial" w:hAnsi="Arial"/>
          <w:b/>
          <w:bCs/>
          <w:sz w:val="21"/>
          <w:szCs w:val="21"/>
        </w:rPr>
        <w:t xml:space="preserve">docs/migration_issue_log.md: </w:t>
      </w:r>
      <w:r>
        <w:rPr>
          <w:rFonts w:ascii="Arial" w:cs="Arial" w:eastAsia="Arial" w:hAnsi="Arial"/>
          <w:sz w:val="21"/>
          <w:szCs w:val="21"/>
        </w:rPr>
        <w:t xml:space="preserve">issues encountered, root causes and resolutions.</w:t>
      </w:r>
    </w:p>
    <w:p>
      <w:pPr>
        <w:pStyle w:val="ListParagraph"/>
        <w:numPr>
          <w:ilvl w:val="0"/>
          <w:numId w:val="2"/>
        </w:numPr>
        <w:spacing w:after="70" w:line="270"/>
      </w:pPr>
      <w:r>
        <w:rPr>
          <w:rFonts w:ascii="Arial" w:cs="Arial" w:eastAsia="Arial" w:hAnsi="Arial"/>
          <w:b/>
          <w:bCs/>
          <w:sz w:val="21"/>
          <w:szCs w:val="21"/>
        </w:rPr>
        <w:t xml:space="preserve">docs/evidence_index.md: </w:t>
      </w:r>
      <w:r>
        <w:rPr>
          <w:rFonts w:ascii="Arial" w:cs="Arial" w:eastAsia="Arial" w:hAnsi="Arial"/>
          <w:sz w:val="21"/>
          <w:szCs w:val="21"/>
        </w:rPr>
        <w:t xml:space="preserve">maps each assessment area to its evidence and how to verify it.</w:t>
      </w:r>
    </w:p>
    <w:p>
      <w:pPr>
        <w:pStyle w:val="Heading1"/>
        <w:spacing w:after="120" w:before="280"/>
      </w:pPr>
      <w:r>
        <w:rPr>
          <w:rFonts w:ascii="Arial" w:cs="Arial" w:eastAsia="Arial" w:hAnsi="Arial"/>
          <w:b/>
          <w:bCs/>
          <w:color w:val="1F3864"/>
          <w:sz w:val="28"/>
          <w:szCs w:val="28"/>
        </w:rPr>
        <w:t xml:space="preserve">10. Conclusion</w:t>
      </w:r>
    </w:p>
    <w:p>
      <w:pPr>
        <w:spacing w:after="120" w:line="276"/>
      </w:pPr>
      <w:r>
        <w:rPr>
          <w:rFonts w:ascii="Arial" w:cs="Arial" w:eastAsia="Arial" w:hAnsi="Arial"/>
          <w:sz w:val="21"/>
          <w:szCs w:val="21"/>
        </w:rPr>
        <w:t xml:space="preserve">The submission addresses each evaluation area in the brief: architecture analysis, context building, specification, architectural decisions, AI guardrails, CI/CD, a live demonstration, and tokenomics. It preserves the workflows and look of the original application, fixes the legacy plaintext password storage and session handling, and adds a small, catalog-grounded AI layer with no external cost. Known limitations are listed above and in the README.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JPetStore Modernization: Technical Assessment Submission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Assessment Submission Report</dc:title>
  <dc:creator>Angappan Ganesan</dc:creator>
  <cp:lastModifiedBy>Un-named</cp:lastModifiedBy>
  <cp:revision>1</cp:revision>
  <dcterms:created xsi:type="dcterms:W3CDTF">2026-10-29T04:15:44.845Z</dcterms:created>
  <dcterms:modified xsi:type="dcterms:W3CDTF">2026-10-29T04:15:44.846Z</dcterms:modified>
</cp:coreProperties>
</file>

<file path=docProps/custom.xml><?xml version="1.0" encoding="utf-8"?>
<Properties xmlns="http://schemas.openxmlformats.org/officeDocument/2006/custom-properties" xmlns:vt="http://schemas.openxmlformats.org/officeDocument/2006/docPropsVTypes"/>
</file>