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3b3f7b"/>
          <w:sz w:val="40"/>
          <w:szCs w:val="40"/>
          <w:rtl w:val="0"/>
        </w:rPr>
        <w:t xml:space="preserve">Note de cadrage </w:t>
      </w:r>
      <w:r w:rsidDel="00000000" w:rsidR="00000000" w:rsidRPr="00000000">
        <w:rPr>
          <w:b w:val="1"/>
          <w:bCs w:val="1"/>
          <w:color w:val="3b3f7b"/>
          <w:sz w:val="40"/>
          <w:szCs w:val="40"/>
          <w:rtl w:val="0"/>
        </w:rPr>
        <w:t xml:space="preserve">technique </w:t>
      </w:r>
      <w:r w:rsidDel="00000000" w:rsidR="00000000" w:rsidRPr="00000000">
        <w:rPr>
          <w:rFonts w:ascii="Calibri" w:cs="Calibri" w:eastAsia="Calibri" w:hAnsi="Calibri"/>
          <w:b w:val="1"/>
          <w:bCs w:val="1"/>
          <w:color w:val="3b3f7b"/>
          <w:sz w:val="40"/>
          <w:szCs w:val="40"/>
          <w:rtl w:val="0"/>
        </w:rPr>
        <w:t xml:space="preserve">de la plateforme</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i w:val="1"/>
          <w:iCs w:val="1"/>
          <w:color w:val="6b6a85"/>
          <w:sz w:val="24"/>
          <w:szCs w:val="24"/>
          <w:rtl w:val="0"/>
        </w:rPr>
        <w:t xml:space="preserve">[Projet] — Architecture technique et estimation budgétaire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color w:val="6b6a85"/>
          <w:rtl w:val="0"/>
        </w:rPr>
        <w:t xml:space="preserve">Arnaud BRETON  ·  Likyly  ·  </w:t>
      </w:r>
      <w:r w:rsidDel="00000000" w:rsidR="00000000" w:rsidRPr="00000000">
        <w:rPr>
          <w:rFonts w:ascii="Calibri" w:cs="Calibri" w:eastAsia="Calibri" w:hAnsi="Calibri"/>
          <w:b w:val="1"/>
          <w:bCs w:val="1"/>
          <w:color w:val="5742de"/>
          <w:rtl w:val="0"/>
        </w:rPr>
        <w:t xml:space="preserve">v0.1  ·  Proposition · document de travail</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i w:val="1"/>
          <w:iCs w:val="1"/>
          <w:color w:val="6b6a85"/>
          <w:rtl w:val="0"/>
        </w:rPr>
        <w:t xml:space="preserve">Cette note cadre la plateforme technique (composants, flux, serveurs, services tiers, coûts). Elle est distincte du cadrage fonctionnel de l'application SaaS, qui décrit les besoins métier et les parcours utilisateurs. Les schémas sont indicatifs et servent de base de co-construction ; ils évolueront par itérations.</w:t>
      </w:r>
      <w:r w:rsidDel="00000000" w:rsidR="00000000" w:rsidRPr="00000000">
        <w:rPr>
          <w:rtl w:val="0"/>
        </w:rPr>
      </w:r>
    </w:p>
    <w:p w:rsidR="00000000" w:rsidDel="00000000" w:rsidP="00000000" w:rsidRDefault="00000000" w:rsidRPr="00000000" w14:paraId="00000005">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1.  Objet et périmètre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Calibri" w:cs="Calibri" w:eastAsia="Calibri" w:hAnsi="Calibri"/>
          <w:rtl w:val="0"/>
        </w:rPr>
        <w:t xml:space="preserve">Objectif de la note : partager une vision technique cible de la plateforme, cadrer la partie serveurs, et fournir une première estimation budgétaire (coûts récurrents et coûts de mise en place).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Inclus : architecture technique, flux, composants serveurs, services tiers, exploitation, budget indicatif.</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Exclu : cadrage fonctionnel de l’application (parcours, règles métier, backlog), traité séparément.</w:t>
      </w:r>
    </w:p>
    <w:p w:rsidR="00000000" w:rsidDel="00000000" w:rsidP="00000000" w:rsidRDefault="00000000" w:rsidRPr="00000000" w14:paraId="00000009">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2.  Décisions et hypothèses structurantes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600"/>
        <w:gridCol w:w="2226"/>
        <w:tblGridChange w:id="0">
          <w:tblGrid>
            <w:gridCol w:w="2000"/>
            <w:gridCol w:w="2200"/>
            <w:gridCol w:w="2600"/>
            <w:gridCol w:w="22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3b3f7b"/>
                <w:rtl w:val="0"/>
              </w:rPr>
              <w:t xml:space="preserve">Décision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3b3f7b"/>
                <w:rtl w:val="0"/>
              </w:rPr>
              <w:t xml:space="preserve">Choix retenu</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3b3f7b"/>
                <w:rtl w:val="0"/>
              </w:rPr>
              <w:t xml:space="preserve">Justification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3b3f7b"/>
                <w:rtl w:val="0"/>
              </w:rPr>
              <w:t xml:space="preserve">Condition de remise en cause</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rtl w:val="0"/>
              </w:rPr>
              <w:t xml:space="preserve">Style d'architecture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rtl w:val="0"/>
              </w:rPr>
              <w:t xml:space="preserve">Headless (API en surcouche)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i w:val="1"/>
                <w:iCs w:val="1"/>
                <w:color w:val="6b6a85"/>
                <w:rtl w:val="0"/>
              </w:rPr>
              <w:t xml:space="preserve">[à justifier : multi-canal, découplage]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i w:val="1"/>
                <w:iCs w:val="1"/>
                <w:color w:val="6b6a85"/>
                <w:rtl w:val="0"/>
              </w:rPr>
              <w:t xml:space="preserve">[signal qui ferait rebasculer]</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rtl w:val="0"/>
              </w:rPr>
              <w:t xml:space="preserve">Hébergement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i w:val="1"/>
                <w:iCs w:val="1"/>
                <w:color w:val="6b6a85"/>
                <w:rtl w:val="0"/>
              </w:rPr>
              <w:t xml:space="preserve">[Cloud / on-prem · hébergeur]</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i w:val="1"/>
                <w:iCs w:val="1"/>
                <w:color w:val="6b6a85"/>
                <w:rtl w:val="0"/>
              </w:rPr>
              <w:t xml:space="preserve">[Autre décision]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r>
    </w:tbl>
    <w:p w:rsidR="00000000" w:rsidDel="00000000" w:rsidP="00000000" w:rsidRDefault="00000000" w:rsidRPr="00000000" w14:paraId="0000001A">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3.  Vue fonctionnelle de la plateforme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cbaeb" w:space="0" w:sz="6" w:val="single"/>
              <w:left w:color="bcbaeb" w:space="0" w:sz="6" w:val="single"/>
              <w:bottom w:color="bcbaeb" w:space="0" w:sz="6" w:val="single"/>
              <w:right w:color="bcbaeb" w:space="0" w:sz="6" w:val="single"/>
            </w:tcBorders>
            <w:shd w:fill="f3f2fb" w:val="clear"/>
            <w:tcMar>
              <w:top w:w="180.0" w:type="dxa"/>
              <w:left w:w="150.0" w:type="dxa"/>
              <w:bottom w:w="180.0" w:type="dxa"/>
              <w:right w:w="150.0" w:type="dxa"/>
            </w:tcMar>
          </w:tcPr>
          <w:p w:rsidR="00000000" w:rsidDel="00000000" w:rsidP="00000000" w:rsidRDefault="00000000" w:rsidRPr="00000000" w14:paraId="0000001B">
            <w:pPr>
              <w:jc w:val="center"/>
              <w:rPr/>
            </w:pPr>
            <w:r w:rsidDel="00000000" w:rsidR="00000000" w:rsidRPr="00000000">
              <w:rPr>
                <w:rFonts w:ascii="Calibri" w:cs="Calibri" w:eastAsia="Calibri" w:hAnsi="Calibri"/>
                <w:i w:val="1"/>
                <w:iCs w:val="1"/>
                <w:color w:val="4534b0"/>
                <w:rtl w:val="0"/>
              </w:rPr>
              <w:t xml:space="preserve">▢  Insérer le schéma des flux fonctionnels — image exportée depuis l’éditeur de schémas (schéma logique)</w:t>
            </w:r>
            <w:r w:rsidDel="00000000" w:rsidR="00000000" w:rsidRPr="00000000">
              <w:rPr>
                <w:rtl w:val="0"/>
              </w:rPr>
            </w:r>
          </w:p>
        </w:tc>
      </w:tr>
    </w:tbl>
    <w:p w:rsidR="00000000" w:rsidDel="00000000" w:rsidP="00000000" w:rsidRDefault="00000000" w:rsidRPr="00000000" w14:paraId="0000001C">
      <w:pPr>
        <w:spacing w:before="100" w:lineRule="auto"/>
        <w:rPr/>
      </w:pPr>
      <w:r w:rsidDel="00000000" w:rsidR="00000000" w:rsidRPr="00000000">
        <w:rPr>
          <w:rFonts w:ascii="Calibri" w:cs="Calibri" w:eastAsia="Calibri" w:hAnsi="Calibri"/>
          <w:rtl w:val="0"/>
        </w:rPr>
        <w:t xml:space="preserve">Commentaire : présentation des grandes briques fonctionnelles et de la circulation de l'information, indépendamment de toute technologie.</w:t>
      </w:r>
      <w:r w:rsidDel="00000000" w:rsidR="00000000" w:rsidRPr="00000000">
        <w:rPr>
          <w:rtl w:val="0"/>
        </w:rPr>
      </w:r>
    </w:p>
    <w:p w:rsidR="00000000" w:rsidDel="00000000" w:rsidP="00000000" w:rsidRDefault="00000000" w:rsidRPr="00000000" w14:paraId="0000001D">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4.  Référentiel des composants techniques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400"/>
        <w:gridCol w:w="1800"/>
        <w:gridCol w:w="1626"/>
        <w:tblGridChange w:id="0">
          <w:tblGrid>
            <w:gridCol w:w="2000"/>
            <w:gridCol w:w="2200"/>
            <w:gridCol w:w="1400"/>
            <w:gridCol w:w="1800"/>
            <w:gridCol w:w="16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3b3f7b"/>
                <w:rtl w:val="0"/>
              </w:rPr>
              <w:t xml:space="preserve">Composant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3b3f7b"/>
                <w:rtl w:val="0"/>
              </w:rPr>
              <w:t xml:space="preserve">Technologie / Produit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3b3f7b"/>
                <w:rtl w:val="0"/>
              </w:rPr>
              <w:t xml:space="preserve">Version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3b3f7b"/>
                <w:rtl w:val="0"/>
              </w:rPr>
              <w:t xml:space="preserve">Hébergement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3b3f7b"/>
                <w:rtl w:val="0"/>
              </w:rPr>
              <w:t xml:space="preserve">Serveur</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rtl w:val="0"/>
              </w:rPr>
              <w:t xml:space="preserve">Front web</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rtl w:val="0"/>
              </w:rPr>
              <w:t xml:space="preserve">srv-front</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rtl w:val="0"/>
              </w:rPr>
              <w:t xml:space="preserve">API Métier</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rtl w:val="0"/>
              </w:rPr>
              <w:t xml:space="preserve">srv-app</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rtl w:val="0"/>
              </w:rPr>
              <w:t xml:space="preserve">Base relationnelle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E">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rtl w:val="0"/>
              </w:rPr>
              <w:t xml:space="preserve">srv-db</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r>
    </w:tbl>
    <w:p w:rsidR="00000000" w:rsidDel="00000000" w:rsidP="00000000" w:rsidRDefault="00000000" w:rsidRPr="00000000" w14:paraId="00000037">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5.  Architecture technique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cbaeb" w:space="0" w:sz="6" w:val="single"/>
              <w:left w:color="bcbaeb" w:space="0" w:sz="6" w:val="single"/>
              <w:bottom w:color="bcbaeb" w:space="0" w:sz="6" w:val="single"/>
              <w:right w:color="bcbaeb" w:space="0" w:sz="6" w:val="single"/>
            </w:tcBorders>
            <w:shd w:fill="f3f2fb" w:val="clear"/>
            <w:tcMar>
              <w:top w:w="180.0" w:type="dxa"/>
              <w:left w:w="150.0" w:type="dxa"/>
              <w:bottom w:w="180.0" w:type="dxa"/>
              <w:right w:w="15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i w:val="1"/>
                <w:iCs w:val="1"/>
                <w:color w:val="4534b0"/>
                <w:rtl w:val="0"/>
              </w:rPr>
              <w:t xml:space="preserve">▢  Insérer le schéma d’architecture technique — image exportée depuis l’éditeur de schémas (schéma physique)</w:t>
            </w:r>
            <w:r w:rsidDel="00000000" w:rsidR="00000000" w:rsidRPr="00000000">
              <w:rPr>
                <w:rtl w:val="0"/>
              </w:rPr>
            </w:r>
          </w:p>
        </w:tc>
      </w:tr>
    </w:tbl>
    <w:p w:rsidR="00000000" w:rsidDel="00000000" w:rsidP="00000000" w:rsidRDefault="00000000" w:rsidRPr="00000000" w14:paraId="00000039">
      <w:pPr>
        <w:spacing w:before="100" w:lineRule="auto"/>
        <w:rPr/>
      </w:pPr>
      <w:r w:rsidDel="00000000" w:rsidR="00000000" w:rsidRPr="00000000">
        <w:rPr>
          <w:rFonts w:ascii="Calibri" w:cs="Calibri" w:eastAsia="Calibri" w:hAnsi="Calibri"/>
          <w:rtl w:val="0"/>
        </w:rPr>
        <w:t xml:space="preserve">Commentaire : rôles techniques et déploiement logique. L'API Métier est un point d'entrée unique qui encapsule les API tierces (surcouche). Le CDN diffuse les assets JS/CSS et les médias.</w:t>
      </w:r>
      <w:r w:rsidDel="00000000" w:rsidR="00000000" w:rsidRPr="00000000">
        <w:rPr>
          <w:rtl w:val="0"/>
        </w:rPr>
      </w:r>
    </w:p>
    <w:p w:rsidR="00000000" w:rsidDel="00000000" w:rsidP="00000000" w:rsidRDefault="00000000" w:rsidRPr="00000000" w14:paraId="0000003A">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6.  Composants serveurs et dimensionnement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2400"/>
        <w:gridCol w:w="900"/>
        <w:gridCol w:w="1726"/>
        <w:tblGridChange w:id="0">
          <w:tblGrid>
            <w:gridCol w:w="2600"/>
            <w:gridCol w:w="1400"/>
            <w:gridCol w:w="2400"/>
            <w:gridCol w:w="900"/>
            <w:gridCol w:w="17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3b3f7b"/>
                <w:rtl w:val="0"/>
              </w:rPr>
              <w:t xml:space="preserve">Composant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3b3f7b"/>
                <w:rtl w:val="0"/>
              </w:rPr>
              <w:t xml:space="preserve">Type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3b3f7b"/>
                <w:rtl w:val="0"/>
              </w:rPr>
              <w:t xml:space="preserve">Dimensionnement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3b3f7b"/>
                <w:rtl w:val="0"/>
              </w:rPr>
              <w:t xml:space="preserve">Qté</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3b3f7b"/>
                <w:rtl w:val="0"/>
              </w:rPr>
              <w:t xml:space="preserve">Coût /mois (est.)</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rtl w:val="0"/>
              </w:rPr>
              <w:t xml:space="preserve">srv-app — applicative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rtl w:val="0"/>
              </w:rPr>
              <w:t xml:space="preserve">VM</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rtl w:val="0"/>
              </w:rPr>
              <w:t xml:space="preserve">8 vCPU / 16 Go / 100 Go</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rtl w:val="0"/>
              </w:rPr>
              <w:t xml:space="preserve">srv-worker — asynchrone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rtl w:val="0"/>
              </w:rPr>
              <w:t xml:space="preserve">VM</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rtl w:val="0"/>
              </w:rPr>
              <w:t xml:space="preserve">4 vCPU / 8 Go / 50 Go</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rtl w:val="0"/>
              </w:rPr>
              <w:t xml:space="preserve">srv-db — base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rtl w:val="0"/>
              </w:rPr>
              <w:t xml:space="preserve">managé</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rtl w:val="0"/>
              </w:rPr>
              <w:t xml:space="preserve">8 vCPU / 32 Go / 200 Go</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r>
      <w:tr>
        <w:trPr>
          <w:cantSplit w:val="0"/>
          <w:tblHeader w:val="0"/>
        </w:trPr>
        <w:tc>
          <w:tcPr>
            <w:gridSpan w:val="4"/>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3b3f7b"/>
                <w:rtl w:val="0"/>
              </w:rPr>
              <w:t xml:space="preserve">Total récurrent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3b3f7b"/>
                <w:rtl w:val="0"/>
              </w:rPr>
              <w:t xml:space="preserve">[€ … / mois]</w:t>
            </w:r>
            <w:r w:rsidDel="00000000" w:rsidR="00000000" w:rsidRPr="00000000">
              <w:rPr>
                <w:rtl w:val="0"/>
              </w:rPr>
            </w:r>
          </w:p>
        </w:tc>
      </w:tr>
      <w:tr>
        <w:trPr>
          <w:cantSplit w:val="0"/>
          <w:tblHeader w:val="0"/>
        </w:trPr>
        <w:tc>
          <w:tcPr>
            <w:gridSpan w:val="4"/>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3b3f7b"/>
                <w:rtl w:val="0"/>
              </w:rPr>
              <w:t xml:space="preserve">Mise en place (DevOps, déploiement) — coût unique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3b3f7b"/>
                <w:rtl w:val="0"/>
              </w:rPr>
              <w:t xml:space="preserve">[€ … one-shot]</w:t>
            </w:r>
            <w:r w:rsidDel="00000000" w:rsidR="00000000" w:rsidRPr="00000000">
              <w:rPr>
                <w:rtl w:val="0"/>
              </w:rPr>
            </w:r>
          </w:p>
        </w:tc>
      </w:tr>
    </w:tbl>
    <w:p w:rsidR="00000000" w:rsidDel="00000000" w:rsidP="00000000" w:rsidRDefault="00000000" w:rsidRPr="00000000" w14:paraId="0000005E">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7.  Services tiers (API externes)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2100"/>
        <w:gridCol w:w="1500"/>
        <w:gridCol w:w="1326"/>
        <w:tblGridChange w:id="0">
          <w:tblGrid>
            <w:gridCol w:w="2200"/>
            <w:gridCol w:w="1900"/>
            <w:gridCol w:w="2100"/>
            <w:gridCol w:w="1500"/>
            <w:gridCol w:w="13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3b3f7b"/>
                <w:rtl w:val="0"/>
              </w:rPr>
              <w:t xml:space="preserve">Catégorie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3b3f7b"/>
                <w:rtl w:val="0"/>
              </w:rPr>
              <w:t xml:space="preserve">Intégration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3b3f7b"/>
                <w:rtl w:val="0"/>
              </w:rPr>
              <w:t xml:space="preserve">Modèle tarifaire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3b3f7b"/>
                <w:rtl w:val="0"/>
              </w:rPr>
              <w:t xml:space="preserve">Coût /mois (est.)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3b3f7b"/>
                <w:rtl w:val="0"/>
              </w:rPr>
              <w:t xml:space="preserve">Criticité</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rtl w:val="0"/>
              </w:rPr>
              <w:t xml:space="preserve">Paiement &amp; abonnement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rtl w:val="0"/>
              </w:rPr>
              <w:t xml:space="preserve">API + Webhooks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rtl w:val="0"/>
              </w:rPr>
              <w:t xml:space="preserve">% + fixe / transaction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rtl w:val="0"/>
              </w:rPr>
              <w:t xml:space="preserve">Critique</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rtl w:val="0"/>
              </w:rPr>
              <w:t xml:space="preserve">IA / inférence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rtl w:val="0"/>
              </w:rPr>
              <w:t xml:space="preserve">Endpoint API</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rtl w:val="0"/>
              </w:rPr>
              <w:t xml:space="preserve">à l'usage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rtl w:val="0"/>
              </w:rPr>
              <w:t xml:space="preserve">Élevée</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rtl w:val="0"/>
              </w:rPr>
              <w:t xml:space="preserve">Email / SMS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rtl w:val="0"/>
              </w:rPr>
              <w:t xml:space="preserve">Endpoint API</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rtl w:val="0"/>
              </w:rPr>
              <w:t xml:space="preserve">à l'usage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rtl w:val="0"/>
              </w:rPr>
              <w:t xml:space="preserve">Moyenne</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r>
      <w:tr>
        <w:trPr>
          <w:cantSplit w:val="0"/>
          <w:tblHeader w:val="0"/>
        </w:trPr>
        <w:tc>
          <w:tcPr>
            <w:gridSpan w:val="3"/>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3b3f7b"/>
                <w:rtl w:val="0"/>
              </w:rPr>
              <w:t xml:space="preserve">Total récurrent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3b3f7b"/>
                <w:rtl w:val="0"/>
              </w:rPr>
              <w:t xml:space="preserve">[€ … / mois]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7C">
            <w:pPr>
              <w:rPr/>
            </w:pPr>
            <w:r w:rsidDel="00000000" w:rsidR="00000000" w:rsidRPr="00000000">
              <w:rPr>
                <w:rtl w:val="0"/>
              </w:rPr>
            </w:r>
          </w:p>
        </w:tc>
      </w:tr>
      <w:tr>
        <w:trPr>
          <w:cantSplit w:val="0"/>
          <w:tblHeader w:val="0"/>
        </w:trPr>
        <w:tc>
          <w:tcPr>
            <w:gridSpan w:val="3"/>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1"/>
                <w:bCs w:val="1"/>
                <w:color w:val="3b3f7b"/>
                <w:rtl w:val="0"/>
              </w:rPr>
              <w:t xml:space="preserve">Intégration de l'ensemble des services — temps de mise en place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3b3f7b"/>
                <w:rtl w:val="0"/>
              </w:rPr>
              <w:t xml:space="preserve">[… j/h]</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8.  Estimation budgétaire (synthèse)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600"/>
        <w:gridCol w:w="2626"/>
        <w:tblGridChange w:id="0">
          <w:tblGrid>
            <w:gridCol w:w="3800"/>
            <w:gridCol w:w="2600"/>
            <w:gridCol w:w="26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3b3f7b"/>
                <w:rtl w:val="0"/>
              </w:rPr>
              <w:t xml:space="preserve">Poste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3b3f7b"/>
                <w:rtl w:val="0"/>
              </w:rPr>
              <w:t xml:space="preserve">Nature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3b3f7b"/>
                <w:rtl w:val="0"/>
              </w:rPr>
              <w:t xml:space="preserve">Montant (est.)</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rtl w:val="0"/>
              </w:rPr>
              <w:t xml:space="preserve">Composants serveurs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rtl w:val="0"/>
              </w:rPr>
              <w:t xml:space="preserve">Récurrent mensuel</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i w:val="1"/>
                <w:iCs w:val="1"/>
                <w:color w:val="6b6a85"/>
                <w:rtl w:val="0"/>
              </w:rPr>
              <w:t xml:space="preserve">[€ … / mois]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rtl w:val="0"/>
              </w:rPr>
              <w:t xml:space="preserve">Services tiers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rtl w:val="0"/>
              </w:rPr>
              <w:t xml:space="preserve">Récurrent mensuel</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i w:val="1"/>
                <w:iCs w:val="1"/>
                <w:color w:val="6b6a85"/>
                <w:rtl w:val="0"/>
              </w:rPr>
              <w:t xml:space="preserve">[€ … / mois]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3b3f7b"/>
                <w:rtl w:val="0"/>
              </w:rPr>
              <w:t xml:space="preserve">Total récurrent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3b3f7b"/>
                <w:rtl w:val="0"/>
              </w:rPr>
              <w:t xml:space="preserve">Fonctionnement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f3f2fb" w:val="clear"/>
            <w:tcMar>
              <w:top w:w="60.0" w:type="dxa"/>
              <w:left w:w="110.0" w:type="dxa"/>
              <w:bottom w:w="60.0" w:type="dxa"/>
              <w:right w:w="11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3b3f7b"/>
                <w:rtl w:val="0"/>
              </w:rPr>
              <w:t xml:space="preserve">[€ … / mois]</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rtl w:val="0"/>
              </w:rPr>
              <w:t xml:space="preserve">Mise en place infrastructure (DevOps, déploiement)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rtl w:val="0"/>
              </w:rPr>
              <w:t xml:space="preserve">Coût unique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i w:val="1"/>
                <w:iCs w:val="1"/>
                <w:color w:val="6b6a85"/>
                <w:rtl w:val="0"/>
              </w:rPr>
              <w:t xml:space="preserve">[€ …]</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rtl w:val="0"/>
              </w:rPr>
              <w:t xml:space="preserve">Intégration des services tiers</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Charge projet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i w:val="1"/>
                <w:iCs w:val="1"/>
                <w:color w:val="6b6a85"/>
                <w:rtl w:val="0"/>
              </w:rPr>
              <w:t xml:space="preserve">[… j/h]</w:t>
            </w:r>
            <w:r w:rsidDel="00000000" w:rsidR="00000000" w:rsidRPr="00000000">
              <w:rPr>
                <w:rtl w:val="0"/>
              </w:rPr>
            </w:r>
          </w:p>
        </w:tc>
      </w:tr>
    </w:tbl>
    <w:p w:rsidR="00000000" w:rsidDel="00000000" w:rsidP="00000000" w:rsidRDefault="00000000" w:rsidRPr="00000000" w14:paraId="00000095">
      <w:pPr>
        <w:spacing w:before="80" w:lineRule="auto"/>
        <w:rPr/>
      </w:pPr>
      <w:r w:rsidDel="00000000" w:rsidR="00000000" w:rsidRPr="00000000">
        <w:rPr>
          <w:rFonts w:ascii="Calibri" w:cs="Calibri" w:eastAsia="Calibri" w:hAnsi="Calibri"/>
          <w:i w:val="1"/>
          <w:iCs w:val="1"/>
          <w:color w:val="6b6a85"/>
          <w:rtl w:val="0"/>
        </w:rPr>
        <w:t xml:space="preserve">Montants indicatifs, à consolider avec les devis de l’hébergeur et des fournisseurs tiers.</w:t>
      </w:r>
      <w:r w:rsidDel="00000000" w:rsidR="00000000" w:rsidRPr="00000000">
        <w:rPr>
          <w:rtl w:val="0"/>
        </w:rPr>
      </w:r>
    </w:p>
    <w:p w:rsidR="00000000" w:rsidDel="00000000" w:rsidP="00000000" w:rsidRDefault="00000000" w:rsidRPr="00000000" w14:paraId="00000096">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9.  Exploitation (run)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Supervision et métriques.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Journalisation centralisée et traces.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Alerting et astreinte.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Sauvegardes et restauration.</w:t>
      </w:r>
    </w:p>
    <w:p w:rsidR="00000000" w:rsidDel="00000000" w:rsidP="00000000" w:rsidRDefault="00000000" w:rsidRPr="00000000" w14:paraId="0000009B">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10.  Matrice de flux</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Fonts w:ascii="Calibri" w:cs="Calibri" w:eastAsia="Calibri" w:hAnsi="Calibri"/>
          <w:rtl w:val="0"/>
        </w:rPr>
        <w:t xml:space="preserve">Destinée aux équipes sécurité et réseau. Adresses IP à confirmer (plan d’adressage indicatif).</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2400"/>
        <w:gridCol w:w="2200"/>
        <w:gridCol w:w="1326"/>
        <w:tblGridChange w:id="0">
          <w:tblGrid>
            <w:gridCol w:w="700"/>
            <w:gridCol w:w="2400"/>
            <w:gridCol w:w="2400"/>
            <w:gridCol w:w="2200"/>
            <w:gridCol w:w="1326"/>
          </w:tblGrid>
        </w:tblGridChange>
      </w:tblGrid>
      <w:tr>
        <w:trPr>
          <w:cantSplit w:val="0"/>
          <w:tblHeader w:val="1"/>
        </w:trPr>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3b3f7b"/>
                <w:rtl w:val="0"/>
              </w:rPr>
              <w:t xml:space="preserve">ID</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3b3f7b"/>
                <w:rtl w:val="0"/>
              </w:rPr>
              <w:t xml:space="preserve">Source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3b3f7b"/>
                <w:rtl w:val="0"/>
              </w:rPr>
              <w:t xml:space="preserve">Destination</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3b3f7b"/>
                <w:rtl w:val="0"/>
              </w:rPr>
              <w:t xml:space="preserve">Protocole · Port</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shd w:fill="bcbaeb" w:val="clear"/>
            <w:tcMar>
              <w:top w:w="60.0" w:type="dxa"/>
              <w:left w:w="110.0" w:type="dxa"/>
              <w:bottom w:w="60.0" w:type="dxa"/>
              <w:right w:w="11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3b3f7b"/>
                <w:rtl w:val="0"/>
              </w:rPr>
              <w:t xml:space="preserve">Sens d’init.</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rtl w:val="0"/>
              </w:rPr>
              <w:t xml:space="preserve">F1</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rtl w:val="0"/>
              </w:rPr>
              <w:t xml:space="preserve">Navigateur / mobile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rtl w:val="0"/>
              </w:rPr>
              <w:t xml:space="preserve">CDN + WAF</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rtl w:val="0"/>
              </w:rPr>
              <w:t xml:space="preserve">HTTPS · 443</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rtl w:val="0"/>
              </w:rPr>
              <w:t xml:space="preserve">client →</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rtl w:val="0"/>
              </w:rPr>
              <w:t xml:space="preserve">F5</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rtl w:val="0"/>
              </w:rPr>
              <w:t xml:space="preserve">srv-app</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rtl w:val="0"/>
              </w:rPr>
              <w:t xml:space="preserve">srv-db (base)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rtl w:val="0"/>
              </w:rPr>
              <w:t xml:space="preserve">PostgreSQL · 5432</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rtl w:val="0"/>
              </w:rPr>
              <w:t xml:space="preserve">app →</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rtl w:val="0"/>
              </w:rPr>
              <w:t xml:space="preserve">F8</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rtl w:val="0"/>
              </w:rPr>
              <w:t xml:space="preserve">srv-worker</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rtl w:val="0"/>
              </w:rPr>
              <w:t xml:space="preserve">API inférence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rtl w:val="0"/>
              </w:rPr>
              <w:t xml:space="preserve">HTTPS · 443</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rtl w:val="0"/>
              </w:rPr>
              <w:t xml:space="preserve">worker →</w:t>
            </w:r>
            <w:r w:rsidDel="00000000" w:rsidR="00000000" w:rsidRPr="00000000">
              <w:rPr>
                <w:rtl w:val="0"/>
              </w:rPr>
            </w:r>
          </w:p>
        </w:tc>
      </w:tr>
      <w:tr>
        <w:trPr>
          <w:cantSplit w:val="0"/>
          <w:tblHeader w:val="0"/>
        </w:trPr>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c>
          <w:tcPr>
            <w:tcBorders>
              <w:top w:color="bcbaeb" w:space="0" w:sz="4" w:val="single"/>
              <w:left w:color="bcbaeb" w:space="0" w:sz="4" w:val="single"/>
              <w:bottom w:color="bcbaeb" w:space="0" w:sz="4" w:val="single"/>
              <w:right w:color="bcbaeb" w:space="0" w:sz="4" w:val="single"/>
            </w:tcBorders>
            <w:tcMar>
              <w:top w:w="60.0" w:type="dxa"/>
              <w:left w:w="110.0" w:type="dxa"/>
              <w:bottom w:w="60.0" w:type="dxa"/>
              <w:right w:w="11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i w:val="1"/>
                <w:iCs w:val="1"/>
                <w:color w:val="6b6a85"/>
                <w:rtl w:val="0"/>
              </w:rPr>
              <w:t xml:space="preserve">[…]</w:t>
            </w:r>
            <w:r w:rsidDel="00000000" w:rsidR="00000000" w:rsidRPr="00000000">
              <w:rPr>
                <w:rtl w:val="0"/>
              </w:rPr>
            </w:r>
          </w:p>
        </w:tc>
      </w:tr>
    </w:tbl>
    <w:p w:rsidR="00000000" w:rsidDel="00000000" w:rsidP="00000000" w:rsidRDefault="00000000" w:rsidRPr="00000000" w14:paraId="000000B6">
      <w:pPr>
        <w:pBdr>
          <w:bottom w:color="bcbaeb" w:space="3" w:sz="12" w:val="single"/>
        </w:pBdr>
        <w:spacing w:after="120" w:before="300" w:lineRule="auto"/>
        <w:rPr/>
      </w:pPr>
      <w:r w:rsidDel="00000000" w:rsidR="00000000" w:rsidRPr="00000000">
        <w:rPr>
          <w:rFonts w:ascii="Calibri" w:cs="Calibri" w:eastAsia="Calibri" w:hAnsi="Calibri"/>
          <w:b w:val="1"/>
          <w:bCs w:val="1"/>
          <w:color w:val="3b3f7b"/>
          <w:sz w:val="28"/>
          <w:szCs w:val="28"/>
          <w:rtl w:val="0"/>
        </w:rPr>
        <w:t xml:space="preserve">11.  Prochaines étapes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Valider les décisions structurantes et les hypothèses de dimensionnement.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Consolider les coûts avec les devis hébergeur et fournisseurs.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Itérer sur l’architecture selon les retours.</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tabs>
        <w:tab w:val="right" w:leader="none" w:pos="9026"/>
      </w:tabs>
      <w:rPr/>
    </w:pPr>
    <w:r w:rsidDel="00000000" w:rsidR="00000000" w:rsidRPr="00000000">
      <w:rPr>
        <w:rFonts w:ascii="Calibri" w:cs="Calibri" w:eastAsia="Calibri" w:hAnsi="Calibri"/>
        <w:color w:val="6b6a85"/>
        <w:sz w:val="16"/>
        <w:szCs w:val="16"/>
        <w:rtl w:val="0"/>
      </w:rPr>
      <w:t xml:space="preserve">Likyly · Confidentiel — document de travail</w:t>
    </w:r>
    <w:r w:rsidDel="00000000" w:rsidR="00000000" w:rsidRPr="00000000">
      <w:rPr>
        <w:rtl w:val="0"/>
      </w:rPr>
      <w:tab/>
    </w:r>
    <w:r w:rsidDel="00000000" w:rsidR="00000000" w:rsidRPr="00000000">
      <w:rPr>
        <w:rFonts w:ascii="Calibri" w:cs="Calibri" w:eastAsia="Calibri" w:hAnsi="Calibri"/>
        <w:color w:val="6b6a85"/>
        <w:sz w:val="16"/>
        <w:szCs w:val="16"/>
        <w:rtl w:val="0"/>
      </w:rPr>
      <w:t xml:space="preserve">Page </w:t>
    </w:r>
    <w:r w:rsidDel="00000000" w:rsidR="00000000" w:rsidRPr="00000000">
      <w:rPr>
        <w:rFonts w:ascii="Calibri" w:cs="Calibri" w:eastAsia="Calibri" w:hAnsi="Calibri"/>
        <w:color w:val="6b6a8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b6a85"/>
        <w:sz w:val="16"/>
        <w:szCs w:val="16"/>
        <w:rtl w:val="0"/>
      </w:rPr>
      <w:t xml:space="preserve"> / </w:t>
    </w:r>
    <w:r w:rsidDel="00000000" w:rsidR="00000000" w:rsidRPr="00000000">
      <w:rPr>
        <w:rFonts w:ascii="Calibri" w:cs="Calibri" w:eastAsia="Calibri" w:hAnsi="Calibri"/>
        <w:color w:val="6b6a85"/>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1q0gZ4o4VN72/ZcOVOvT3GP5Aw==">CgMxLjA4AHIhMVR5RUFuT3dUa2Y4ell1cHZSakFTcEc5NGdBLUdBdzVm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2026-08-10T08:57:22.152Z</dcterms:created>
  <dc:creator>Un-named</dc:creator>
</cp:coreProperties>
</file>

<file path=docProps/custom.xml><?xml version="1.0" encoding="utf-8"?>
<Properties xmlns="http://schemas.openxmlformats.org/officeDocument/2006/custom-properties" xmlns:vt="http://schemas.openxmlformats.org/officeDocument/2006/docPropsVTypes"/>
</file>