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cine;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cine;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cliente(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nombre VARCHAR(100),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apellido VARCHAR(100),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DNI int(10),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tarjeta int(16),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contraseña VARCHAR(40),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numero VARCHAR(18),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correo_electronico VARCHAR(100),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PRIMARY KEY(DNI)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pelicula(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nombre VARCHAR(100),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director VARCHAR(100),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duracion int(3),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dimensiones VARCHAR(2),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genero VARCHAR(100),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ID int(10) AUTO_INCREMENT,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PRIMARY KEY(ID)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sala(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ID int(10) AUTO_INCREMENT,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pelicula int(10),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PRIMARY KEY(ID),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FOREIGN KEY(pelicula) REFERENCES pelicula(ID)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recerbar(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sala int(10),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cliente int(10),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ID int(10),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PRIMARY KEY(ID),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FOREIGN KEY(sala) REFERENCES sala(ID),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FOREIGN KEY(cliente) REFERENCES cliente(DNI)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asiento(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ID int(10) AUTO_INCREMENT,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fila VARCHAR(2),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columna int(2),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cliente int(10),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sala int(10),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PRIMARY KEY(ID),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FOREIGN KEY(sala) REFERENCES sala(ID),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FOREIGN KEY(cliente) REFERENCES cliente(DNI)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