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fiscalia;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fiscalia;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sospechoso(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codigo int(11)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apellido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dni int(8),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direccion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telefono int(11),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primary key(codigo)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dispositivo_peritado(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 VARCHAR(8),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tipo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modelo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fecha_auditada 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copias int(11),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pruebas boolean,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sospechoso int(11),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key(sospechoso) references sospechoso(codigo)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fiscalia(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provincia VARCHAR(100),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localidad 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fiscal VARCHAR(100),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secretario VARCHAR(100),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causa varchar(100),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sospechoso int(11),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sospechoso values ("Fernandez", "Felipe", 32456789, "1986/09/10", "Laprida 2028", 1528263204), ("Villafranca", "German", 29123543, "1981/06/01", "Cruz del Eje 203", 1538234567), ("Tacho", "Miguel", 30456321, "1984/05/17", "La raya 136", 1590435782);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dispositivo_peritado values ("cel10001", "celular", "Moto G3", "2020/02/15", 4, false, 1), ("note10002", "notebook", "Mac Book", "2020/09/17", 20, true, 2), ("cel10004", "celular", "Xiaomi note 8", "2020/09/18", 4, false, 2), ("cel10003", "celular", "Nokia 1001", "2020/10/21", 8, false, 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fiscalia values ("Córdoba", "Villa Carlos Paz", "MAZZUCCHI", "SIMONIAN", "Los pañales", 1), ("Córdoba","Alta Gracia", "GOMEZ", "BARTOLOME", "Los melones agrios", 2), ("Córdoba","Córdoba", "DALMA", "GONZALEZ", "La cuarteteada", 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