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arte;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arte;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pintura(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titulo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autor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estilo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añoDCreacion int(4),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UNIQUE KEY uqPintura (titulo, autor, añoDCreacion)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museos(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pais VARCHAR(100),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 int(11),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tipoMuseo VARCHAR(100),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unique key uqMuseos(pais, nombre)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estancia(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pintura int(11),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museos int(11),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 int(11),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año int(4),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key(pintura) references pintura(ID),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foreign key(museos) references museos(ID),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unique key (pintura, museos, año)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