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ruta12;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ruta12;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dni int (11),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varchar(30),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usuario varchar(30),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contrasena varchar(30),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dueno boolean,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telefono int(10),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KEY (dni)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lugar(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 varchar(30),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direccion varchar(60),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int(11)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pasillo(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lugar int(11),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PRIMARY KEY (id),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FOREIGN KEY (lugar) REFERENCES lugar(id)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estanteria(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 int(11) AUTO_INCREMENT,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pasillo int(11),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PRIMARY KEY (id),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FOREIGN KEY (pasillo) REFERENCES pasillo(id)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pallet(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 int(11)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estanteria int(11),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PRIMARY KEY (id),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FOREIGN KEY (estanteria) REFERENCES estanteria(id)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producto(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nombre varchar 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 int(11)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habilitado boolean DEFAULT 1,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guardar(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id int(11)AUTO_INCREMENT,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horario_llegada datetime,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horario_sacada datetime,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pallet int(11),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producto int(11),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FOREIGN KEY(producto) REFERENCES producto(id),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FOREIGN KEY(pallet) REFERENCES pallet(id)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viaje(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lugar int(11),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producto int(11),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horario_salida datetime,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horario_llegada datetime,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FOREIGN KEY(producto) REFERENCES producto(id),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FOREIGN KEY(lugar) REFERENCES lugar(id)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