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B5" w:rsidRPr="00257DB5" w:rsidRDefault="00257DB5" w:rsidP="00257DB5">
      <w:pPr>
        <w:pStyle w:val="Title"/>
        <w:spacing w:before="0"/>
        <w:jc w:val="right"/>
        <w:rPr>
          <w:rFonts w:ascii="Arial" w:hAnsi="Arial" w:cs="Arial"/>
          <w:sz w:val="20"/>
        </w:rPr>
      </w:pPr>
      <w:r w:rsidRPr="00257DB5">
        <w:rPr>
          <w:rFonts w:ascii="Arial" w:hAnsi="Arial" w:cs="Arial"/>
          <w:sz w:val="20"/>
        </w:rPr>
        <w:t xml:space="preserve">  Optical Device Monitoring in Green </w:t>
      </w:r>
    </w:p>
    <w:p w:rsidR="00257DB5" w:rsidRPr="00257DB5" w:rsidRDefault="00257DB5" w:rsidP="00257DB5">
      <w:pPr>
        <w:pStyle w:val="Title"/>
        <w:spacing w:before="0"/>
        <w:jc w:val="right"/>
        <w:rPr>
          <w:rFonts w:ascii="Arial" w:hAnsi="Arial" w:cs="Arial"/>
          <w:sz w:val="20"/>
        </w:rPr>
      </w:pPr>
      <w:r w:rsidRPr="00257DB5">
        <w:rPr>
          <w:rFonts w:ascii="Arial" w:hAnsi="Arial" w:cs="Arial"/>
          <w:sz w:val="20"/>
        </w:rPr>
        <w:t>Health Practice Culture</w:t>
      </w:r>
      <w:r w:rsidRPr="00257DB5">
        <w:rPr>
          <w:rFonts w:ascii="Arial" w:hAnsi="Arial" w:cs="Arial"/>
          <w:sz w:val="20"/>
        </w:rPr>
        <w:t xml:space="preserve"> </w:t>
      </w:r>
      <w:r w:rsidRPr="00257DB5">
        <w:rPr>
          <w:rFonts w:ascii="Arial" w:hAnsi="Arial" w:cs="Arial"/>
          <w:sz w:val="20"/>
        </w:rPr>
        <w:t xml:space="preserve">among </w:t>
      </w:r>
    </w:p>
    <w:p w:rsidR="00257DB5" w:rsidRPr="00257DB5" w:rsidRDefault="00257DB5" w:rsidP="00257DB5">
      <w:pPr>
        <w:pStyle w:val="Title"/>
        <w:spacing w:before="0"/>
        <w:jc w:val="right"/>
        <w:rPr>
          <w:rFonts w:ascii="Arial" w:hAnsi="Arial" w:cs="Arial"/>
          <w:sz w:val="20"/>
        </w:rPr>
      </w:pPr>
      <w:r w:rsidRPr="00257DB5">
        <w:rPr>
          <w:rFonts w:ascii="Arial" w:hAnsi="Arial" w:cs="Arial"/>
          <w:sz w:val="20"/>
        </w:rPr>
        <w:t>Working Adults</w:t>
      </w:r>
    </w:p>
    <w:p w:rsidR="00257DB5" w:rsidRDefault="00257DB5" w:rsidP="00257DB5">
      <w:pPr>
        <w:spacing w:line="240" w:lineRule="auto"/>
        <w:rPr>
          <w:rFonts w:ascii="Arial" w:hAnsi="Arial" w:cs="Arial"/>
          <w:sz w:val="20"/>
          <w:szCs w:val="20"/>
        </w:rPr>
      </w:pPr>
    </w:p>
    <w:p w:rsidR="00E4387A" w:rsidRDefault="00257DB5" w:rsidP="00E4387A">
      <w:pPr>
        <w:spacing w:after="0" w:line="240" w:lineRule="auto"/>
        <w:jc w:val="right"/>
        <w:rPr>
          <w:rFonts w:ascii="Arial" w:hAnsi="Arial" w:cs="Arial"/>
          <w:sz w:val="20"/>
          <w:szCs w:val="20"/>
        </w:rPr>
      </w:pPr>
      <w:proofErr w:type="spellStart"/>
      <w:r w:rsidRPr="00257DB5">
        <w:rPr>
          <w:rFonts w:ascii="Arial" w:hAnsi="Arial" w:cs="Arial"/>
          <w:sz w:val="20"/>
          <w:szCs w:val="20"/>
        </w:rPr>
        <w:t>Kalaivani</w:t>
      </w:r>
      <w:proofErr w:type="spellEnd"/>
      <w:r w:rsidRPr="00257DB5">
        <w:rPr>
          <w:rFonts w:ascii="Arial" w:hAnsi="Arial" w:cs="Arial"/>
          <w:sz w:val="20"/>
          <w:szCs w:val="20"/>
        </w:rPr>
        <w:t xml:space="preserve"> Chellappan</w:t>
      </w:r>
      <w:r>
        <w:rPr>
          <w:rFonts w:ascii="Arial" w:hAnsi="Arial" w:cs="Arial"/>
          <w:sz w:val="20"/>
          <w:szCs w:val="20"/>
          <w:vertAlign w:val="superscript"/>
        </w:rPr>
        <w:t>1</w:t>
      </w:r>
      <w:r w:rsidRPr="00257DB5">
        <w:rPr>
          <w:rFonts w:ascii="Arial" w:hAnsi="Arial" w:cs="Arial"/>
          <w:sz w:val="20"/>
          <w:szCs w:val="20"/>
        </w:rPr>
        <w:t xml:space="preserve">, </w:t>
      </w:r>
      <w:proofErr w:type="spellStart"/>
      <w:r w:rsidRPr="00257DB5">
        <w:rPr>
          <w:rFonts w:ascii="Arial" w:hAnsi="Arial" w:cs="Arial"/>
          <w:sz w:val="20"/>
          <w:szCs w:val="20"/>
        </w:rPr>
        <w:t>Raifana</w:t>
      </w:r>
      <w:proofErr w:type="spellEnd"/>
      <w:r w:rsidRPr="00257DB5">
        <w:rPr>
          <w:rFonts w:ascii="Arial" w:hAnsi="Arial" w:cs="Arial"/>
          <w:sz w:val="20"/>
          <w:szCs w:val="20"/>
        </w:rPr>
        <w:t xml:space="preserve"> Rosa Mohamad Sattar</w:t>
      </w:r>
      <w:r>
        <w:rPr>
          <w:rFonts w:ascii="Arial" w:hAnsi="Arial" w:cs="Arial"/>
          <w:sz w:val="20"/>
          <w:szCs w:val="20"/>
          <w:vertAlign w:val="superscript"/>
        </w:rPr>
        <w:t>1</w:t>
      </w:r>
      <w:r w:rsidRPr="00257DB5">
        <w:rPr>
          <w:rFonts w:ascii="Arial" w:hAnsi="Arial" w:cs="Arial"/>
          <w:sz w:val="20"/>
          <w:szCs w:val="20"/>
        </w:rPr>
        <w:t xml:space="preserve">, </w:t>
      </w:r>
      <w:proofErr w:type="spellStart"/>
      <w:r w:rsidRPr="00257DB5">
        <w:rPr>
          <w:rFonts w:ascii="Arial" w:hAnsi="Arial" w:cs="Arial"/>
          <w:sz w:val="20"/>
          <w:szCs w:val="20"/>
        </w:rPr>
        <w:t>Norsuhana</w:t>
      </w:r>
      <w:proofErr w:type="spellEnd"/>
      <w:r w:rsidRPr="00257DB5">
        <w:rPr>
          <w:rFonts w:ascii="Arial" w:hAnsi="Arial" w:cs="Arial"/>
          <w:sz w:val="20"/>
          <w:szCs w:val="20"/>
        </w:rPr>
        <w:t xml:space="preserve"> Omar</w:t>
      </w:r>
      <w:r>
        <w:rPr>
          <w:rFonts w:ascii="Arial" w:hAnsi="Arial" w:cs="Arial"/>
          <w:sz w:val="20"/>
          <w:szCs w:val="20"/>
          <w:vertAlign w:val="superscript"/>
        </w:rPr>
        <w:t>2</w:t>
      </w:r>
      <w:r w:rsidR="00E4387A">
        <w:rPr>
          <w:rFonts w:ascii="Arial" w:hAnsi="Arial" w:cs="Arial"/>
          <w:sz w:val="20"/>
          <w:szCs w:val="20"/>
          <w:vertAlign w:val="superscript"/>
        </w:rPr>
        <w:t>,3</w:t>
      </w:r>
      <w:r w:rsidR="00E4387A">
        <w:rPr>
          <w:rFonts w:ascii="Arial" w:hAnsi="Arial" w:cs="Arial"/>
          <w:sz w:val="20"/>
          <w:szCs w:val="20"/>
        </w:rPr>
        <w:t xml:space="preserve">, </w:t>
      </w:r>
      <w:proofErr w:type="spellStart"/>
      <w:r w:rsidRPr="00257DB5">
        <w:rPr>
          <w:rFonts w:ascii="Arial" w:hAnsi="Arial" w:cs="Arial"/>
          <w:sz w:val="20"/>
          <w:szCs w:val="20"/>
        </w:rPr>
        <w:t>Amilia</w:t>
      </w:r>
      <w:proofErr w:type="spellEnd"/>
      <w:r w:rsidRPr="00257DB5">
        <w:rPr>
          <w:rFonts w:ascii="Arial" w:hAnsi="Arial" w:cs="Arial"/>
          <w:sz w:val="20"/>
          <w:szCs w:val="20"/>
        </w:rPr>
        <w:t xml:space="preserve"> Aminuddin</w:t>
      </w:r>
      <w:r>
        <w:rPr>
          <w:rFonts w:ascii="Arial" w:hAnsi="Arial" w:cs="Arial"/>
          <w:sz w:val="20"/>
          <w:szCs w:val="20"/>
          <w:vertAlign w:val="superscript"/>
        </w:rPr>
        <w:t>3</w:t>
      </w:r>
      <w:r w:rsidRPr="00257DB5">
        <w:rPr>
          <w:rFonts w:ascii="Arial" w:hAnsi="Arial" w:cs="Arial"/>
          <w:sz w:val="20"/>
          <w:szCs w:val="20"/>
        </w:rPr>
        <w:t xml:space="preserve">, </w:t>
      </w:r>
      <w:proofErr w:type="spellStart"/>
      <w:r w:rsidRPr="00257DB5">
        <w:rPr>
          <w:rFonts w:ascii="Arial" w:hAnsi="Arial" w:cs="Arial"/>
          <w:sz w:val="20"/>
          <w:szCs w:val="20"/>
        </w:rPr>
        <w:t>Zaiton</w:t>
      </w:r>
      <w:proofErr w:type="spellEnd"/>
      <w:r w:rsidRPr="00257DB5">
        <w:rPr>
          <w:rFonts w:ascii="Arial" w:hAnsi="Arial" w:cs="Arial"/>
          <w:sz w:val="20"/>
          <w:szCs w:val="20"/>
        </w:rPr>
        <w:t xml:space="preserve"> Zakaria</w:t>
      </w:r>
      <w:r w:rsidR="00E4387A">
        <w:rPr>
          <w:rFonts w:ascii="Arial" w:hAnsi="Arial" w:cs="Arial"/>
          <w:sz w:val="20"/>
          <w:szCs w:val="20"/>
          <w:vertAlign w:val="superscript"/>
        </w:rPr>
        <w:t>3</w:t>
      </w:r>
      <w:r w:rsidR="00E4387A" w:rsidRPr="00257DB5">
        <w:rPr>
          <w:rFonts w:ascii="Arial" w:hAnsi="Arial" w:cs="Arial"/>
          <w:sz w:val="20"/>
          <w:szCs w:val="20"/>
        </w:rPr>
        <w:t xml:space="preserve">, </w:t>
      </w:r>
      <w:proofErr w:type="spellStart"/>
      <w:r w:rsidR="00E4387A" w:rsidRPr="00257DB5">
        <w:rPr>
          <w:rFonts w:ascii="Arial" w:hAnsi="Arial" w:cs="Arial"/>
          <w:sz w:val="20"/>
          <w:szCs w:val="20"/>
        </w:rPr>
        <w:t>Mohd</w:t>
      </w:r>
      <w:proofErr w:type="spellEnd"/>
      <w:r w:rsidRPr="00257DB5">
        <w:rPr>
          <w:rFonts w:ascii="Arial" w:hAnsi="Arial" w:cs="Arial"/>
          <w:sz w:val="20"/>
          <w:szCs w:val="20"/>
        </w:rPr>
        <w:t xml:space="preserve"> </w:t>
      </w:r>
      <w:proofErr w:type="spellStart"/>
      <w:r w:rsidRPr="00257DB5">
        <w:rPr>
          <w:rFonts w:ascii="Arial" w:hAnsi="Arial" w:cs="Arial"/>
          <w:sz w:val="20"/>
          <w:szCs w:val="20"/>
        </w:rPr>
        <w:t>Alauddin</w:t>
      </w:r>
      <w:proofErr w:type="spellEnd"/>
      <w:r w:rsidRPr="00257DB5">
        <w:rPr>
          <w:rFonts w:ascii="Arial" w:hAnsi="Arial" w:cs="Arial"/>
          <w:sz w:val="20"/>
          <w:szCs w:val="20"/>
        </w:rPr>
        <w:t xml:space="preserve"> </w:t>
      </w:r>
      <w:proofErr w:type="spellStart"/>
      <w:r w:rsidRPr="00257DB5">
        <w:rPr>
          <w:rFonts w:ascii="Arial" w:hAnsi="Arial" w:cs="Arial"/>
          <w:sz w:val="20"/>
          <w:szCs w:val="20"/>
        </w:rPr>
        <w:t>Mohd</w:t>
      </w:r>
      <w:proofErr w:type="spellEnd"/>
      <w:r w:rsidRPr="00257DB5">
        <w:rPr>
          <w:rFonts w:ascii="Arial" w:hAnsi="Arial" w:cs="Arial"/>
          <w:sz w:val="20"/>
          <w:szCs w:val="20"/>
        </w:rPr>
        <w:t xml:space="preserve"> Ali</w:t>
      </w:r>
      <w:r>
        <w:rPr>
          <w:rFonts w:ascii="Arial" w:hAnsi="Arial" w:cs="Arial"/>
          <w:sz w:val="20"/>
          <w:szCs w:val="20"/>
          <w:vertAlign w:val="superscript"/>
        </w:rPr>
        <w:t>1</w:t>
      </w:r>
      <w:r w:rsidRPr="00257DB5">
        <w:rPr>
          <w:rFonts w:ascii="Arial" w:hAnsi="Arial" w:cs="Arial"/>
          <w:sz w:val="20"/>
          <w:szCs w:val="20"/>
        </w:rPr>
        <w:t xml:space="preserve"> and</w:t>
      </w:r>
    </w:p>
    <w:p w:rsidR="00257DB5" w:rsidRPr="00257DB5" w:rsidRDefault="00257DB5" w:rsidP="00E4387A">
      <w:pPr>
        <w:spacing w:after="0" w:line="240" w:lineRule="auto"/>
        <w:jc w:val="right"/>
        <w:rPr>
          <w:rFonts w:ascii="Arial" w:hAnsi="Arial" w:cs="Arial"/>
          <w:sz w:val="20"/>
          <w:szCs w:val="20"/>
        </w:rPr>
      </w:pPr>
      <w:r w:rsidRPr="00257DB5">
        <w:rPr>
          <w:rFonts w:ascii="Arial" w:hAnsi="Arial" w:cs="Arial"/>
          <w:sz w:val="20"/>
          <w:szCs w:val="20"/>
        </w:rPr>
        <w:t xml:space="preserve">Nor Anita </w:t>
      </w:r>
      <w:proofErr w:type="spellStart"/>
      <w:r w:rsidRPr="00257DB5">
        <w:rPr>
          <w:rFonts w:ascii="Arial" w:hAnsi="Arial" w:cs="Arial"/>
          <w:sz w:val="20"/>
          <w:szCs w:val="20"/>
        </w:rPr>
        <w:t>Megat</w:t>
      </w:r>
      <w:proofErr w:type="spellEnd"/>
      <w:r w:rsidRPr="00257DB5">
        <w:rPr>
          <w:rFonts w:ascii="Arial" w:hAnsi="Arial" w:cs="Arial"/>
          <w:sz w:val="20"/>
          <w:szCs w:val="20"/>
        </w:rPr>
        <w:t xml:space="preserve"> </w:t>
      </w:r>
      <w:proofErr w:type="spellStart"/>
      <w:r w:rsidRPr="00257DB5">
        <w:rPr>
          <w:rFonts w:ascii="Arial" w:hAnsi="Arial" w:cs="Arial"/>
          <w:sz w:val="20"/>
          <w:szCs w:val="20"/>
        </w:rPr>
        <w:t>Mohd</w:t>
      </w:r>
      <w:proofErr w:type="spellEnd"/>
      <w:r w:rsidRPr="00257DB5">
        <w:rPr>
          <w:rFonts w:ascii="Arial" w:hAnsi="Arial" w:cs="Arial"/>
          <w:sz w:val="20"/>
          <w:szCs w:val="20"/>
        </w:rPr>
        <w:t>. Nordin</w:t>
      </w:r>
      <w:r w:rsidRPr="00257DB5">
        <w:rPr>
          <w:rFonts w:ascii="Arial" w:hAnsi="Arial" w:cs="Arial"/>
          <w:sz w:val="20"/>
          <w:szCs w:val="20"/>
          <w:vertAlign w:val="superscript"/>
        </w:rPr>
        <w:t>2</w:t>
      </w:r>
    </w:p>
    <w:p w:rsidR="00E4387A" w:rsidRDefault="00257DB5" w:rsidP="00E4387A">
      <w:pPr>
        <w:spacing w:after="0" w:line="240" w:lineRule="auto"/>
        <w:jc w:val="right"/>
        <w:rPr>
          <w:rFonts w:ascii="Arial" w:hAnsi="Arial" w:cs="Arial"/>
          <w:sz w:val="20"/>
          <w:szCs w:val="20"/>
        </w:rPr>
      </w:pPr>
      <w:r w:rsidRPr="00257DB5">
        <w:rPr>
          <w:rFonts w:ascii="Arial" w:hAnsi="Arial" w:cs="Arial"/>
          <w:sz w:val="20"/>
          <w:szCs w:val="20"/>
          <w:vertAlign w:val="superscript"/>
        </w:rPr>
        <w:t>1</w:t>
      </w:r>
      <w:r w:rsidRPr="00257DB5">
        <w:rPr>
          <w:rFonts w:ascii="Arial" w:hAnsi="Arial" w:cs="Arial"/>
          <w:sz w:val="20"/>
          <w:szCs w:val="20"/>
        </w:rPr>
        <w:t>Department of Electrical, Electronic and Systems Engineering,</w:t>
      </w:r>
    </w:p>
    <w:p w:rsidR="00E4387A" w:rsidRDefault="00257DB5" w:rsidP="00E4387A">
      <w:pPr>
        <w:spacing w:after="0" w:line="240" w:lineRule="auto"/>
        <w:jc w:val="right"/>
        <w:rPr>
          <w:rFonts w:ascii="Arial" w:hAnsi="Arial" w:cs="Arial"/>
          <w:sz w:val="20"/>
          <w:szCs w:val="20"/>
        </w:rPr>
      </w:pPr>
      <w:r w:rsidRPr="00257DB5">
        <w:rPr>
          <w:rFonts w:ascii="Arial" w:hAnsi="Arial" w:cs="Arial"/>
          <w:sz w:val="20"/>
          <w:szCs w:val="20"/>
        </w:rPr>
        <w:t xml:space="preserve">Faculty of Engineering and Built Environment, </w:t>
      </w:r>
    </w:p>
    <w:p w:rsidR="00E4387A" w:rsidRDefault="00257DB5" w:rsidP="00E4387A">
      <w:pPr>
        <w:spacing w:after="0" w:line="240" w:lineRule="auto"/>
        <w:jc w:val="right"/>
        <w:rPr>
          <w:rFonts w:ascii="Arial" w:hAnsi="Arial" w:cs="Arial"/>
          <w:sz w:val="20"/>
          <w:szCs w:val="20"/>
        </w:rPr>
      </w:pPr>
      <w:proofErr w:type="spellStart"/>
      <w:r w:rsidRPr="00257DB5">
        <w:rPr>
          <w:rFonts w:ascii="Arial" w:hAnsi="Arial" w:cs="Arial"/>
          <w:sz w:val="20"/>
          <w:szCs w:val="20"/>
        </w:rPr>
        <w:t>Universiti</w:t>
      </w:r>
      <w:proofErr w:type="spellEnd"/>
      <w:r w:rsidRPr="00257DB5">
        <w:rPr>
          <w:rFonts w:ascii="Arial" w:hAnsi="Arial" w:cs="Arial"/>
          <w:sz w:val="20"/>
          <w:szCs w:val="20"/>
        </w:rPr>
        <w:t xml:space="preserve"> </w:t>
      </w:r>
      <w:proofErr w:type="spellStart"/>
      <w:r w:rsidRPr="00257DB5">
        <w:rPr>
          <w:rFonts w:ascii="Arial" w:hAnsi="Arial" w:cs="Arial"/>
          <w:sz w:val="20"/>
          <w:szCs w:val="20"/>
        </w:rPr>
        <w:t>Kebangsaan</w:t>
      </w:r>
      <w:proofErr w:type="spellEnd"/>
      <w:r w:rsidRPr="00257DB5">
        <w:rPr>
          <w:rFonts w:ascii="Arial" w:hAnsi="Arial" w:cs="Arial"/>
          <w:sz w:val="20"/>
          <w:szCs w:val="20"/>
        </w:rPr>
        <w:t xml:space="preserve"> Malaysia</w:t>
      </w:r>
    </w:p>
    <w:p w:rsidR="00E4387A" w:rsidRDefault="00257DB5" w:rsidP="00E4387A">
      <w:pPr>
        <w:spacing w:after="0" w:line="240" w:lineRule="auto"/>
        <w:jc w:val="right"/>
        <w:rPr>
          <w:rFonts w:ascii="Arial" w:hAnsi="Arial" w:cs="Arial"/>
          <w:sz w:val="20"/>
          <w:szCs w:val="20"/>
        </w:rPr>
      </w:pPr>
      <w:r w:rsidRPr="00E4387A">
        <w:rPr>
          <w:rFonts w:ascii="Arial" w:hAnsi="Arial" w:cs="Arial"/>
          <w:sz w:val="20"/>
          <w:szCs w:val="20"/>
          <w:vertAlign w:val="superscript"/>
        </w:rPr>
        <w:t>2</w:t>
      </w:r>
      <w:r w:rsidRPr="00257DB5">
        <w:rPr>
          <w:rFonts w:ascii="Arial" w:hAnsi="Arial" w:cs="Arial"/>
          <w:sz w:val="20"/>
          <w:szCs w:val="20"/>
        </w:rPr>
        <w:t xml:space="preserve">Department of Physiology, Faculty of Medicine, </w:t>
      </w:r>
    </w:p>
    <w:p w:rsidR="00E4387A" w:rsidRDefault="00257DB5" w:rsidP="00E4387A">
      <w:pPr>
        <w:spacing w:after="0" w:line="240" w:lineRule="auto"/>
        <w:jc w:val="right"/>
        <w:rPr>
          <w:rFonts w:ascii="Arial" w:hAnsi="Arial" w:cs="Arial"/>
          <w:sz w:val="20"/>
          <w:szCs w:val="20"/>
        </w:rPr>
      </w:pPr>
      <w:proofErr w:type="spellStart"/>
      <w:r w:rsidRPr="00257DB5">
        <w:rPr>
          <w:rFonts w:ascii="Arial" w:hAnsi="Arial" w:cs="Arial"/>
          <w:sz w:val="20"/>
          <w:szCs w:val="20"/>
        </w:rPr>
        <w:t>Universiti</w:t>
      </w:r>
      <w:proofErr w:type="spellEnd"/>
      <w:r w:rsidRPr="00257DB5">
        <w:rPr>
          <w:rFonts w:ascii="Arial" w:hAnsi="Arial" w:cs="Arial"/>
          <w:sz w:val="20"/>
          <w:szCs w:val="20"/>
        </w:rPr>
        <w:t xml:space="preserve"> </w:t>
      </w:r>
      <w:proofErr w:type="spellStart"/>
      <w:r w:rsidRPr="00257DB5">
        <w:rPr>
          <w:rFonts w:ascii="Arial" w:hAnsi="Arial" w:cs="Arial"/>
          <w:sz w:val="20"/>
          <w:szCs w:val="20"/>
        </w:rPr>
        <w:t>Kebangsaan</w:t>
      </w:r>
      <w:proofErr w:type="spellEnd"/>
      <w:r w:rsidRPr="00257DB5">
        <w:rPr>
          <w:rFonts w:ascii="Arial" w:hAnsi="Arial" w:cs="Arial"/>
          <w:sz w:val="20"/>
          <w:szCs w:val="20"/>
        </w:rPr>
        <w:t xml:space="preserve"> Malaysia</w:t>
      </w:r>
    </w:p>
    <w:p w:rsidR="00E4387A" w:rsidRDefault="00257DB5" w:rsidP="00E4387A">
      <w:pPr>
        <w:spacing w:after="0" w:line="240" w:lineRule="auto"/>
        <w:jc w:val="right"/>
        <w:rPr>
          <w:rFonts w:ascii="Arial" w:hAnsi="Arial" w:cs="Arial"/>
          <w:sz w:val="20"/>
          <w:szCs w:val="20"/>
        </w:rPr>
      </w:pPr>
      <w:r w:rsidRPr="00E4387A">
        <w:rPr>
          <w:rFonts w:ascii="Arial" w:hAnsi="Arial" w:cs="Arial"/>
          <w:sz w:val="20"/>
          <w:szCs w:val="20"/>
          <w:vertAlign w:val="superscript"/>
        </w:rPr>
        <w:t>3</w:t>
      </w:r>
      <w:r w:rsidRPr="00257DB5">
        <w:rPr>
          <w:rFonts w:ascii="Arial" w:hAnsi="Arial" w:cs="Arial"/>
          <w:sz w:val="20"/>
          <w:szCs w:val="20"/>
        </w:rPr>
        <w:t xml:space="preserve">Department of Physiology, Faculty of Medicine, </w:t>
      </w:r>
    </w:p>
    <w:p w:rsidR="00257DB5" w:rsidRDefault="00257DB5" w:rsidP="00E4387A">
      <w:pPr>
        <w:spacing w:after="0" w:line="240" w:lineRule="auto"/>
        <w:jc w:val="right"/>
        <w:rPr>
          <w:rFonts w:ascii="Arial" w:hAnsi="Arial" w:cs="Arial"/>
          <w:sz w:val="20"/>
          <w:szCs w:val="20"/>
        </w:rPr>
      </w:pPr>
      <w:proofErr w:type="spellStart"/>
      <w:r w:rsidRPr="00257DB5">
        <w:rPr>
          <w:rFonts w:ascii="Arial" w:hAnsi="Arial" w:cs="Arial"/>
          <w:sz w:val="20"/>
          <w:szCs w:val="20"/>
        </w:rPr>
        <w:t>Universiti</w:t>
      </w:r>
      <w:proofErr w:type="spellEnd"/>
      <w:r w:rsidRPr="00257DB5">
        <w:rPr>
          <w:rFonts w:ascii="Arial" w:hAnsi="Arial" w:cs="Arial"/>
          <w:sz w:val="20"/>
          <w:szCs w:val="20"/>
        </w:rPr>
        <w:t xml:space="preserve"> </w:t>
      </w:r>
      <w:proofErr w:type="spellStart"/>
      <w:r w:rsidRPr="00257DB5">
        <w:rPr>
          <w:rFonts w:ascii="Arial" w:hAnsi="Arial" w:cs="Arial"/>
          <w:sz w:val="20"/>
          <w:szCs w:val="20"/>
        </w:rPr>
        <w:t>Sains</w:t>
      </w:r>
      <w:proofErr w:type="spellEnd"/>
      <w:r w:rsidRPr="00257DB5">
        <w:rPr>
          <w:rFonts w:ascii="Arial" w:hAnsi="Arial" w:cs="Arial"/>
          <w:sz w:val="20"/>
          <w:szCs w:val="20"/>
        </w:rPr>
        <w:t xml:space="preserve"> Malaysia</w:t>
      </w:r>
    </w:p>
    <w:p w:rsidR="00E4387A" w:rsidRDefault="00E4387A" w:rsidP="00E4387A">
      <w:pPr>
        <w:spacing w:after="0" w:line="240" w:lineRule="auto"/>
        <w:jc w:val="right"/>
        <w:rPr>
          <w:rFonts w:ascii="Arial" w:hAnsi="Arial" w:cs="Arial"/>
          <w:sz w:val="20"/>
          <w:szCs w:val="20"/>
        </w:rPr>
      </w:pPr>
    </w:p>
    <w:p w:rsidR="00E4387A" w:rsidRPr="004D4AC5" w:rsidRDefault="00E4387A" w:rsidP="00E4387A">
      <w:pPr>
        <w:spacing w:after="0" w:line="240" w:lineRule="auto"/>
        <w:rPr>
          <w:rFonts w:ascii="Arial" w:hAnsi="Arial" w:cs="Arial"/>
          <w:sz w:val="20"/>
          <w:szCs w:val="20"/>
        </w:rPr>
      </w:pPr>
      <w:r w:rsidRPr="004D4AC5">
        <w:rPr>
          <w:rFonts w:ascii="Arial" w:hAnsi="Arial" w:cs="Arial"/>
          <w:sz w:val="20"/>
          <w:szCs w:val="20"/>
        </w:rPr>
        <w:t>1. Introduction</w:t>
      </w:r>
    </w:p>
    <w:p w:rsidR="00E4387A" w:rsidRPr="004D4AC5" w:rsidRDefault="00E4387A" w:rsidP="00E4387A">
      <w:pPr>
        <w:spacing w:after="0" w:line="240" w:lineRule="auto"/>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 xml:space="preserve">     Cardiovascular diseases (CVD) are the leading cause of mortality and disability that challenges human kind in both health and wealth (</w:t>
      </w:r>
      <w:proofErr w:type="spellStart"/>
      <w:r w:rsidRPr="004D4AC5">
        <w:rPr>
          <w:rFonts w:ascii="Arial" w:hAnsi="Arial" w:cs="Arial"/>
          <w:sz w:val="20"/>
          <w:szCs w:val="20"/>
        </w:rPr>
        <w:t>Beaglehole</w:t>
      </w:r>
      <w:proofErr w:type="spellEnd"/>
      <w:r w:rsidRPr="004D4AC5">
        <w:rPr>
          <w:rFonts w:ascii="Arial" w:hAnsi="Arial" w:cs="Arial"/>
          <w:sz w:val="20"/>
          <w:szCs w:val="20"/>
        </w:rPr>
        <w:t xml:space="preserve"> et al., 2007, </w:t>
      </w:r>
      <w:proofErr w:type="spellStart"/>
      <w:r w:rsidRPr="004D4AC5">
        <w:rPr>
          <w:rFonts w:ascii="Arial" w:hAnsi="Arial" w:cs="Arial"/>
          <w:sz w:val="20"/>
          <w:szCs w:val="20"/>
        </w:rPr>
        <w:t>Yach</w:t>
      </w:r>
      <w:proofErr w:type="spellEnd"/>
      <w:r w:rsidRPr="004D4AC5">
        <w:rPr>
          <w:rFonts w:ascii="Arial" w:hAnsi="Arial" w:cs="Arial"/>
          <w:sz w:val="20"/>
          <w:szCs w:val="20"/>
        </w:rPr>
        <w:t xml:space="preserve"> D, Hawkes C, Gould CL, </w:t>
      </w:r>
      <w:proofErr w:type="spellStart"/>
      <w:r w:rsidRPr="004D4AC5">
        <w:rPr>
          <w:rFonts w:ascii="Arial" w:hAnsi="Arial" w:cs="Arial"/>
          <w:sz w:val="20"/>
          <w:szCs w:val="20"/>
        </w:rPr>
        <w:t>Hofman</w:t>
      </w:r>
      <w:proofErr w:type="spellEnd"/>
      <w:r w:rsidRPr="004D4AC5">
        <w:rPr>
          <w:rFonts w:ascii="Arial" w:hAnsi="Arial" w:cs="Arial"/>
          <w:sz w:val="20"/>
          <w:szCs w:val="20"/>
        </w:rPr>
        <w:t xml:space="preserve"> KJ 2004). Cardiovascular diseases are an outcome of the risk factors such as hypertension, diabetes, dyslipidemia, obesity and smoking that directly influence the body fitness and health among adults (Johnson &amp; </w:t>
      </w:r>
      <w:proofErr w:type="spellStart"/>
      <w:r w:rsidRPr="004D4AC5">
        <w:rPr>
          <w:rFonts w:ascii="Arial" w:hAnsi="Arial" w:cs="Arial"/>
          <w:sz w:val="20"/>
          <w:szCs w:val="20"/>
        </w:rPr>
        <w:t>Wolinsky</w:t>
      </w:r>
      <w:proofErr w:type="spellEnd"/>
      <w:r w:rsidRPr="004D4AC5">
        <w:rPr>
          <w:rFonts w:ascii="Arial" w:hAnsi="Arial" w:cs="Arial"/>
          <w:sz w:val="20"/>
          <w:szCs w:val="20"/>
        </w:rPr>
        <w:t xml:space="preserve">, 1993; </w:t>
      </w:r>
      <w:proofErr w:type="spellStart"/>
      <w:proofErr w:type="gramStart"/>
      <w:r w:rsidRPr="004D4AC5">
        <w:rPr>
          <w:rFonts w:ascii="Arial" w:hAnsi="Arial" w:cs="Arial"/>
          <w:sz w:val="20"/>
          <w:szCs w:val="20"/>
        </w:rPr>
        <w:t>Malmberg</w:t>
      </w:r>
      <w:proofErr w:type="spellEnd"/>
      <w:r w:rsidRPr="004D4AC5">
        <w:rPr>
          <w:rFonts w:ascii="Arial" w:hAnsi="Arial" w:cs="Arial"/>
          <w:sz w:val="20"/>
          <w:szCs w:val="20"/>
        </w:rPr>
        <w:t xml:space="preserve">  et al.</w:t>
      </w:r>
      <w:proofErr w:type="gramEnd"/>
      <w:r w:rsidRPr="004D4AC5">
        <w:rPr>
          <w:rFonts w:ascii="Arial" w:hAnsi="Arial" w:cs="Arial"/>
          <w:sz w:val="20"/>
          <w:szCs w:val="20"/>
        </w:rPr>
        <w:t xml:space="preserve">, 2005; </w:t>
      </w:r>
      <w:proofErr w:type="spellStart"/>
      <w:r w:rsidRPr="004D4AC5">
        <w:rPr>
          <w:rFonts w:ascii="Arial" w:hAnsi="Arial" w:cs="Arial"/>
          <w:sz w:val="20"/>
          <w:szCs w:val="20"/>
        </w:rPr>
        <w:t>Malmberg</w:t>
      </w:r>
      <w:proofErr w:type="spellEnd"/>
      <w:r w:rsidRPr="004D4AC5">
        <w:rPr>
          <w:rFonts w:ascii="Arial" w:hAnsi="Arial" w:cs="Arial"/>
          <w:sz w:val="20"/>
          <w:szCs w:val="20"/>
        </w:rPr>
        <w:t xml:space="preserve"> J et al., 2002). Lack of physical fitness is the main cause for cardiovascular risk factor development (</w:t>
      </w:r>
      <w:proofErr w:type="spellStart"/>
      <w:r w:rsidRPr="004D4AC5">
        <w:rPr>
          <w:rFonts w:ascii="Arial" w:hAnsi="Arial" w:cs="Arial"/>
          <w:sz w:val="20"/>
          <w:szCs w:val="20"/>
        </w:rPr>
        <w:t>Katzmarzyk</w:t>
      </w:r>
      <w:proofErr w:type="spellEnd"/>
      <w:r w:rsidRPr="004D4AC5">
        <w:rPr>
          <w:rFonts w:ascii="Arial" w:hAnsi="Arial" w:cs="Arial"/>
          <w:sz w:val="20"/>
          <w:szCs w:val="20"/>
        </w:rPr>
        <w:t xml:space="preserve"> &amp; Janssen, 2004), and regular physical activity significantly contributes in managing the health status (</w:t>
      </w:r>
      <w:proofErr w:type="spellStart"/>
      <w:r w:rsidRPr="004D4AC5">
        <w:rPr>
          <w:rFonts w:ascii="Arial" w:hAnsi="Arial" w:cs="Arial"/>
          <w:sz w:val="20"/>
          <w:szCs w:val="20"/>
        </w:rPr>
        <w:t>Chodzko-Zaiko</w:t>
      </w:r>
      <w:proofErr w:type="spellEnd"/>
      <w:r w:rsidRPr="004D4AC5">
        <w:rPr>
          <w:rFonts w:ascii="Arial" w:hAnsi="Arial" w:cs="Arial"/>
          <w:sz w:val="20"/>
          <w:szCs w:val="20"/>
        </w:rPr>
        <w:t xml:space="preserve"> et al., 2009). Overcoming the sedentary lifestyle by engaging in sustainable daily physical activity is a practical approach in reducing the risk of developing cardiovascular diseases and postponing premature mortality at any age (</w:t>
      </w:r>
      <w:proofErr w:type="spellStart"/>
      <w:r w:rsidRPr="004D4AC5">
        <w:rPr>
          <w:rFonts w:ascii="Arial" w:hAnsi="Arial" w:cs="Arial"/>
          <w:sz w:val="20"/>
          <w:szCs w:val="20"/>
        </w:rPr>
        <w:t>Chodzko-Zaiko</w:t>
      </w:r>
      <w:proofErr w:type="spellEnd"/>
      <w:r w:rsidRPr="004D4AC5">
        <w:rPr>
          <w:rFonts w:ascii="Arial" w:hAnsi="Arial" w:cs="Arial"/>
          <w:sz w:val="20"/>
          <w:szCs w:val="20"/>
        </w:rPr>
        <w:t xml:space="preserve"> et al., 2009).</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The economic growth in Malaysia has been linked to ongoing lifestyle changes of urbanization including improper diets and reduced physical activity especially among young adults (</w:t>
      </w:r>
      <w:proofErr w:type="spellStart"/>
      <w:r w:rsidRPr="004D4AC5">
        <w:rPr>
          <w:rFonts w:ascii="Arial" w:hAnsi="Arial" w:cs="Arial"/>
          <w:sz w:val="20"/>
          <w:szCs w:val="20"/>
        </w:rPr>
        <w:t>Olayinka</w:t>
      </w:r>
      <w:proofErr w:type="spellEnd"/>
      <w:r w:rsidRPr="004D4AC5">
        <w:rPr>
          <w:rFonts w:ascii="Arial" w:hAnsi="Arial" w:cs="Arial"/>
          <w:sz w:val="20"/>
          <w:szCs w:val="20"/>
        </w:rPr>
        <w:t xml:space="preserve"> et al., 2015; </w:t>
      </w:r>
      <w:proofErr w:type="spellStart"/>
      <w:r w:rsidRPr="004D4AC5">
        <w:rPr>
          <w:rFonts w:ascii="Arial" w:hAnsi="Arial" w:cs="Arial"/>
          <w:sz w:val="20"/>
          <w:szCs w:val="20"/>
        </w:rPr>
        <w:t>Adediran</w:t>
      </w:r>
      <w:proofErr w:type="spellEnd"/>
      <w:r w:rsidRPr="004D4AC5">
        <w:rPr>
          <w:rFonts w:ascii="Arial" w:hAnsi="Arial" w:cs="Arial"/>
          <w:sz w:val="20"/>
          <w:szCs w:val="20"/>
        </w:rPr>
        <w:t xml:space="preserve"> et al., 2012; </w:t>
      </w:r>
      <w:proofErr w:type="spellStart"/>
      <w:r w:rsidRPr="004D4AC5">
        <w:rPr>
          <w:rFonts w:ascii="Arial" w:hAnsi="Arial" w:cs="Arial"/>
          <w:sz w:val="20"/>
          <w:szCs w:val="20"/>
        </w:rPr>
        <w:t>Okeahialam</w:t>
      </w:r>
      <w:proofErr w:type="spellEnd"/>
      <w:r w:rsidRPr="004D4AC5">
        <w:rPr>
          <w:rFonts w:ascii="Arial" w:hAnsi="Arial" w:cs="Arial"/>
          <w:sz w:val="20"/>
          <w:szCs w:val="20"/>
        </w:rPr>
        <w:t xml:space="preserve"> et al., 2012; Catrine et al., 2011) Urbanization in Malaysia vastly adopting modern life styles and preference for office related and modern jobs such as computer scientist, data analyst and many others (WHO </w:t>
      </w:r>
      <w:proofErr w:type="spellStart"/>
      <w:r w:rsidRPr="004D4AC5">
        <w:rPr>
          <w:rFonts w:ascii="Arial" w:hAnsi="Arial" w:cs="Arial"/>
          <w:sz w:val="20"/>
          <w:szCs w:val="20"/>
        </w:rPr>
        <w:t>infobase</w:t>
      </w:r>
      <w:proofErr w:type="spellEnd"/>
      <w:r w:rsidRPr="004D4AC5">
        <w:rPr>
          <w:rFonts w:ascii="Arial" w:hAnsi="Arial" w:cs="Arial"/>
          <w:sz w:val="20"/>
          <w:szCs w:val="20"/>
        </w:rPr>
        <w:t xml:space="preserve"> 2004; </w:t>
      </w:r>
      <w:proofErr w:type="spellStart"/>
      <w:r w:rsidRPr="004D4AC5">
        <w:rPr>
          <w:rFonts w:ascii="Arial" w:hAnsi="Arial" w:cs="Arial"/>
          <w:sz w:val="20"/>
          <w:szCs w:val="20"/>
        </w:rPr>
        <w:t>Olayinka</w:t>
      </w:r>
      <w:proofErr w:type="spellEnd"/>
      <w:r w:rsidRPr="004D4AC5">
        <w:rPr>
          <w:rFonts w:ascii="Arial" w:hAnsi="Arial" w:cs="Arial"/>
          <w:sz w:val="20"/>
          <w:szCs w:val="20"/>
        </w:rPr>
        <w:t xml:space="preserve">, 2004; </w:t>
      </w:r>
      <w:proofErr w:type="spellStart"/>
      <w:r w:rsidRPr="004D4AC5">
        <w:rPr>
          <w:rFonts w:ascii="Arial" w:hAnsi="Arial" w:cs="Arial"/>
          <w:sz w:val="20"/>
          <w:szCs w:val="20"/>
        </w:rPr>
        <w:t>Adediran</w:t>
      </w:r>
      <w:proofErr w:type="spellEnd"/>
      <w:r w:rsidRPr="004D4AC5">
        <w:rPr>
          <w:rFonts w:ascii="Arial" w:hAnsi="Arial" w:cs="Arial"/>
          <w:sz w:val="20"/>
          <w:szCs w:val="20"/>
        </w:rPr>
        <w:t xml:space="preserve">, 2012). Even though there are many different types of health management program and activities initiated by both government and NGO’s, there are very limited responses from the public. The two main obstacles commonly highlighted by the public are the time factor and the effective health performance outcome measurement techniques. Many different approaches have been adopted by both healthcare providers and researchers from various fields in identifying the best exercising method for the working adults. Walking which has been a part of our daily life </w:t>
      </w:r>
      <w:r w:rsidRPr="004D4AC5">
        <w:rPr>
          <w:rFonts w:ascii="Arial" w:hAnsi="Arial" w:cs="Arial"/>
          <w:sz w:val="20"/>
          <w:szCs w:val="20"/>
        </w:rPr>
        <w:lastRenderedPageBreak/>
        <w:t xml:space="preserve">converted into a workout is one of the inexpensive and easily adopted methods proposed for working adults. </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 xml:space="preserve">     Setting a baseline is an important aspect of walking being a workout, as such by starting to walk three times a week at a stroll for 20 minutes suggested by Courtenay </w:t>
      </w:r>
      <w:proofErr w:type="spellStart"/>
      <w:r w:rsidRPr="004D4AC5">
        <w:rPr>
          <w:rFonts w:ascii="Arial" w:hAnsi="Arial" w:cs="Arial"/>
          <w:sz w:val="20"/>
          <w:szCs w:val="20"/>
        </w:rPr>
        <w:t>Schurman</w:t>
      </w:r>
      <w:proofErr w:type="spellEnd"/>
      <w:r w:rsidRPr="004D4AC5">
        <w:rPr>
          <w:rFonts w:ascii="Arial" w:hAnsi="Arial" w:cs="Arial"/>
          <w:sz w:val="20"/>
          <w:szCs w:val="20"/>
        </w:rPr>
        <w:t xml:space="preserve">, author of The Outdoor Athlete book. As an outcome of the challenges in monitoring the time and frequency a device call pedometer which has been introduced in 1780 by Abraham-Louis </w:t>
      </w:r>
      <w:proofErr w:type="spellStart"/>
      <w:r w:rsidRPr="004D4AC5">
        <w:rPr>
          <w:rFonts w:ascii="Arial" w:hAnsi="Arial" w:cs="Arial"/>
          <w:sz w:val="20"/>
          <w:szCs w:val="20"/>
        </w:rPr>
        <w:t>Perrelet</w:t>
      </w:r>
      <w:proofErr w:type="spellEnd"/>
      <w:r w:rsidRPr="004D4AC5">
        <w:rPr>
          <w:rFonts w:ascii="Arial" w:hAnsi="Arial" w:cs="Arial"/>
          <w:sz w:val="20"/>
          <w:szCs w:val="20"/>
        </w:rPr>
        <w:t xml:space="preserve"> of Switzerland who created the first pedometer, measuring the steps and distance while walking with the intention to power a self-winding watch (Richard </w:t>
      </w:r>
      <w:proofErr w:type="spellStart"/>
      <w:r w:rsidRPr="004D4AC5">
        <w:rPr>
          <w:rFonts w:ascii="Arial" w:hAnsi="Arial" w:cs="Arial"/>
          <w:sz w:val="20"/>
          <w:szCs w:val="20"/>
        </w:rPr>
        <w:t>Masmanus</w:t>
      </w:r>
      <w:proofErr w:type="spellEnd"/>
      <w:r w:rsidRPr="004D4AC5">
        <w:rPr>
          <w:rFonts w:ascii="Arial" w:hAnsi="Arial" w:cs="Arial"/>
          <w:sz w:val="20"/>
          <w:szCs w:val="20"/>
        </w:rPr>
        <w:t xml:space="preserve">, 2004) has become a popular alternative. </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 xml:space="preserve">     The pedometer technology adopted into steps recorder for walking exercise has increased the participation and discipline among the urban population towards walking as an exercise activity. A number of research by many different teams have recommended 7500 to 10000 (</w:t>
      </w:r>
      <w:proofErr w:type="spellStart"/>
      <w:r w:rsidRPr="004D4AC5">
        <w:rPr>
          <w:rFonts w:ascii="Arial" w:hAnsi="Arial" w:cs="Arial"/>
          <w:sz w:val="20"/>
          <w:szCs w:val="20"/>
        </w:rPr>
        <w:t>Bravata</w:t>
      </w:r>
      <w:proofErr w:type="spellEnd"/>
      <w:r w:rsidRPr="004D4AC5">
        <w:rPr>
          <w:rFonts w:ascii="Arial" w:hAnsi="Arial" w:cs="Arial"/>
          <w:sz w:val="20"/>
          <w:szCs w:val="20"/>
        </w:rPr>
        <w:t xml:space="preserve"> et al., 2007; Tudor &amp; Bassett, 2004; Tudor &amp; Lutes, 2009) steps a day as the baseline for pedometer usage in monitoring walking as an exercise. Particularly, when physical activity increases, blood pressure and weight decrease as a result of participating in a pedometer-based intervention. An improved acceptance of the unique measurement and inspired properties of pedometers has </w:t>
      </w:r>
      <w:proofErr w:type="spellStart"/>
      <w:r w:rsidRPr="004D4AC5">
        <w:rPr>
          <w:rFonts w:ascii="Arial" w:hAnsi="Arial" w:cs="Arial"/>
          <w:sz w:val="20"/>
          <w:szCs w:val="20"/>
        </w:rPr>
        <w:t>behaviour</w:t>
      </w:r>
      <w:proofErr w:type="spellEnd"/>
      <w:r w:rsidRPr="004D4AC5">
        <w:rPr>
          <w:rFonts w:ascii="Arial" w:hAnsi="Arial" w:cs="Arial"/>
          <w:sz w:val="20"/>
          <w:szCs w:val="20"/>
        </w:rPr>
        <w:t>-change tools that will assist researchers and practitioners to maximize the benefits (Tudor et al., 2009).</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 xml:space="preserve">     The next challenge of measuring and monitoring the change in terms of vascular health which will provide the inside or structural change in the vessel beds has potential to be addressed by introducing </w:t>
      </w:r>
      <w:proofErr w:type="spellStart"/>
      <w:r w:rsidRPr="004D4AC5">
        <w:rPr>
          <w:rFonts w:ascii="Arial" w:hAnsi="Arial" w:cs="Arial"/>
          <w:sz w:val="20"/>
          <w:szCs w:val="20"/>
        </w:rPr>
        <w:t>photoplethysmogram</w:t>
      </w:r>
      <w:proofErr w:type="spellEnd"/>
      <w:r w:rsidRPr="004D4AC5">
        <w:rPr>
          <w:rFonts w:ascii="Arial" w:hAnsi="Arial" w:cs="Arial"/>
          <w:sz w:val="20"/>
          <w:szCs w:val="20"/>
        </w:rPr>
        <w:t xml:space="preserve"> base developed fitness index. Photoplethysmogram (PPG) is a simple, low cost, and operator independent optical based device that records the blood volume change commonly from index finger (Allen, 2007). PPG has two significant components, AC and DC that has been used in various monitoring applications. A higher frequency pulsatile component (‘AC') represents physiological changes associated with cardiac synchronous and slow varying (‘DC’) baseline that represents the respiration, heart rate, depth of </w:t>
      </w:r>
      <w:proofErr w:type="spellStart"/>
      <w:r w:rsidRPr="004D4AC5">
        <w:rPr>
          <w:rFonts w:ascii="Arial" w:hAnsi="Arial" w:cs="Arial"/>
          <w:sz w:val="20"/>
          <w:szCs w:val="20"/>
        </w:rPr>
        <w:t>anaesthesia</w:t>
      </w:r>
      <w:proofErr w:type="spellEnd"/>
      <w:r w:rsidRPr="004D4AC5">
        <w:rPr>
          <w:rFonts w:ascii="Arial" w:hAnsi="Arial" w:cs="Arial"/>
          <w:sz w:val="20"/>
          <w:szCs w:val="20"/>
        </w:rPr>
        <w:t xml:space="preserve">, cardiac cycle, hypo-and </w:t>
      </w:r>
      <w:proofErr w:type="spellStart"/>
      <w:r w:rsidRPr="004D4AC5">
        <w:rPr>
          <w:rFonts w:ascii="Arial" w:hAnsi="Arial" w:cs="Arial"/>
          <w:sz w:val="20"/>
          <w:szCs w:val="20"/>
        </w:rPr>
        <w:t>hypervolaemia</w:t>
      </w:r>
      <w:proofErr w:type="spellEnd"/>
      <w:r w:rsidRPr="004D4AC5">
        <w:rPr>
          <w:rFonts w:ascii="Arial" w:hAnsi="Arial" w:cs="Arial"/>
          <w:sz w:val="20"/>
          <w:szCs w:val="20"/>
        </w:rPr>
        <w:t xml:space="preserve"> changes. The ‘AC’ component widely used in exploring the potential of monitoring cardiovascular risk related changes in arterial bed since PPG has significant changes over and cardiovascular diseases and risk factors in relation to age (Allen, 2007; </w:t>
      </w:r>
      <w:proofErr w:type="spellStart"/>
      <w:r w:rsidRPr="004D4AC5">
        <w:rPr>
          <w:rFonts w:ascii="Arial" w:hAnsi="Arial" w:cs="Arial"/>
          <w:sz w:val="20"/>
          <w:szCs w:val="20"/>
        </w:rPr>
        <w:t>Takazawa</w:t>
      </w:r>
      <w:proofErr w:type="spellEnd"/>
      <w:r w:rsidRPr="004D4AC5">
        <w:rPr>
          <w:rFonts w:ascii="Arial" w:hAnsi="Arial" w:cs="Arial"/>
          <w:sz w:val="20"/>
          <w:szCs w:val="20"/>
        </w:rPr>
        <w:t xml:space="preserve"> et al., 1998; </w:t>
      </w:r>
      <w:proofErr w:type="spellStart"/>
      <w:r w:rsidRPr="004D4AC5">
        <w:rPr>
          <w:rFonts w:ascii="Arial" w:hAnsi="Arial" w:cs="Arial"/>
          <w:sz w:val="20"/>
          <w:szCs w:val="20"/>
        </w:rPr>
        <w:t>Elgendi</w:t>
      </w:r>
      <w:proofErr w:type="spellEnd"/>
      <w:r w:rsidRPr="004D4AC5">
        <w:rPr>
          <w:rFonts w:ascii="Arial" w:hAnsi="Arial" w:cs="Arial"/>
          <w:sz w:val="20"/>
          <w:szCs w:val="20"/>
        </w:rPr>
        <w:t xml:space="preserve">, 2014; </w:t>
      </w:r>
      <w:proofErr w:type="spellStart"/>
      <w:r w:rsidRPr="004D4AC5">
        <w:rPr>
          <w:rFonts w:ascii="Arial" w:hAnsi="Arial" w:cs="Arial"/>
          <w:sz w:val="20"/>
          <w:szCs w:val="20"/>
        </w:rPr>
        <w:t>Nitzan</w:t>
      </w:r>
      <w:proofErr w:type="spellEnd"/>
      <w:r w:rsidRPr="004D4AC5">
        <w:rPr>
          <w:rFonts w:ascii="Arial" w:hAnsi="Arial" w:cs="Arial"/>
          <w:sz w:val="20"/>
          <w:szCs w:val="20"/>
        </w:rPr>
        <w:t xml:space="preserve">, </w:t>
      </w:r>
      <w:proofErr w:type="spellStart"/>
      <w:r w:rsidRPr="004D4AC5">
        <w:rPr>
          <w:rFonts w:ascii="Arial" w:hAnsi="Arial" w:cs="Arial"/>
          <w:sz w:val="20"/>
          <w:szCs w:val="20"/>
        </w:rPr>
        <w:t>Turivnenko</w:t>
      </w:r>
      <w:proofErr w:type="spellEnd"/>
      <w:r w:rsidRPr="004D4AC5">
        <w:rPr>
          <w:rFonts w:ascii="Arial" w:hAnsi="Arial" w:cs="Arial"/>
          <w:sz w:val="20"/>
          <w:szCs w:val="20"/>
        </w:rPr>
        <w:t xml:space="preserve">, </w:t>
      </w:r>
      <w:proofErr w:type="spellStart"/>
      <w:r w:rsidRPr="004D4AC5">
        <w:rPr>
          <w:rFonts w:ascii="Arial" w:hAnsi="Arial" w:cs="Arial"/>
          <w:sz w:val="20"/>
          <w:szCs w:val="20"/>
        </w:rPr>
        <w:t>Milston</w:t>
      </w:r>
      <w:proofErr w:type="spellEnd"/>
      <w:r w:rsidRPr="004D4AC5">
        <w:rPr>
          <w:rFonts w:ascii="Arial" w:hAnsi="Arial" w:cs="Arial"/>
          <w:sz w:val="20"/>
          <w:szCs w:val="20"/>
        </w:rPr>
        <w:t xml:space="preserve">, </w:t>
      </w:r>
      <w:proofErr w:type="spellStart"/>
      <w:r w:rsidRPr="004D4AC5">
        <w:rPr>
          <w:rFonts w:ascii="Arial" w:hAnsi="Arial" w:cs="Arial"/>
          <w:sz w:val="20"/>
          <w:szCs w:val="20"/>
        </w:rPr>
        <w:t>Babchenko</w:t>
      </w:r>
      <w:proofErr w:type="spellEnd"/>
      <w:r w:rsidRPr="004D4AC5">
        <w:rPr>
          <w:rFonts w:ascii="Arial" w:hAnsi="Arial" w:cs="Arial"/>
          <w:sz w:val="20"/>
          <w:szCs w:val="20"/>
        </w:rPr>
        <w:t xml:space="preserve"> &amp; Mahler Y, 1996a; </w:t>
      </w:r>
      <w:proofErr w:type="spellStart"/>
      <w:r w:rsidRPr="004D4AC5">
        <w:rPr>
          <w:rFonts w:ascii="Arial" w:hAnsi="Arial" w:cs="Arial"/>
          <w:sz w:val="20"/>
          <w:szCs w:val="20"/>
        </w:rPr>
        <w:t>Nitzan</w:t>
      </w:r>
      <w:proofErr w:type="spellEnd"/>
      <w:r w:rsidRPr="004D4AC5">
        <w:rPr>
          <w:rFonts w:ascii="Arial" w:hAnsi="Arial" w:cs="Arial"/>
          <w:sz w:val="20"/>
          <w:szCs w:val="20"/>
        </w:rPr>
        <w:t xml:space="preserve"> et al., 1996b).</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sz w:val="20"/>
          <w:szCs w:val="20"/>
        </w:rPr>
      </w:pPr>
      <w:r w:rsidRPr="004D4AC5">
        <w:rPr>
          <w:rFonts w:ascii="Arial" w:hAnsi="Arial" w:cs="Arial"/>
          <w:sz w:val="20"/>
          <w:szCs w:val="20"/>
        </w:rPr>
        <w:t xml:space="preserve">     In this paper authors have adopted both pedometer and PPG technology as an approach in addressing the barriers faced by the working adult in monitoring their exercise activity by espouse walking as the exercise mode. Both the simple, low cost and operator independent technology expected to provide a user-friendly environment to encourage increasing working adult </w:t>
      </w:r>
      <w:r w:rsidRPr="004D4AC5">
        <w:rPr>
          <w:rFonts w:ascii="Arial" w:hAnsi="Arial" w:cs="Arial"/>
          <w:sz w:val="20"/>
          <w:szCs w:val="20"/>
        </w:rPr>
        <w:lastRenderedPageBreak/>
        <w:t xml:space="preserve">participate in championing walking as an exercise among Malaysian population in managing cardiovascular related diseases and risk factor as a part of the national agenda for people to experience an improving living condition.  </w:t>
      </w:r>
    </w:p>
    <w:p w:rsidR="00E4387A" w:rsidRPr="004D4AC5" w:rsidRDefault="00E4387A" w:rsidP="00E4387A">
      <w:pPr>
        <w:spacing w:after="0" w:line="240" w:lineRule="auto"/>
        <w:jc w:val="both"/>
        <w:rPr>
          <w:rFonts w:ascii="Arial" w:hAnsi="Arial" w:cs="Arial"/>
          <w:sz w:val="20"/>
          <w:szCs w:val="20"/>
        </w:rPr>
      </w:pPr>
    </w:p>
    <w:p w:rsidR="00E4387A" w:rsidRPr="004D4AC5" w:rsidRDefault="00E4387A" w:rsidP="00E4387A">
      <w:pPr>
        <w:spacing w:after="0" w:line="240" w:lineRule="auto"/>
        <w:jc w:val="both"/>
        <w:rPr>
          <w:rFonts w:ascii="Arial" w:hAnsi="Arial" w:cs="Arial"/>
          <w:b/>
          <w:sz w:val="20"/>
          <w:szCs w:val="20"/>
        </w:rPr>
      </w:pPr>
      <w:r w:rsidRPr="004D4AC5">
        <w:rPr>
          <w:rFonts w:ascii="Arial" w:hAnsi="Arial" w:cs="Arial"/>
          <w:b/>
          <w:sz w:val="20"/>
          <w:szCs w:val="20"/>
        </w:rPr>
        <w:t>2.0 Cardiovascular Health</w:t>
      </w:r>
    </w:p>
    <w:p w:rsidR="00E4387A" w:rsidRPr="004D4AC5" w:rsidRDefault="00E4387A" w:rsidP="00E4387A">
      <w:pPr>
        <w:spacing w:after="0" w:line="240" w:lineRule="auto"/>
        <w:jc w:val="both"/>
        <w:rPr>
          <w:rFonts w:ascii="Arial" w:hAnsi="Arial" w:cs="Arial"/>
          <w:b/>
          <w:sz w:val="20"/>
          <w:szCs w:val="20"/>
        </w:rPr>
      </w:pPr>
    </w:p>
    <w:p w:rsidR="003E51AB" w:rsidRPr="004D4AC5" w:rsidRDefault="003E51AB" w:rsidP="003E51AB">
      <w:pPr>
        <w:shd w:val="clear" w:color="auto" w:fill="FFFFFF"/>
        <w:spacing w:after="0" w:line="240" w:lineRule="auto"/>
        <w:rPr>
          <w:rFonts w:ascii="Arial" w:eastAsia="Times New Roman" w:hAnsi="Arial" w:cs="Arial"/>
          <w:b/>
          <w:color w:val="222222"/>
          <w:sz w:val="20"/>
          <w:szCs w:val="20"/>
        </w:rPr>
      </w:pPr>
      <w:r w:rsidRPr="004D4AC5">
        <w:rPr>
          <w:rFonts w:ascii="Arial" w:eastAsia="Times New Roman" w:hAnsi="Arial" w:cs="Arial"/>
          <w:b/>
          <w:color w:val="222222"/>
          <w:sz w:val="20"/>
          <w:szCs w:val="20"/>
        </w:rPr>
        <w:t xml:space="preserve">3.0 </w:t>
      </w:r>
      <w:r w:rsidRPr="003E51AB">
        <w:rPr>
          <w:rFonts w:ascii="Arial" w:eastAsia="Times New Roman" w:hAnsi="Arial" w:cs="Arial"/>
          <w:b/>
          <w:color w:val="222222"/>
          <w:sz w:val="20"/>
          <w:szCs w:val="20"/>
        </w:rPr>
        <w:t xml:space="preserve">Green Health Practice </w:t>
      </w:r>
    </w:p>
    <w:p w:rsidR="003E51AB" w:rsidRPr="004D4AC5" w:rsidRDefault="003E51AB" w:rsidP="003E51AB">
      <w:pPr>
        <w:shd w:val="clear" w:color="auto" w:fill="FFFFFF"/>
        <w:spacing w:after="0" w:line="240" w:lineRule="auto"/>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Cardiovascular disease (CVD) is still the main cause of mortality in Malaysia (</w:t>
      </w:r>
      <w:proofErr w:type="spellStart"/>
      <w:r w:rsidRPr="004D4AC5">
        <w:rPr>
          <w:rFonts w:ascii="Arial" w:eastAsia="Times New Roman" w:hAnsi="Arial" w:cs="Arial"/>
          <w:color w:val="222222"/>
          <w:sz w:val="20"/>
          <w:szCs w:val="20"/>
        </w:rPr>
        <w:t>Khoo</w:t>
      </w:r>
      <w:proofErr w:type="spellEnd"/>
      <w:r w:rsidRPr="004D4AC5">
        <w:rPr>
          <w:rFonts w:ascii="Arial" w:eastAsia="Times New Roman" w:hAnsi="Arial" w:cs="Arial"/>
          <w:color w:val="222222"/>
          <w:sz w:val="20"/>
          <w:szCs w:val="20"/>
        </w:rPr>
        <w:t xml:space="preserve"> et al., 1991). According to the Health Indicator 2012, the MOH 2011 Hospitals’ survey noted that there were 8,150 deaths due to heart diseases and diseases of pulmonary circulation followed by 5,590 cancer-related deaths and 4,162 deaths due to cerebrovascular disease. Among the CVD, more than 50% were due to </w:t>
      </w:r>
      <w:proofErr w:type="spellStart"/>
      <w:r w:rsidRPr="004D4AC5">
        <w:rPr>
          <w:rFonts w:ascii="Arial" w:eastAsia="Times New Roman" w:hAnsi="Arial" w:cs="Arial"/>
          <w:color w:val="222222"/>
          <w:sz w:val="20"/>
          <w:szCs w:val="20"/>
        </w:rPr>
        <w:t>ischaemic</w:t>
      </w:r>
      <w:proofErr w:type="spellEnd"/>
      <w:r w:rsidRPr="004D4AC5">
        <w:rPr>
          <w:rFonts w:ascii="Arial" w:eastAsia="Times New Roman" w:hAnsi="Arial" w:cs="Arial"/>
          <w:color w:val="222222"/>
          <w:sz w:val="20"/>
          <w:szCs w:val="20"/>
        </w:rPr>
        <w:t xml:space="preserve"> heart disease (IHD). </w:t>
      </w:r>
      <w:proofErr w:type="gramStart"/>
      <w:r w:rsidRPr="004D4AC5">
        <w:rPr>
          <w:rFonts w:ascii="Arial" w:eastAsia="Times New Roman" w:hAnsi="Arial" w:cs="Arial"/>
          <w:color w:val="222222"/>
          <w:sz w:val="20"/>
          <w:szCs w:val="20"/>
        </w:rPr>
        <w:t>Twenty three</w:t>
      </w:r>
      <w:proofErr w:type="gramEnd"/>
      <w:r w:rsidRPr="004D4AC5">
        <w:rPr>
          <w:rFonts w:ascii="Arial" w:eastAsia="Times New Roman" w:hAnsi="Arial" w:cs="Arial"/>
          <w:color w:val="222222"/>
          <w:sz w:val="20"/>
          <w:szCs w:val="20"/>
        </w:rPr>
        <w:t xml:space="preserve"> per cent of these patients were less than 50 years. Most of the acute coronary syndromes (ACS) cases involved men (Wan Ahmad &amp; Sim, 2010). The increased in IHD prevalence may be due to increase in CVD risk factors such as </w:t>
      </w:r>
      <w:proofErr w:type="spellStart"/>
      <w:r w:rsidRPr="004D4AC5">
        <w:rPr>
          <w:rFonts w:ascii="Arial" w:eastAsia="Times New Roman" w:hAnsi="Arial" w:cs="Arial"/>
          <w:color w:val="222222"/>
          <w:sz w:val="20"/>
          <w:szCs w:val="20"/>
        </w:rPr>
        <w:t>dyslipidaemia</w:t>
      </w:r>
      <w:proofErr w:type="spellEnd"/>
      <w:r w:rsidRPr="004D4AC5">
        <w:rPr>
          <w:rFonts w:ascii="Arial" w:eastAsia="Times New Roman" w:hAnsi="Arial" w:cs="Arial"/>
          <w:color w:val="222222"/>
          <w:sz w:val="20"/>
          <w:szCs w:val="20"/>
        </w:rPr>
        <w:t xml:space="preserve">, obesity, smoking, hypertension, diabetes mellitus and physical inactivity (Haskell et al., 2007a). To reduce the burden of CVD within the community and increasing trend of sedentary occupations, secondary prevention programs such as self-monitoring pedometer based exercise are offered.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Community-based health promotion </w:t>
      </w:r>
      <w:proofErr w:type="spellStart"/>
      <w:r w:rsidRPr="004D4AC5">
        <w:rPr>
          <w:rFonts w:ascii="Arial" w:eastAsia="Times New Roman" w:hAnsi="Arial" w:cs="Arial"/>
          <w:color w:val="222222"/>
          <w:sz w:val="20"/>
          <w:szCs w:val="20"/>
        </w:rPr>
        <w:t>programmes</w:t>
      </w:r>
      <w:proofErr w:type="spellEnd"/>
      <w:r w:rsidRPr="004D4AC5">
        <w:rPr>
          <w:rFonts w:ascii="Arial" w:eastAsia="Times New Roman" w:hAnsi="Arial" w:cs="Arial"/>
          <w:color w:val="222222"/>
          <w:sz w:val="20"/>
          <w:szCs w:val="20"/>
        </w:rPr>
        <w:t xml:space="preserve"> at workplace requires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planning, implementation and evaluation with the aim of empowering employers to gain control over the determinants of health. Walking is a form of exercise that is very acceptable to many people and may be integrated easily into daily routine. In recent years, pedometers have been used widely in campaigns at national, community and worksite level to promote walking (</w:t>
      </w:r>
      <w:proofErr w:type="spellStart"/>
      <w:r w:rsidRPr="004D4AC5">
        <w:rPr>
          <w:rFonts w:ascii="Arial" w:eastAsia="Times New Roman" w:hAnsi="Arial" w:cs="Arial"/>
          <w:color w:val="222222"/>
          <w:sz w:val="20"/>
          <w:szCs w:val="20"/>
        </w:rPr>
        <w:t>Bravata</w:t>
      </w:r>
      <w:proofErr w:type="spellEnd"/>
      <w:r w:rsidRPr="004D4AC5">
        <w:rPr>
          <w:rFonts w:ascii="Arial" w:eastAsia="Times New Roman" w:hAnsi="Arial" w:cs="Arial"/>
          <w:color w:val="222222"/>
          <w:sz w:val="20"/>
          <w:szCs w:val="20"/>
        </w:rPr>
        <w:t xml:space="preserve"> et al., 2007; Ogilvie et al., 2007; Bjork Petersen et al., 2012; Thomas &amp; Williams, 2006). Pedometers are simple to use, low-cost and demand less resources rather than previous traditional face-to-face approaches. Pedometers also give immediate feedback to the users and this self-monitoring method may help individuals to develop self-regulatory skills for </w:t>
      </w:r>
      <w:proofErr w:type="spellStart"/>
      <w:r w:rsidRPr="004D4AC5">
        <w:rPr>
          <w:rFonts w:ascii="Arial" w:eastAsia="Times New Roman" w:hAnsi="Arial" w:cs="Arial"/>
          <w:color w:val="222222"/>
          <w:sz w:val="20"/>
          <w:szCs w:val="20"/>
        </w:rPr>
        <w:t>behaviour</w:t>
      </w:r>
      <w:proofErr w:type="spellEnd"/>
      <w:r w:rsidRPr="004D4AC5">
        <w:rPr>
          <w:rFonts w:ascii="Arial" w:eastAsia="Times New Roman" w:hAnsi="Arial" w:cs="Arial"/>
          <w:color w:val="222222"/>
          <w:sz w:val="20"/>
          <w:szCs w:val="20"/>
        </w:rPr>
        <w:t xml:space="preserve"> change. It does not require specialized equipment or any formal training and can be undertaken in an individual's own locality and time. It may involve varying levels of exercise. The Centre for Disease Control and Prevention (CDC) and the American College of Sports Medicine (ACSM) also recommended adults 10,000 steps/day on most days of the week. These recommendations have been shown to promote and maintain health and significantly reduce the risk of coronary artery disease (CAD) (NICE, 2006; Haskell et al., 2007b; O’Donovan et al., 2005).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In Malaysia, currently there is insufficient evidence to recommend the promotion of </w:t>
      </w:r>
      <w:proofErr w:type="spellStart"/>
      <w:r w:rsidRPr="004D4AC5">
        <w:rPr>
          <w:rFonts w:ascii="Arial" w:eastAsia="Times New Roman" w:hAnsi="Arial" w:cs="Arial"/>
          <w:color w:val="222222"/>
          <w:sz w:val="20"/>
          <w:szCs w:val="20"/>
        </w:rPr>
        <w:t>organised</w:t>
      </w:r>
      <w:proofErr w:type="spellEnd"/>
      <w:r w:rsidRPr="004D4AC5">
        <w:rPr>
          <w:rFonts w:ascii="Arial" w:eastAsia="Times New Roman" w:hAnsi="Arial" w:cs="Arial"/>
          <w:color w:val="222222"/>
          <w:sz w:val="20"/>
          <w:szCs w:val="20"/>
        </w:rPr>
        <w:t xml:space="preserve"> walking schemes, and that the effects of low levels of </w:t>
      </w:r>
      <w:r w:rsidRPr="004D4AC5">
        <w:rPr>
          <w:rFonts w:ascii="Arial" w:eastAsia="Times New Roman" w:hAnsi="Arial" w:cs="Arial"/>
          <w:color w:val="222222"/>
          <w:sz w:val="20"/>
          <w:szCs w:val="20"/>
        </w:rPr>
        <w:lastRenderedPageBreak/>
        <w:t xml:space="preserve">exercise are poorly documented. Besides that, there is limited data on pedometer workplace exercise among Malaysian employees with even less information on young men. There are gaps in evidence in relation to the effects of varying doses of exercise using pedometers in interventions compared to a recent study done by other countries likes Australia or Finland (Norton, Norton &amp; Lewis, 2015; </w:t>
      </w:r>
      <w:proofErr w:type="spellStart"/>
      <w:r w:rsidRPr="004D4AC5">
        <w:rPr>
          <w:rFonts w:ascii="Arial" w:eastAsia="Times New Roman" w:hAnsi="Arial" w:cs="Arial"/>
          <w:color w:val="222222"/>
          <w:sz w:val="20"/>
          <w:szCs w:val="20"/>
        </w:rPr>
        <w:t>Mutikainen</w:t>
      </w:r>
      <w:proofErr w:type="spellEnd"/>
      <w:r w:rsidRPr="004D4AC5">
        <w:rPr>
          <w:rFonts w:ascii="Arial" w:eastAsia="Times New Roman" w:hAnsi="Arial" w:cs="Arial"/>
          <w:color w:val="222222"/>
          <w:sz w:val="20"/>
          <w:szCs w:val="20"/>
        </w:rPr>
        <w:t xml:space="preserve"> et al., 2015).</w:t>
      </w:r>
      <w:r w:rsidRPr="004D4AC5">
        <w:rPr>
          <w:rFonts w:ascii="Arial" w:eastAsia="Times New Roman" w:hAnsi="Arial" w:cs="Arial"/>
          <w:color w:val="222222"/>
          <w:sz w:val="20"/>
          <w:szCs w:val="20"/>
        </w:rPr>
        <w:t xml:space="preserve"> </w:t>
      </w:r>
      <w:r w:rsidRPr="004D4AC5">
        <w:rPr>
          <w:rFonts w:ascii="Arial" w:eastAsia="Times New Roman" w:hAnsi="Arial" w:cs="Arial"/>
          <w:color w:val="222222"/>
          <w:sz w:val="20"/>
          <w:szCs w:val="20"/>
        </w:rPr>
        <w:t xml:space="preserve">Thus, the aim of the present study is to assess pedometer-based walking intervention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among working adults in reducing cardiovascular risk factors.</w:t>
      </w: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4.0 </w:t>
      </w:r>
      <w:r w:rsidRPr="003E51AB">
        <w:rPr>
          <w:rFonts w:ascii="Arial" w:eastAsia="Times New Roman" w:hAnsi="Arial" w:cs="Arial"/>
          <w:color w:val="222222"/>
          <w:sz w:val="20"/>
          <w:szCs w:val="20"/>
        </w:rPr>
        <w:t>Photoplethysmogram (</w:t>
      </w:r>
      <w:r w:rsidRPr="003E51AB">
        <w:rPr>
          <w:rFonts w:ascii="Arial" w:eastAsia="Times New Roman" w:hAnsi="Arial" w:cs="Arial"/>
          <w:b/>
          <w:bCs/>
          <w:color w:val="00FF00"/>
          <w:sz w:val="20"/>
          <w:szCs w:val="20"/>
        </w:rPr>
        <w:t xml:space="preserve">Refer to </w:t>
      </w:r>
      <w:proofErr w:type="spellStart"/>
      <w:r w:rsidRPr="003E51AB">
        <w:rPr>
          <w:rFonts w:ascii="Arial" w:eastAsia="Times New Roman" w:hAnsi="Arial" w:cs="Arial"/>
          <w:b/>
          <w:bCs/>
          <w:color w:val="00FF00"/>
          <w:sz w:val="20"/>
          <w:szCs w:val="20"/>
        </w:rPr>
        <w:t>Dr</w:t>
      </w:r>
      <w:proofErr w:type="spellEnd"/>
      <w:r w:rsidRPr="003E51AB">
        <w:rPr>
          <w:rFonts w:ascii="Arial" w:eastAsia="Times New Roman" w:hAnsi="Arial" w:cs="Arial"/>
          <w:b/>
          <w:bCs/>
          <w:color w:val="00FF00"/>
          <w:sz w:val="20"/>
          <w:szCs w:val="20"/>
        </w:rPr>
        <w:t xml:space="preserve"> </w:t>
      </w:r>
      <w:proofErr w:type="spellStart"/>
      <w:r w:rsidRPr="003E51AB">
        <w:rPr>
          <w:rFonts w:ascii="Arial" w:eastAsia="Times New Roman" w:hAnsi="Arial" w:cs="Arial"/>
          <w:b/>
          <w:bCs/>
          <w:color w:val="00FF00"/>
          <w:sz w:val="20"/>
          <w:szCs w:val="20"/>
        </w:rPr>
        <w:t>Amilia's</w:t>
      </w:r>
      <w:proofErr w:type="spellEnd"/>
      <w:r w:rsidRPr="003E51AB">
        <w:rPr>
          <w:rFonts w:ascii="Arial" w:eastAsia="Times New Roman" w:hAnsi="Arial" w:cs="Arial"/>
          <w:b/>
          <w:bCs/>
          <w:color w:val="00FF00"/>
          <w:sz w:val="20"/>
          <w:szCs w:val="20"/>
        </w:rPr>
        <w:t xml:space="preserve"> thesis</w:t>
      </w:r>
      <w:r w:rsidRPr="003E51AB">
        <w:rPr>
          <w:rFonts w:ascii="Arial" w:eastAsia="Times New Roman" w:hAnsi="Arial" w:cs="Arial"/>
          <w:color w:val="222222"/>
          <w:sz w:val="20"/>
          <w:szCs w:val="20"/>
        </w:rPr>
        <w:t>)</w:t>
      </w: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5.0 </w:t>
      </w:r>
      <w:r w:rsidRPr="003E51AB">
        <w:rPr>
          <w:rFonts w:ascii="Arial" w:eastAsia="Times New Roman" w:hAnsi="Arial" w:cs="Arial"/>
          <w:color w:val="222222"/>
          <w:sz w:val="20"/>
          <w:szCs w:val="20"/>
        </w:rPr>
        <w:t>Photoplethysmogram in Health Monitoring</w:t>
      </w:r>
      <w:r w:rsidRPr="004D4AC5">
        <w:rPr>
          <w:rFonts w:ascii="Arial" w:eastAsia="Times New Roman" w:hAnsi="Arial" w:cs="Arial"/>
          <w:color w:val="222222"/>
          <w:sz w:val="20"/>
          <w:szCs w:val="20"/>
        </w:rPr>
        <w:t> </w:t>
      </w:r>
      <w:r w:rsidRPr="003E51AB">
        <w:rPr>
          <w:rFonts w:ascii="Arial" w:eastAsia="Times New Roman" w:hAnsi="Arial" w:cs="Arial"/>
          <w:b/>
          <w:bCs/>
          <w:color w:val="4C1130"/>
          <w:sz w:val="20"/>
          <w:szCs w:val="20"/>
        </w:rPr>
        <w:t>(I will write)</w:t>
      </w: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6.0 Community Participation</w:t>
      </w:r>
    </w:p>
    <w:p w:rsidR="003E51AB" w:rsidRPr="004D4AC5" w:rsidRDefault="003E51AB" w:rsidP="003E51AB">
      <w:pPr>
        <w:shd w:val="clear" w:color="auto" w:fill="FFFFFF"/>
        <w:spacing w:after="0" w:line="240" w:lineRule="auto"/>
        <w:rPr>
          <w:rFonts w:ascii="Arial" w:eastAsia="Times New Roman" w:hAnsi="Arial" w:cs="Arial"/>
          <w:color w:val="222222"/>
          <w:sz w:val="20"/>
          <w:szCs w:val="20"/>
        </w:rPr>
      </w:pPr>
    </w:p>
    <w:p w:rsidR="003E51AB" w:rsidRPr="004D4AC5" w:rsidRDefault="004D4AC5" w:rsidP="003E51A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6</w:t>
      </w:r>
      <w:r w:rsidR="003E51AB" w:rsidRPr="004D4AC5">
        <w:rPr>
          <w:rFonts w:ascii="Arial" w:eastAsia="Times New Roman" w:hAnsi="Arial" w:cs="Arial"/>
          <w:color w:val="222222"/>
          <w:sz w:val="20"/>
          <w:szCs w:val="20"/>
        </w:rPr>
        <w:t>.1. Subjects</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Subjects were recruited from Institute of Vocational Skills for Youth (IKBN Hulu Langat). IKBN Hulu Langat is a one of community </w:t>
      </w:r>
      <w:proofErr w:type="gramStart"/>
      <w:r w:rsidRPr="004D4AC5">
        <w:rPr>
          <w:rFonts w:ascii="Arial" w:eastAsia="Times New Roman" w:hAnsi="Arial" w:cs="Arial"/>
          <w:color w:val="222222"/>
          <w:sz w:val="20"/>
          <w:szCs w:val="20"/>
        </w:rPr>
        <w:t>partner  with</w:t>
      </w:r>
      <w:proofErr w:type="gramEnd"/>
      <w:r w:rsidRPr="004D4AC5">
        <w:rPr>
          <w:rFonts w:ascii="Arial" w:eastAsia="Times New Roman" w:hAnsi="Arial" w:cs="Arial"/>
          <w:color w:val="222222"/>
          <w:sz w:val="20"/>
          <w:szCs w:val="20"/>
        </w:rPr>
        <w:t xml:space="preserve"> KTP Community project. Subjects were randomly assigned to two groups either a control (CG) or pedometer group (PG). The research was approved by the Research and Ethics Committee of </w:t>
      </w:r>
      <w:proofErr w:type="spellStart"/>
      <w:r w:rsidRPr="004D4AC5">
        <w:rPr>
          <w:rFonts w:ascii="Arial" w:eastAsia="Times New Roman" w:hAnsi="Arial" w:cs="Arial"/>
          <w:color w:val="222222"/>
          <w:sz w:val="20"/>
          <w:szCs w:val="20"/>
        </w:rPr>
        <w:t>Universiti</w:t>
      </w:r>
      <w:proofErr w:type="spellEnd"/>
      <w:r w:rsidRPr="004D4AC5">
        <w:rPr>
          <w:rFonts w:ascii="Arial" w:eastAsia="Times New Roman" w:hAnsi="Arial" w:cs="Arial"/>
          <w:color w:val="222222"/>
          <w:sz w:val="20"/>
          <w:szCs w:val="20"/>
        </w:rPr>
        <w:t xml:space="preserve"> </w:t>
      </w:r>
      <w:proofErr w:type="spellStart"/>
      <w:r w:rsidRPr="004D4AC5">
        <w:rPr>
          <w:rFonts w:ascii="Arial" w:eastAsia="Times New Roman" w:hAnsi="Arial" w:cs="Arial"/>
          <w:color w:val="222222"/>
          <w:sz w:val="20"/>
          <w:szCs w:val="20"/>
        </w:rPr>
        <w:t>Kebangsaan</w:t>
      </w:r>
      <w:proofErr w:type="spellEnd"/>
      <w:r w:rsidRPr="004D4AC5">
        <w:rPr>
          <w:rFonts w:ascii="Arial" w:eastAsia="Times New Roman" w:hAnsi="Arial" w:cs="Arial"/>
          <w:color w:val="222222"/>
          <w:sz w:val="20"/>
          <w:szCs w:val="20"/>
        </w:rPr>
        <w:t xml:space="preserve"> Malaysia (FF-2014-139). All measurements were done in </w:t>
      </w:r>
      <w:proofErr w:type="spellStart"/>
      <w:r w:rsidRPr="004D4AC5">
        <w:rPr>
          <w:rFonts w:ascii="Arial" w:eastAsia="Times New Roman" w:hAnsi="Arial" w:cs="Arial"/>
          <w:color w:val="222222"/>
          <w:sz w:val="20"/>
          <w:szCs w:val="20"/>
        </w:rPr>
        <w:t>Universiti</w:t>
      </w:r>
      <w:proofErr w:type="spellEnd"/>
      <w:r w:rsidRPr="004D4AC5">
        <w:rPr>
          <w:rFonts w:ascii="Arial" w:eastAsia="Times New Roman" w:hAnsi="Arial" w:cs="Arial"/>
          <w:color w:val="222222"/>
          <w:sz w:val="20"/>
          <w:szCs w:val="20"/>
        </w:rPr>
        <w:t xml:space="preserve"> </w:t>
      </w:r>
      <w:proofErr w:type="spellStart"/>
      <w:r w:rsidRPr="004D4AC5">
        <w:rPr>
          <w:rFonts w:ascii="Arial" w:eastAsia="Times New Roman" w:hAnsi="Arial" w:cs="Arial"/>
          <w:color w:val="222222"/>
          <w:sz w:val="20"/>
          <w:szCs w:val="20"/>
        </w:rPr>
        <w:t>Kebangsaan</w:t>
      </w:r>
      <w:proofErr w:type="spellEnd"/>
      <w:r w:rsidRPr="004D4AC5">
        <w:rPr>
          <w:rFonts w:ascii="Arial" w:eastAsia="Times New Roman" w:hAnsi="Arial" w:cs="Arial"/>
          <w:color w:val="222222"/>
          <w:sz w:val="20"/>
          <w:szCs w:val="20"/>
        </w:rPr>
        <w:t xml:space="preserve"> Malaysia Medical Center, </w:t>
      </w:r>
      <w:proofErr w:type="spellStart"/>
      <w:r w:rsidRPr="004D4AC5">
        <w:rPr>
          <w:rFonts w:ascii="Arial" w:eastAsia="Times New Roman" w:hAnsi="Arial" w:cs="Arial"/>
          <w:color w:val="222222"/>
          <w:sz w:val="20"/>
          <w:szCs w:val="20"/>
        </w:rPr>
        <w:t>Cheras</w:t>
      </w:r>
      <w:proofErr w:type="spellEnd"/>
      <w:r w:rsidRPr="004D4AC5">
        <w:rPr>
          <w:rFonts w:ascii="Arial" w:eastAsia="Times New Roman" w:hAnsi="Arial" w:cs="Arial"/>
          <w:color w:val="222222"/>
          <w:sz w:val="20"/>
          <w:szCs w:val="20"/>
        </w:rPr>
        <w:t xml:space="preserve"> and Physiology Department, </w:t>
      </w:r>
      <w:proofErr w:type="spellStart"/>
      <w:r w:rsidRPr="004D4AC5">
        <w:rPr>
          <w:rFonts w:ascii="Arial" w:eastAsia="Times New Roman" w:hAnsi="Arial" w:cs="Arial"/>
          <w:color w:val="222222"/>
          <w:sz w:val="20"/>
          <w:szCs w:val="20"/>
        </w:rPr>
        <w:t>Universiti</w:t>
      </w:r>
      <w:proofErr w:type="spellEnd"/>
      <w:r w:rsidRPr="004D4AC5">
        <w:rPr>
          <w:rFonts w:ascii="Arial" w:eastAsia="Times New Roman" w:hAnsi="Arial" w:cs="Arial"/>
          <w:color w:val="222222"/>
          <w:sz w:val="20"/>
          <w:szCs w:val="20"/>
        </w:rPr>
        <w:t xml:space="preserve"> </w:t>
      </w:r>
      <w:proofErr w:type="spellStart"/>
      <w:r w:rsidRPr="004D4AC5">
        <w:rPr>
          <w:rFonts w:ascii="Arial" w:eastAsia="Times New Roman" w:hAnsi="Arial" w:cs="Arial"/>
          <w:color w:val="222222"/>
          <w:sz w:val="20"/>
          <w:szCs w:val="20"/>
        </w:rPr>
        <w:t>Kebangsaan</w:t>
      </w:r>
      <w:proofErr w:type="spellEnd"/>
      <w:r w:rsidRPr="004D4AC5">
        <w:rPr>
          <w:rFonts w:ascii="Arial" w:eastAsia="Times New Roman" w:hAnsi="Arial" w:cs="Arial"/>
          <w:color w:val="222222"/>
          <w:sz w:val="20"/>
          <w:szCs w:val="20"/>
        </w:rPr>
        <w:t xml:space="preserve"> Malaysia Medical, Kuala Lumpur.</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The inclusion criteria were young men aged 20-40 years old, sedentary lifestyle with less than 5000 steps per day (Tudor Locke &amp; Bassett, 2004) and have 2 or more cardiovascular risk factors (cardiovascular high risk group) such as </w:t>
      </w:r>
      <w:proofErr w:type="spellStart"/>
      <w:r w:rsidRPr="004D4AC5">
        <w:rPr>
          <w:rFonts w:ascii="Arial" w:eastAsia="Times New Roman" w:hAnsi="Arial" w:cs="Arial"/>
          <w:color w:val="222222"/>
          <w:sz w:val="20"/>
          <w:szCs w:val="20"/>
        </w:rPr>
        <w:t>dyslipidaemia</w:t>
      </w:r>
      <w:proofErr w:type="spellEnd"/>
      <w:r w:rsidRPr="004D4AC5">
        <w:rPr>
          <w:rFonts w:ascii="Arial" w:eastAsia="Times New Roman" w:hAnsi="Arial" w:cs="Arial"/>
          <w:color w:val="222222"/>
          <w:sz w:val="20"/>
          <w:szCs w:val="20"/>
        </w:rPr>
        <w:t xml:space="preserve">, smoking, hypertension, abdominal obesity, and family history (FH) of CVD. Exclusion criteria were those with established diabetes mellitus and other chronic disease such as CVD, inflammatory disease, peripheral vascular disease, lung disease and liver disease. Diabetes mellitus was excluded since this disease is equivalent to CAD and subjects may have advanced vascular damage compared to other CV risk factors (Stone, </w:t>
      </w:r>
      <w:proofErr w:type="spellStart"/>
      <w:r w:rsidRPr="004D4AC5">
        <w:rPr>
          <w:rFonts w:ascii="Arial" w:eastAsia="Times New Roman" w:hAnsi="Arial" w:cs="Arial"/>
          <w:color w:val="222222"/>
          <w:sz w:val="20"/>
          <w:szCs w:val="20"/>
        </w:rPr>
        <w:t>Bilek</w:t>
      </w:r>
      <w:proofErr w:type="spellEnd"/>
      <w:r w:rsidRPr="004D4AC5">
        <w:rPr>
          <w:rFonts w:ascii="Arial" w:eastAsia="Times New Roman" w:hAnsi="Arial" w:cs="Arial"/>
          <w:color w:val="222222"/>
          <w:sz w:val="20"/>
          <w:szCs w:val="20"/>
        </w:rPr>
        <w:t xml:space="preserve"> &amp; Rosenbaum, 2005). Criteria for young Malaysian males for various CV risk factors was observed as per reference given to each of the following: 1) Hypertension: systolic blood pressure ≥140 and/or diastolic ≥90 or on antihypertensive medication (</w:t>
      </w:r>
      <w:proofErr w:type="spellStart"/>
      <w:r w:rsidRPr="004D4AC5">
        <w:rPr>
          <w:rFonts w:ascii="Arial" w:eastAsia="Times New Roman" w:hAnsi="Arial" w:cs="Arial"/>
          <w:color w:val="222222"/>
          <w:sz w:val="20"/>
          <w:szCs w:val="20"/>
        </w:rPr>
        <w:t>Chobanian</w:t>
      </w:r>
      <w:proofErr w:type="spellEnd"/>
      <w:r w:rsidRPr="004D4AC5">
        <w:rPr>
          <w:rFonts w:ascii="Arial" w:eastAsia="Times New Roman" w:hAnsi="Arial" w:cs="Arial"/>
          <w:color w:val="222222"/>
          <w:sz w:val="20"/>
          <w:szCs w:val="20"/>
        </w:rPr>
        <w:t xml:space="preserve"> et al., 2003). 2) Diabetes mellitus: fasting plasma glucose (FBG) ≥7mmol/L (</w:t>
      </w:r>
      <w:proofErr w:type="spellStart"/>
      <w:r w:rsidRPr="004D4AC5">
        <w:rPr>
          <w:rFonts w:ascii="Arial" w:eastAsia="Times New Roman" w:hAnsi="Arial" w:cs="Arial"/>
          <w:color w:val="222222"/>
          <w:sz w:val="20"/>
          <w:szCs w:val="20"/>
        </w:rPr>
        <w:t>Alberti</w:t>
      </w:r>
      <w:proofErr w:type="spellEnd"/>
      <w:r w:rsidRPr="004D4AC5">
        <w:rPr>
          <w:rFonts w:ascii="Arial" w:eastAsia="Times New Roman" w:hAnsi="Arial" w:cs="Arial"/>
          <w:color w:val="222222"/>
          <w:sz w:val="20"/>
          <w:szCs w:val="20"/>
        </w:rPr>
        <w:t xml:space="preserve"> &amp; </w:t>
      </w:r>
      <w:proofErr w:type="spellStart"/>
      <w:r w:rsidRPr="004D4AC5">
        <w:rPr>
          <w:rFonts w:ascii="Arial" w:eastAsia="Times New Roman" w:hAnsi="Arial" w:cs="Arial"/>
          <w:color w:val="222222"/>
          <w:sz w:val="20"/>
          <w:szCs w:val="20"/>
        </w:rPr>
        <w:t>Zimmet</w:t>
      </w:r>
      <w:proofErr w:type="spellEnd"/>
      <w:r w:rsidRPr="004D4AC5">
        <w:rPr>
          <w:rFonts w:ascii="Arial" w:eastAsia="Times New Roman" w:hAnsi="Arial" w:cs="Arial"/>
          <w:color w:val="222222"/>
          <w:sz w:val="20"/>
          <w:szCs w:val="20"/>
        </w:rPr>
        <w:t>, 1998) 3). Smokers: a habit of daily smoking continued at the time of recruitment for the study (Chin et al.</w:t>
      </w:r>
      <w:proofErr w:type="gramStart"/>
      <w:r w:rsidRPr="004D4AC5">
        <w:rPr>
          <w:rFonts w:ascii="Arial" w:eastAsia="Times New Roman" w:hAnsi="Arial" w:cs="Arial"/>
          <w:color w:val="222222"/>
          <w:sz w:val="20"/>
          <w:szCs w:val="20"/>
        </w:rPr>
        <w:t>,  2012</w:t>
      </w:r>
      <w:proofErr w:type="gramEnd"/>
      <w:r w:rsidRPr="004D4AC5">
        <w:rPr>
          <w:rFonts w:ascii="Arial" w:eastAsia="Times New Roman" w:hAnsi="Arial" w:cs="Arial"/>
          <w:color w:val="222222"/>
          <w:sz w:val="20"/>
          <w:szCs w:val="20"/>
        </w:rPr>
        <w:t xml:space="preserve">). 4) Abdominal obesity: waist circumference &gt;90 cm (Tan, Ma, </w:t>
      </w:r>
      <w:proofErr w:type="spellStart"/>
      <w:r w:rsidRPr="004D4AC5">
        <w:rPr>
          <w:rFonts w:ascii="Arial" w:eastAsia="Times New Roman" w:hAnsi="Arial" w:cs="Arial"/>
          <w:color w:val="222222"/>
          <w:sz w:val="20"/>
          <w:szCs w:val="20"/>
        </w:rPr>
        <w:t>Wai</w:t>
      </w:r>
      <w:proofErr w:type="spellEnd"/>
      <w:r w:rsidRPr="004D4AC5">
        <w:rPr>
          <w:rFonts w:ascii="Arial" w:eastAsia="Times New Roman" w:hAnsi="Arial" w:cs="Arial"/>
          <w:color w:val="222222"/>
          <w:sz w:val="20"/>
          <w:szCs w:val="20"/>
        </w:rPr>
        <w:t>, Chew &amp; Tai, 2004). 5) Family history (FH) of premature CAD: when parents had CAD at &lt;55 (father) or &lt;65 (mother) of age (Stone et al., 2005). 6) Dyslipidemia: when TC &gt;6.2mmol/L, TG &gt;1.7mmol/L, LDL &gt;4.2mmol/L, or HDL &lt;1.04mmol/L (</w:t>
      </w:r>
      <w:proofErr w:type="spellStart"/>
      <w:r w:rsidRPr="004D4AC5">
        <w:rPr>
          <w:rFonts w:ascii="Arial" w:eastAsia="Times New Roman" w:hAnsi="Arial" w:cs="Arial"/>
          <w:color w:val="222222"/>
          <w:sz w:val="20"/>
          <w:szCs w:val="20"/>
        </w:rPr>
        <w:t>Alberti</w:t>
      </w:r>
      <w:proofErr w:type="spellEnd"/>
      <w:r w:rsidRPr="004D4AC5">
        <w:rPr>
          <w:rFonts w:ascii="Arial" w:eastAsia="Times New Roman" w:hAnsi="Arial" w:cs="Arial"/>
          <w:color w:val="222222"/>
          <w:sz w:val="20"/>
          <w:szCs w:val="20"/>
        </w:rPr>
        <w:t xml:space="preserve">, </w:t>
      </w:r>
      <w:proofErr w:type="spellStart"/>
      <w:r w:rsidRPr="004D4AC5">
        <w:rPr>
          <w:rFonts w:ascii="Arial" w:eastAsia="Times New Roman" w:hAnsi="Arial" w:cs="Arial"/>
          <w:color w:val="222222"/>
          <w:sz w:val="20"/>
          <w:szCs w:val="20"/>
        </w:rPr>
        <w:t>Zimmet</w:t>
      </w:r>
      <w:proofErr w:type="spellEnd"/>
      <w:r w:rsidRPr="004D4AC5">
        <w:rPr>
          <w:rFonts w:ascii="Arial" w:eastAsia="Times New Roman" w:hAnsi="Arial" w:cs="Arial"/>
          <w:color w:val="222222"/>
          <w:sz w:val="20"/>
          <w:szCs w:val="20"/>
        </w:rPr>
        <w:t xml:space="preserve"> &amp; Shaw, 2006). In this </w:t>
      </w:r>
      <w:r w:rsidRPr="004D4AC5">
        <w:rPr>
          <w:rFonts w:ascii="Arial" w:eastAsia="Times New Roman" w:hAnsi="Arial" w:cs="Arial"/>
          <w:color w:val="222222"/>
          <w:sz w:val="20"/>
          <w:szCs w:val="20"/>
        </w:rPr>
        <w:lastRenderedPageBreak/>
        <w:t>study, a total of eligible 70 young men (20 - 40 years) from IKBN who were sedentary, achieving less than 5000 steps/day in a casual walking with 2 or more cardiovascular risk factors were recruited.</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4D4AC5" w:rsidP="003E51A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6</w:t>
      </w:r>
      <w:r w:rsidR="003E51AB" w:rsidRPr="004D4AC5">
        <w:rPr>
          <w:rFonts w:ascii="Arial" w:eastAsia="Times New Roman" w:hAnsi="Arial" w:cs="Arial"/>
          <w:color w:val="222222"/>
          <w:sz w:val="20"/>
          <w:szCs w:val="20"/>
        </w:rPr>
        <w:t xml:space="preserve">.2. Pedometer-based workplace </w:t>
      </w:r>
      <w:proofErr w:type="spellStart"/>
      <w:r w:rsidR="003E51AB" w:rsidRPr="004D4AC5">
        <w:rPr>
          <w:rFonts w:ascii="Arial" w:eastAsia="Times New Roman" w:hAnsi="Arial" w:cs="Arial"/>
          <w:color w:val="222222"/>
          <w:sz w:val="20"/>
          <w:szCs w:val="20"/>
        </w:rPr>
        <w:t>programme</w:t>
      </w:r>
      <w:proofErr w:type="spellEnd"/>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The protocol as well as the potential risks and benefits of participating in this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were explained to each subject before written consent was obtained.</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Once enrolled in the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subjects underwent a complete medical history and physical examination to ensure that they were deemed safe for the exercise intervention. During the initial phase, each subject was exposed to the self-monitoring pedometer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which needs a full commitment from each subject. The subjects were informed that the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involved a self-monitoring based pedometer intervention, and they were expected to give full commitment and must be mentally and physically prepared to go through the next phases.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In the first week of trial, the subjects will be instructed to assess their average number of daily steps with a pedometer (</w:t>
      </w:r>
      <w:proofErr w:type="spellStart"/>
      <w:r w:rsidRPr="004D4AC5">
        <w:rPr>
          <w:rFonts w:ascii="Arial" w:eastAsia="Times New Roman" w:hAnsi="Arial" w:cs="Arial"/>
          <w:color w:val="222222"/>
          <w:sz w:val="20"/>
          <w:szCs w:val="20"/>
        </w:rPr>
        <w:t>Yamax</w:t>
      </w:r>
      <w:proofErr w:type="spellEnd"/>
      <w:r w:rsidRPr="004D4AC5">
        <w:rPr>
          <w:rFonts w:ascii="Arial" w:eastAsia="Times New Roman" w:hAnsi="Arial" w:cs="Arial"/>
          <w:color w:val="222222"/>
          <w:sz w:val="20"/>
          <w:szCs w:val="20"/>
        </w:rPr>
        <w:t xml:space="preserve"> Digi-Walker SW-200) for five days including four working and one non-working day. The average number of daily steps is used as the baseline for the further step goals. Subjects with less than 5000 steps per day were recruited in this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Subjects were divided randomly (Excel, Microsoft 2007) into pedometer group (PG) and control group (CG).</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The PG underwent a 4-week trial whereby subjects were required to gradually increase their walking by 1000 steps/day over 4 weeks.  At the end of the trial phase, they should achieve a mean daily step count of 3000 steps/day above their baseline on at least 5 days of the week, so that a total minimum number of 8000 steps/day is needed before the start of the actual intervention phase.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Subsequently, those subjects assigned to the PG followed a </w:t>
      </w:r>
      <w:proofErr w:type="gramStart"/>
      <w:r w:rsidRPr="004D4AC5">
        <w:rPr>
          <w:rFonts w:ascii="Arial" w:eastAsia="Times New Roman" w:hAnsi="Arial" w:cs="Arial"/>
          <w:color w:val="222222"/>
          <w:sz w:val="20"/>
          <w:szCs w:val="20"/>
        </w:rPr>
        <w:t>12 week</w:t>
      </w:r>
      <w:proofErr w:type="gramEnd"/>
      <w:r w:rsidRPr="004D4AC5">
        <w:rPr>
          <w:rFonts w:ascii="Arial" w:eastAsia="Times New Roman" w:hAnsi="Arial" w:cs="Arial"/>
          <w:color w:val="222222"/>
          <w:sz w:val="20"/>
          <w:szCs w:val="20"/>
        </w:rPr>
        <w:t xml:space="preserve"> pedometer-based walking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 xml:space="preserve">. The number of steps initiated by them from wake-up to bedtime every day (five days per week) was recorded in a </w:t>
      </w:r>
      <w:proofErr w:type="spellStart"/>
      <w:r w:rsidRPr="004D4AC5">
        <w:rPr>
          <w:rFonts w:ascii="Arial" w:eastAsia="Times New Roman" w:hAnsi="Arial" w:cs="Arial"/>
          <w:color w:val="222222"/>
          <w:sz w:val="20"/>
          <w:szCs w:val="20"/>
        </w:rPr>
        <w:t>standardised</w:t>
      </w:r>
      <w:proofErr w:type="spellEnd"/>
      <w:r w:rsidRPr="004D4AC5">
        <w:rPr>
          <w:rFonts w:ascii="Arial" w:eastAsia="Times New Roman" w:hAnsi="Arial" w:cs="Arial"/>
          <w:color w:val="222222"/>
          <w:sz w:val="20"/>
          <w:szCs w:val="20"/>
        </w:rPr>
        <w:t xml:space="preserve"> diary book provided to all PG members.</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Subjects assigned to the CG were instructed to maintain their habitual lifestyle and not to change their activity throughout this </w:t>
      </w:r>
      <w:proofErr w:type="spellStart"/>
      <w:r w:rsidRPr="004D4AC5">
        <w:rPr>
          <w:rFonts w:ascii="Arial" w:eastAsia="Times New Roman" w:hAnsi="Arial" w:cs="Arial"/>
          <w:color w:val="222222"/>
          <w:sz w:val="20"/>
          <w:szCs w:val="20"/>
        </w:rPr>
        <w:t>programme</w:t>
      </w:r>
      <w:proofErr w:type="spellEnd"/>
      <w:r w:rsidRPr="004D4AC5">
        <w:rPr>
          <w:rFonts w:ascii="Arial" w:eastAsia="Times New Roman" w:hAnsi="Arial" w:cs="Arial"/>
          <w:color w:val="222222"/>
          <w:sz w:val="20"/>
          <w:szCs w:val="20"/>
        </w:rPr>
        <w:t>.</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There were two sessions of cardiovascular markers assessments: at baseline, at 6 weeks and at 12-week intervention (post intervention).</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4D4AC5" w:rsidP="003E51A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6</w:t>
      </w:r>
      <w:r w:rsidR="003E51AB" w:rsidRPr="004D4AC5">
        <w:rPr>
          <w:rFonts w:ascii="Arial" w:eastAsia="Times New Roman" w:hAnsi="Arial" w:cs="Arial"/>
          <w:color w:val="222222"/>
          <w:sz w:val="20"/>
          <w:szCs w:val="20"/>
        </w:rPr>
        <w:t xml:space="preserve">.3. Measurement of body anthropometry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Height was measured by a wall-mounted </w:t>
      </w:r>
      <w:proofErr w:type="spellStart"/>
      <w:r w:rsidRPr="004D4AC5">
        <w:rPr>
          <w:rFonts w:ascii="Arial" w:eastAsia="Times New Roman" w:hAnsi="Arial" w:cs="Arial"/>
          <w:color w:val="222222"/>
          <w:sz w:val="20"/>
          <w:szCs w:val="20"/>
        </w:rPr>
        <w:t>stadiometer</w:t>
      </w:r>
      <w:proofErr w:type="spellEnd"/>
      <w:r w:rsidRPr="004D4AC5">
        <w:rPr>
          <w:rFonts w:ascii="Arial" w:eastAsia="Times New Roman" w:hAnsi="Arial" w:cs="Arial"/>
          <w:color w:val="222222"/>
          <w:sz w:val="20"/>
          <w:szCs w:val="20"/>
        </w:rPr>
        <w:t xml:space="preserve"> (SECA, Hamburg, Germany) and weight was measured by using a digital scale (SECA, Hamburg, Germany). Body mass index was then calculated as weight (kg) /height (m2). Waist circumference was measured by a measuring tape on the horizontal plane, midway between the anterior superior iliac spine and lower rib after normal expiration (</w:t>
      </w:r>
      <w:proofErr w:type="spellStart"/>
      <w:r w:rsidRPr="004D4AC5">
        <w:rPr>
          <w:rFonts w:ascii="Arial" w:eastAsia="Times New Roman" w:hAnsi="Arial" w:cs="Arial"/>
          <w:color w:val="222222"/>
          <w:sz w:val="20"/>
          <w:szCs w:val="20"/>
        </w:rPr>
        <w:t>Alberti</w:t>
      </w:r>
      <w:proofErr w:type="spellEnd"/>
      <w:r w:rsidRPr="004D4AC5">
        <w:rPr>
          <w:rFonts w:ascii="Arial" w:eastAsia="Times New Roman" w:hAnsi="Arial" w:cs="Arial"/>
          <w:color w:val="222222"/>
          <w:sz w:val="20"/>
          <w:szCs w:val="20"/>
        </w:rPr>
        <w:t xml:space="preserve"> et al., 2006).</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4D4AC5" w:rsidP="003E51A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6</w:t>
      </w:r>
      <w:r w:rsidR="003E51AB" w:rsidRPr="004D4AC5">
        <w:rPr>
          <w:rFonts w:ascii="Arial" w:eastAsia="Times New Roman" w:hAnsi="Arial" w:cs="Arial"/>
          <w:color w:val="222222"/>
          <w:sz w:val="20"/>
          <w:szCs w:val="20"/>
        </w:rPr>
        <w:t xml:space="preserve">.4. Measurement of blood parameters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About 10 ml of blood was withdrawn from the antecubital vein after fasting for a minimum of 8 hours. Blood samples were then sent to the Gribbles pathology laboratory (Selangor, Malaysia) for further analysis of lipid profiles and glucose. The serum TG, HDL cholesterol, and TC were measured using enzymatic methods (</w:t>
      </w:r>
      <w:proofErr w:type="spellStart"/>
      <w:r w:rsidRPr="004D4AC5">
        <w:rPr>
          <w:rFonts w:ascii="Arial" w:eastAsia="Times New Roman" w:hAnsi="Arial" w:cs="Arial"/>
          <w:color w:val="222222"/>
          <w:sz w:val="20"/>
          <w:szCs w:val="20"/>
        </w:rPr>
        <w:t>Advia</w:t>
      </w:r>
      <w:proofErr w:type="spellEnd"/>
      <w:r w:rsidRPr="004D4AC5">
        <w:rPr>
          <w:rFonts w:ascii="Arial" w:eastAsia="Times New Roman" w:hAnsi="Arial" w:cs="Arial"/>
          <w:color w:val="222222"/>
          <w:sz w:val="20"/>
          <w:szCs w:val="20"/>
        </w:rPr>
        <w:t xml:space="preserve"> 2400 Chemistry Analyzer, Siemens, Tokyo, Japan). The blood glucose was measured by enzymatic method using the hexokinase and glucose-6-phosphate dehydrogenase enzymes (</w:t>
      </w:r>
      <w:proofErr w:type="spellStart"/>
      <w:r w:rsidRPr="004D4AC5">
        <w:rPr>
          <w:rFonts w:ascii="Arial" w:eastAsia="Times New Roman" w:hAnsi="Arial" w:cs="Arial"/>
          <w:color w:val="222222"/>
          <w:sz w:val="20"/>
          <w:szCs w:val="20"/>
        </w:rPr>
        <w:t>Advia</w:t>
      </w:r>
      <w:proofErr w:type="spellEnd"/>
      <w:r w:rsidRPr="004D4AC5">
        <w:rPr>
          <w:rFonts w:ascii="Arial" w:eastAsia="Times New Roman" w:hAnsi="Arial" w:cs="Arial"/>
          <w:color w:val="222222"/>
          <w:sz w:val="20"/>
          <w:szCs w:val="20"/>
        </w:rPr>
        <w:t xml:space="preserve"> 2400 Chemistry Analyzer, Siemens, Tokyo, Japan). For lipid profile, the inter-assay coefficient of variation (CV) ranged from 1.4-3.5%. This laboratory obtained International Organization of Standardization (ISO: MS ISO 15189) in compliance with the standard quality.</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4D4AC5" w:rsidRDefault="004D4AC5" w:rsidP="003E51A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6</w:t>
      </w:r>
      <w:r w:rsidR="003E51AB" w:rsidRPr="004D4AC5">
        <w:rPr>
          <w:rFonts w:ascii="Arial" w:eastAsia="Times New Roman" w:hAnsi="Arial" w:cs="Arial"/>
          <w:color w:val="222222"/>
          <w:sz w:val="20"/>
          <w:szCs w:val="20"/>
        </w:rPr>
        <w:t xml:space="preserve">.5. Statistical analysis </w:t>
      </w:r>
    </w:p>
    <w:p w:rsidR="003E51AB" w:rsidRPr="004D4AC5" w:rsidRDefault="003E51AB" w:rsidP="003E51AB">
      <w:pPr>
        <w:shd w:val="clear" w:color="auto" w:fill="FFFFFF"/>
        <w:spacing w:after="0" w:line="240" w:lineRule="auto"/>
        <w:jc w:val="both"/>
        <w:rPr>
          <w:rFonts w:ascii="Arial" w:eastAsia="Times New Roman" w:hAnsi="Arial" w:cs="Arial"/>
          <w:color w:val="222222"/>
          <w:sz w:val="20"/>
          <w:szCs w:val="20"/>
        </w:rPr>
      </w:pPr>
    </w:p>
    <w:p w:rsidR="003E51AB" w:rsidRPr="003E51AB" w:rsidRDefault="003E51AB" w:rsidP="003E51AB">
      <w:pPr>
        <w:shd w:val="clear" w:color="auto" w:fill="FFFFFF"/>
        <w:spacing w:after="0" w:line="240" w:lineRule="auto"/>
        <w:jc w:val="both"/>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A visual inspection of the histogram (plotted as the distribution frequencies) and acceptable level of sickness (-1 to 1) and kurtosis (-1 to 1) were used to determine the normality of the data. All the data were normally distributed. The differences in cardiovascular parameters between groups were compared by general linear model (GLM) repeated measures. The significant results were accepted at p&lt;0.05. All the data were </w:t>
      </w:r>
      <w:proofErr w:type="spellStart"/>
      <w:r w:rsidRPr="004D4AC5">
        <w:rPr>
          <w:rFonts w:ascii="Arial" w:eastAsia="Times New Roman" w:hAnsi="Arial" w:cs="Arial"/>
          <w:color w:val="222222"/>
          <w:sz w:val="20"/>
          <w:szCs w:val="20"/>
        </w:rPr>
        <w:t>analysed</w:t>
      </w:r>
      <w:proofErr w:type="spellEnd"/>
      <w:r w:rsidRPr="004D4AC5">
        <w:rPr>
          <w:rFonts w:ascii="Arial" w:eastAsia="Times New Roman" w:hAnsi="Arial" w:cs="Arial"/>
          <w:color w:val="222222"/>
          <w:sz w:val="20"/>
          <w:szCs w:val="20"/>
        </w:rPr>
        <w:t xml:space="preserve"> using the Statistical Package for Social Sciences Version 20 (SPSS Inc., Chicago, IL, USA).</w:t>
      </w: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3E51AB" w:rsidRDefault="004D4AC5" w:rsidP="003E51AB">
      <w:pPr>
        <w:shd w:val="clear" w:color="auto" w:fill="FFFFFF"/>
        <w:spacing w:after="0" w:line="240" w:lineRule="auto"/>
        <w:rPr>
          <w:rFonts w:ascii="Arial" w:eastAsia="Times New Roman" w:hAnsi="Arial" w:cs="Arial"/>
          <w:b/>
          <w:color w:val="222222"/>
          <w:sz w:val="20"/>
          <w:szCs w:val="20"/>
        </w:rPr>
      </w:pPr>
      <w:r w:rsidRPr="00B268FA">
        <w:rPr>
          <w:rFonts w:ascii="Arial" w:eastAsia="Times New Roman" w:hAnsi="Arial" w:cs="Arial"/>
          <w:b/>
          <w:color w:val="222222"/>
          <w:sz w:val="20"/>
          <w:szCs w:val="20"/>
        </w:rPr>
        <w:t xml:space="preserve">7.0 </w:t>
      </w:r>
      <w:r w:rsidR="003E51AB" w:rsidRPr="003E51AB">
        <w:rPr>
          <w:rFonts w:ascii="Arial" w:eastAsia="Times New Roman" w:hAnsi="Arial" w:cs="Arial"/>
          <w:b/>
          <w:color w:val="222222"/>
          <w:sz w:val="20"/>
          <w:szCs w:val="20"/>
        </w:rPr>
        <w:t xml:space="preserve">Optical Technology Intervention in Cardiovascular Health Monitoring </w:t>
      </w:r>
    </w:p>
    <w:p w:rsidR="003E51AB" w:rsidRDefault="003E51AB" w:rsidP="003E51AB">
      <w:pPr>
        <w:shd w:val="clear" w:color="auto" w:fill="FFFFFF"/>
        <w:spacing w:after="0" w:line="240" w:lineRule="auto"/>
        <w:rPr>
          <w:rFonts w:ascii="Arial" w:eastAsia="Times New Roman" w:hAnsi="Arial" w:cs="Arial"/>
          <w:color w:val="222222"/>
          <w:sz w:val="20"/>
          <w:szCs w:val="20"/>
        </w:rPr>
      </w:pPr>
    </w:p>
    <w:p w:rsidR="004D4AC5" w:rsidRPr="004D4AC5" w:rsidRDefault="00B268FA" w:rsidP="004D4AC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7</w:t>
      </w:r>
      <w:r w:rsidR="004D4AC5" w:rsidRPr="004D4AC5">
        <w:rPr>
          <w:rFonts w:ascii="Arial" w:eastAsia="Times New Roman" w:hAnsi="Arial" w:cs="Arial"/>
          <w:color w:val="222222"/>
          <w:sz w:val="20"/>
          <w:szCs w:val="20"/>
        </w:rPr>
        <w:t>.1. Subjects</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The prospective randomized controlled trial study was conducted in the IKBN Hulu Langat. The 35 participants were selected randomly among their male staff and student who are aged between 20 to 40 years old with at any two or more cardiovascular risk factors which include </w:t>
      </w:r>
      <w:proofErr w:type="spellStart"/>
      <w:r w:rsidRPr="004D4AC5">
        <w:rPr>
          <w:rFonts w:ascii="Arial" w:eastAsia="Times New Roman" w:hAnsi="Arial" w:cs="Arial"/>
          <w:color w:val="222222"/>
          <w:sz w:val="20"/>
          <w:szCs w:val="20"/>
        </w:rPr>
        <w:t>dyslipidaemia</w:t>
      </w:r>
      <w:proofErr w:type="spellEnd"/>
      <w:r w:rsidRPr="004D4AC5">
        <w:rPr>
          <w:rFonts w:ascii="Arial" w:eastAsia="Times New Roman" w:hAnsi="Arial" w:cs="Arial"/>
          <w:color w:val="222222"/>
          <w:sz w:val="20"/>
          <w:szCs w:val="20"/>
        </w:rPr>
        <w:t xml:space="preserve">, smoking, hypertension, abdominal obesity, and family history of CVD. The selected participants are currently undergoing sedentary lifestyle with less than 5000 steps per day. As part of the study criteria, subjects with established diabetes mellitus and other chronic disease such as CVD, inflammatory disease, peripheral vascular disease, lung disease and liver disease were excluded with the assumption that would interfere with physical activity.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B268FA" w:rsidP="004D4AC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7</w:t>
      </w:r>
      <w:r w:rsidR="004D4AC5" w:rsidRPr="004D4AC5">
        <w:rPr>
          <w:rFonts w:ascii="Arial" w:eastAsia="Times New Roman" w:hAnsi="Arial" w:cs="Arial"/>
          <w:color w:val="222222"/>
          <w:sz w:val="20"/>
          <w:szCs w:val="20"/>
        </w:rPr>
        <w:t>.2. Recording Parameters</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Default="004D4AC5" w:rsidP="004D4AC5">
      <w:pPr>
        <w:shd w:val="clear" w:color="auto" w:fill="FFFFFF"/>
        <w:spacing w:after="0" w:line="240" w:lineRule="auto"/>
        <w:rPr>
          <w:rFonts w:ascii="Arial" w:eastAsia="Times New Roman" w:hAnsi="Arial" w:cs="Arial"/>
          <w:color w:val="222222"/>
          <w:sz w:val="20"/>
          <w:szCs w:val="20"/>
        </w:rPr>
      </w:pPr>
      <w:r>
        <w:rPr>
          <w:noProof/>
        </w:rPr>
        <w:drawing>
          <wp:inline distT="0" distB="0" distL="0" distR="0" wp14:anchorId="68E722F4" wp14:editId="0C1EEBAF">
            <wp:extent cx="4297680" cy="1568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680" cy="1568450"/>
                    </a:xfrm>
                    <a:prstGeom prst="rect">
                      <a:avLst/>
                    </a:prstGeom>
                  </pic:spPr>
                </pic:pic>
              </a:graphicData>
            </a:graphic>
          </wp:inline>
        </w:drawing>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B268FA" w:rsidP="004D4AC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7</w:t>
      </w:r>
      <w:r w:rsidR="004D4AC5" w:rsidRPr="004D4AC5">
        <w:rPr>
          <w:rFonts w:ascii="Arial" w:eastAsia="Times New Roman" w:hAnsi="Arial" w:cs="Arial"/>
          <w:color w:val="222222"/>
          <w:sz w:val="20"/>
          <w:szCs w:val="20"/>
        </w:rPr>
        <w:t xml:space="preserve">.3. Procedure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Participants were randomly allocated into one of the two groups by the random approach: pedometer</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Group (PG, n=19), and a control group (CG, n=16). A preliminary session of getting used to with a pedometer (Tudor LC, Ainsworth BE, Thompson RW, Matthews CE 2002) and the briefing was given to all the participants in the PG group were given to all the subjects about handling and placement of the pedometer (Tudor LC et al 2002). No dietary adjustments were advised for this intervention. Baseline readings of all the parameters in all the subjects were collected before randomization. For the first week of trial, subjects’ step baseline data collection was conducted to assess the subjects’ average daily steps for 5 days, including four working days and one non-working and subjects with less than 5000 steps per day were recruited to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Participate in the program. Hence the subjects were divided randomly into the pedometer group and a control group.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For the pedometer group undergo a 4week trial as a starter, which subjects were to gradually increase their steps by 1000 steps per day for 4 weeks. Thus, for the trial week, subjects should achieve an average daily steps of 3000 steps per day, that was above their baseline for at least 5 days a week with a total minimum of 8000 steps per day was needed before the intervention took place.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As for the control group, subjects were to maintain their sedentary lifestyle throughout the program. </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Pr="004D4AC5" w:rsidRDefault="00B268FA" w:rsidP="004D4AC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7</w:t>
      </w:r>
      <w:r w:rsidR="004D4AC5" w:rsidRPr="004D4AC5">
        <w:rPr>
          <w:rFonts w:ascii="Arial" w:eastAsia="Times New Roman" w:hAnsi="Arial" w:cs="Arial"/>
          <w:color w:val="222222"/>
          <w:sz w:val="20"/>
          <w:szCs w:val="20"/>
        </w:rPr>
        <w:t>.4. Statistical Analysis</w:t>
      </w:r>
    </w:p>
    <w:p w:rsidR="004D4AC5" w:rsidRPr="004D4AC5" w:rsidRDefault="004D4AC5" w:rsidP="004D4AC5">
      <w:pPr>
        <w:shd w:val="clear" w:color="auto" w:fill="FFFFFF"/>
        <w:spacing w:after="0" w:line="240" w:lineRule="auto"/>
        <w:rPr>
          <w:rFonts w:ascii="Arial" w:eastAsia="Times New Roman" w:hAnsi="Arial" w:cs="Arial"/>
          <w:color w:val="222222"/>
          <w:sz w:val="20"/>
          <w:szCs w:val="20"/>
        </w:rPr>
      </w:pPr>
    </w:p>
    <w:p w:rsidR="004D4AC5" w:rsidRDefault="004D4AC5" w:rsidP="004D4AC5">
      <w:pPr>
        <w:shd w:val="clear" w:color="auto" w:fill="FFFFFF"/>
        <w:spacing w:after="0" w:line="240" w:lineRule="auto"/>
        <w:rPr>
          <w:rFonts w:ascii="Arial" w:eastAsia="Times New Roman" w:hAnsi="Arial" w:cs="Arial"/>
          <w:color w:val="222222"/>
          <w:sz w:val="20"/>
          <w:szCs w:val="20"/>
        </w:rPr>
      </w:pPr>
      <w:r w:rsidRPr="004D4AC5">
        <w:rPr>
          <w:rFonts w:ascii="Arial" w:eastAsia="Times New Roman" w:hAnsi="Arial" w:cs="Arial"/>
          <w:color w:val="222222"/>
          <w:sz w:val="20"/>
          <w:szCs w:val="20"/>
        </w:rPr>
        <w:t xml:space="preserve">     Paired t test was used within the groups to compare mean ± SD for all the parameters at baseline, 6 weeks and at the end of 12 weeks. Differences between the groups were compared using error plot. In this study p-value less than 0.05 has been considered as statistically significant</w:t>
      </w:r>
    </w:p>
    <w:p w:rsidR="004D4AC5" w:rsidRPr="003E51AB" w:rsidRDefault="004D4AC5" w:rsidP="003E51AB">
      <w:pPr>
        <w:shd w:val="clear" w:color="auto" w:fill="FFFFFF"/>
        <w:spacing w:after="0" w:line="240" w:lineRule="auto"/>
        <w:rPr>
          <w:rFonts w:ascii="Arial" w:eastAsia="Times New Roman" w:hAnsi="Arial" w:cs="Arial"/>
          <w:color w:val="222222"/>
          <w:sz w:val="20"/>
          <w:szCs w:val="20"/>
        </w:rPr>
      </w:pPr>
    </w:p>
    <w:p w:rsidR="003E51AB" w:rsidRPr="003E51AB" w:rsidRDefault="00B268FA" w:rsidP="003E51AB">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0124D"/>
          <w:sz w:val="20"/>
          <w:szCs w:val="20"/>
        </w:rPr>
        <w:t xml:space="preserve">8.0 </w:t>
      </w:r>
      <w:r w:rsidR="003E51AB" w:rsidRPr="003E51AB">
        <w:rPr>
          <w:rFonts w:ascii="Arial" w:eastAsia="Times New Roman" w:hAnsi="Arial" w:cs="Arial"/>
          <w:b/>
          <w:bCs/>
          <w:color w:val="20124D"/>
          <w:sz w:val="20"/>
          <w:szCs w:val="20"/>
        </w:rPr>
        <w:t>Intervention Analysis </w:t>
      </w:r>
      <w:r w:rsidR="003E51AB" w:rsidRPr="003E51AB">
        <w:rPr>
          <w:rFonts w:ascii="Arial" w:eastAsia="Times New Roman" w:hAnsi="Arial" w:cs="Arial"/>
          <w:color w:val="222222"/>
          <w:sz w:val="20"/>
          <w:szCs w:val="20"/>
        </w:rPr>
        <w:t>(</w:t>
      </w:r>
      <w:r w:rsidR="003E51AB" w:rsidRPr="003E51AB">
        <w:rPr>
          <w:rFonts w:ascii="Arial" w:eastAsia="Times New Roman" w:hAnsi="Arial" w:cs="Arial"/>
          <w:b/>
          <w:bCs/>
          <w:color w:val="0000FF"/>
          <w:sz w:val="20"/>
          <w:szCs w:val="20"/>
        </w:rPr>
        <w:t>Refer </w:t>
      </w:r>
      <w:proofErr w:type="spellStart"/>
      <w:r w:rsidR="003E51AB" w:rsidRPr="003E51AB">
        <w:rPr>
          <w:rFonts w:ascii="Arial" w:eastAsia="Times New Roman" w:hAnsi="Arial" w:cs="Arial"/>
          <w:b/>
          <w:bCs/>
          <w:color w:val="0000FF"/>
          <w:sz w:val="20"/>
          <w:szCs w:val="20"/>
        </w:rPr>
        <w:t>Dr</w:t>
      </w:r>
      <w:proofErr w:type="spellEnd"/>
      <w:r w:rsidR="003E51AB" w:rsidRPr="003E51AB">
        <w:rPr>
          <w:rFonts w:ascii="Arial" w:eastAsia="Times New Roman" w:hAnsi="Arial" w:cs="Arial"/>
          <w:b/>
          <w:bCs/>
          <w:color w:val="0000FF"/>
          <w:sz w:val="20"/>
          <w:szCs w:val="20"/>
        </w:rPr>
        <w:t xml:space="preserve"> </w:t>
      </w:r>
      <w:proofErr w:type="spellStart"/>
      <w:r w:rsidR="003E51AB" w:rsidRPr="003E51AB">
        <w:rPr>
          <w:rFonts w:ascii="Arial" w:eastAsia="Times New Roman" w:hAnsi="Arial" w:cs="Arial"/>
          <w:b/>
          <w:bCs/>
          <w:color w:val="0000FF"/>
          <w:sz w:val="20"/>
          <w:szCs w:val="20"/>
        </w:rPr>
        <w:t>Suhana's</w:t>
      </w:r>
      <w:proofErr w:type="spellEnd"/>
      <w:r w:rsidR="003E51AB" w:rsidRPr="003E51AB">
        <w:rPr>
          <w:rFonts w:ascii="Arial" w:eastAsia="Times New Roman" w:hAnsi="Arial" w:cs="Arial"/>
          <w:b/>
          <w:bCs/>
          <w:color w:val="0000FF"/>
          <w:sz w:val="20"/>
          <w:szCs w:val="20"/>
        </w:rPr>
        <w:t xml:space="preserve"> KTP paper's Result followed by Rosa's paper result</w:t>
      </w:r>
      <w:r w:rsidR="003E51AB" w:rsidRPr="003E51AB">
        <w:rPr>
          <w:rFonts w:ascii="Arial" w:eastAsia="Times New Roman" w:hAnsi="Arial" w:cs="Arial"/>
          <w:color w:val="222222"/>
          <w:sz w:val="20"/>
          <w:szCs w:val="20"/>
        </w:rPr>
        <w:t>)</w:t>
      </w:r>
    </w:p>
    <w:p w:rsidR="003E51AB" w:rsidRDefault="003E51AB" w:rsidP="003E51AB">
      <w:pPr>
        <w:shd w:val="clear" w:color="auto" w:fill="FFFFFF"/>
        <w:spacing w:after="0" w:line="240" w:lineRule="auto"/>
        <w:rPr>
          <w:rFonts w:ascii="Arial" w:eastAsia="Times New Roman" w:hAnsi="Arial" w:cs="Arial"/>
          <w:color w:val="222222"/>
          <w:sz w:val="20"/>
          <w:szCs w:val="20"/>
        </w:rPr>
      </w:pPr>
    </w:p>
    <w:p w:rsidR="00B268FA" w:rsidRPr="00B268FA" w:rsidRDefault="00B268FA" w:rsidP="00B268FA">
      <w:pPr>
        <w:jc w:val="both"/>
        <w:rPr>
          <w:rFonts w:ascii="Arial" w:hAnsi="Arial" w:cs="Arial"/>
          <w:sz w:val="20"/>
          <w:szCs w:val="20"/>
          <w:lang w:val="en-GB"/>
        </w:rPr>
      </w:pPr>
      <w:r w:rsidRPr="00B268FA">
        <w:rPr>
          <w:rFonts w:ascii="Arial" w:hAnsi="Arial" w:cs="Arial"/>
          <w:sz w:val="20"/>
          <w:szCs w:val="20"/>
          <w:lang w:val="en-GB"/>
        </w:rPr>
        <w:t xml:space="preserve">The subjects’ characteristics for the whole and each group are summarized in Table 1. They were young males (n=70), with mean BP, WC, lipid profile, blood sugar and PWV within normal range except for triglyceride level which was above normal. </w:t>
      </w:r>
      <w:proofErr w:type="gramStart"/>
      <w:r w:rsidRPr="00B268FA">
        <w:rPr>
          <w:rFonts w:ascii="Arial" w:hAnsi="Arial" w:cs="Arial"/>
          <w:sz w:val="20"/>
          <w:szCs w:val="20"/>
          <w:lang w:val="en-GB"/>
        </w:rPr>
        <w:t>Seventy four</w:t>
      </w:r>
      <w:proofErr w:type="gramEnd"/>
      <w:r w:rsidRPr="00B268FA">
        <w:rPr>
          <w:rFonts w:ascii="Arial" w:hAnsi="Arial" w:cs="Arial"/>
          <w:sz w:val="20"/>
          <w:szCs w:val="20"/>
          <w:lang w:val="en-GB"/>
        </w:rPr>
        <w:t xml:space="preserve"> percent of them were smokers and the prevalence of hypertension was 4.0%, abdominal obesity 51%, </w:t>
      </w:r>
      <w:proofErr w:type="spellStart"/>
      <w:r w:rsidRPr="00B268FA">
        <w:rPr>
          <w:rFonts w:ascii="Arial" w:hAnsi="Arial" w:cs="Arial"/>
          <w:sz w:val="20"/>
          <w:szCs w:val="20"/>
          <w:lang w:val="en-GB"/>
        </w:rPr>
        <w:t>dyslipidemia</w:t>
      </w:r>
      <w:proofErr w:type="spellEnd"/>
      <w:r w:rsidRPr="00B268FA">
        <w:rPr>
          <w:rFonts w:ascii="Arial" w:hAnsi="Arial" w:cs="Arial"/>
          <w:sz w:val="20"/>
          <w:szCs w:val="20"/>
          <w:lang w:val="en-GB"/>
        </w:rPr>
        <w:t xml:space="preserve"> 67% and FH of CAD 10%. None of them had diabetes mellitus or pre diabetes (6.1mmol/L, &lt;FBG &lt;7mmol/L).</w:t>
      </w:r>
    </w:p>
    <w:p w:rsidR="00B268FA" w:rsidRDefault="00B268FA" w:rsidP="00B268FA">
      <w:pPr>
        <w:jc w:val="both"/>
        <w:rPr>
          <w:rFonts w:ascii="Arial" w:hAnsi="Arial" w:cs="Arial"/>
          <w:bCs/>
          <w:sz w:val="20"/>
          <w:szCs w:val="20"/>
          <w:lang w:val="en-GB"/>
        </w:rPr>
      </w:pPr>
      <w:r w:rsidRPr="00B268FA">
        <w:rPr>
          <w:rFonts w:ascii="Arial" w:hAnsi="Arial" w:cs="Arial"/>
          <w:bCs/>
          <w:sz w:val="20"/>
          <w:szCs w:val="20"/>
          <w:lang w:val="en-GB"/>
        </w:rPr>
        <w:t>Following the intervention, the number of steps for PG significantly increased for time and the group effect (p&lt;0.05). No change was seen in CG (Table 2). In terms of the physical parameters, after pedometer-based interventions for 12 weeks, the body weight and waist circumference were significantly decreased for PG (time and group effect, p&lt;0.05). In addition, there was significant improvement in lipid profile in the PG (Table 3).</w:t>
      </w:r>
    </w:p>
    <w:p w:rsidR="00B268FA" w:rsidRPr="00B268FA" w:rsidRDefault="00B268FA" w:rsidP="00B268FA">
      <w:pPr>
        <w:ind w:right="752"/>
        <w:jc w:val="center"/>
        <w:rPr>
          <w:rFonts w:ascii="Arial" w:hAnsi="Arial" w:cs="Arial"/>
          <w:sz w:val="20"/>
          <w:szCs w:val="20"/>
          <w:lang w:val="en-GB"/>
        </w:rPr>
      </w:pPr>
      <w:r w:rsidRPr="00B268FA">
        <w:rPr>
          <w:rFonts w:ascii="Arial" w:hAnsi="Arial" w:cs="Arial"/>
          <w:b/>
          <w:sz w:val="20"/>
          <w:szCs w:val="20"/>
          <w:lang w:val="en-GB"/>
        </w:rPr>
        <w:t>Table 1:</w:t>
      </w:r>
      <w:r w:rsidRPr="00B268FA">
        <w:rPr>
          <w:rFonts w:ascii="Arial" w:hAnsi="Arial" w:cs="Arial"/>
          <w:sz w:val="20"/>
          <w:szCs w:val="20"/>
          <w:lang w:val="en-GB"/>
        </w:rPr>
        <w:t xml:space="preserve"> Subjects characteristics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440"/>
        <w:gridCol w:w="1350"/>
        <w:gridCol w:w="810"/>
      </w:tblGrid>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Parameter</w:t>
            </w:r>
          </w:p>
        </w:tc>
        <w:tc>
          <w:tcPr>
            <w:tcW w:w="1440" w:type="dxa"/>
            <w:shd w:val="clear" w:color="auto" w:fill="auto"/>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Pedometer Group (N=36)</w:t>
            </w:r>
          </w:p>
        </w:tc>
        <w:tc>
          <w:tcPr>
            <w:tcW w:w="1350" w:type="dxa"/>
            <w:shd w:val="clear" w:color="auto" w:fill="auto"/>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Control Group (N=34)</w:t>
            </w:r>
          </w:p>
        </w:tc>
        <w:tc>
          <w:tcPr>
            <w:tcW w:w="810" w:type="dxa"/>
            <w:shd w:val="clear" w:color="auto" w:fill="auto"/>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p-value</w:t>
            </w:r>
          </w:p>
        </w:tc>
      </w:tr>
      <w:tr w:rsidR="00B268FA" w:rsidRPr="00B268FA" w:rsidTr="00C00103">
        <w:trPr>
          <w:trHeight w:val="620"/>
          <w:jc w:val="center"/>
        </w:trPr>
        <w:tc>
          <w:tcPr>
            <w:tcW w:w="1998" w:type="dxa"/>
            <w:shd w:val="clear" w:color="auto" w:fill="auto"/>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Age (years)</w:t>
            </w:r>
          </w:p>
        </w:tc>
        <w:tc>
          <w:tcPr>
            <w:tcW w:w="144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26.17 ± 6.68</w:t>
            </w:r>
          </w:p>
        </w:tc>
        <w:tc>
          <w:tcPr>
            <w:tcW w:w="135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26.62 ± 7.39</w:t>
            </w:r>
          </w:p>
        </w:tc>
        <w:tc>
          <w:tcPr>
            <w:tcW w:w="81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0.94</w:t>
            </w: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Weight (kg)</w:t>
            </w:r>
          </w:p>
          <w:p w:rsidR="00B268FA" w:rsidRPr="00B268FA" w:rsidRDefault="00B268FA" w:rsidP="00C00103">
            <w:pPr>
              <w:rPr>
                <w:rFonts w:ascii="Arial" w:hAnsi="Arial" w:cs="Arial"/>
                <w:b/>
                <w:bCs/>
                <w:sz w:val="20"/>
                <w:szCs w:val="20"/>
                <w:lang w:val="en-GB"/>
              </w:rPr>
            </w:pPr>
          </w:p>
        </w:tc>
        <w:tc>
          <w:tcPr>
            <w:tcW w:w="144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73.32 ±18.47</w:t>
            </w:r>
          </w:p>
        </w:tc>
        <w:tc>
          <w:tcPr>
            <w:tcW w:w="135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68.94 ± 14.15</w:t>
            </w:r>
          </w:p>
        </w:tc>
        <w:tc>
          <w:tcPr>
            <w:tcW w:w="81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0.27</w:t>
            </w:r>
          </w:p>
          <w:p w:rsidR="00B268FA" w:rsidRPr="00B268FA" w:rsidRDefault="00B268FA" w:rsidP="00C00103">
            <w:pPr>
              <w:jc w:val="center"/>
              <w:rPr>
                <w:rFonts w:ascii="Arial" w:hAnsi="Arial" w:cs="Arial"/>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Height (m)</w:t>
            </w:r>
          </w:p>
          <w:p w:rsidR="00B268FA" w:rsidRPr="00B268FA" w:rsidRDefault="00B268FA" w:rsidP="00C00103">
            <w:pPr>
              <w:rPr>
                <w:rFonts w:ascii="Arial" w:hAnsi="Arial" w:cs="Arial"/>
                <w:b/>
                <w:bCs/>
                <w:sz w:val="20"/>
                <w:szCs w:val="20"/>
                <w:lang w:val="en-GB"/>
              </w:rPr>
            </w:pPr>
          </w:p>
        </w:tc>
        <w:tc>
          <w:tcPr>
            <w:tcW w:w="144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1.67± 0. 056</w:t>
            </w:r>
          </w:p>
          <w:p w:rsidR="00B268FA" w:rsidRPr="00B268FA" w:rsidRDefault="00B268FA" w:rsidP="00C00103">
            <w:pPr>
              <w:jc w:val="center"/>
              <w:rPr>
                <w:rFonts w:ascii="Arial" w:hAnsi="Arial" w:cs="Arial"/>
                <w:sz w:val="20"/>
                <w:szCs w:val="20"/>
                <w:lang w:val="en-GB"/>
              </w:rPr>
            </w:pPr>
          </w:p>
        </w:tc>
        <w:tc>
          <w:tcPr>
            <w:tcW w:w="135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1.68 ± 0. 056</w:t>
            </w:r>
          </w:p>
        </w:tc>
        <w:tc>
          <w:tcPr>
            <w:tcW w:w="81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0.82</w:t>
            </w:r>
          </w:p>
          <w:p w:rsidR="00B268FA" w:rsidRPr="00B268FA" w:rsidRDefault="00B268FA" w:rsidP="00C00103">
            <w:pPr>
              <w:jc w:val="center"/>
              <w:rPr>
                <w:rFonts w:ascii="Arial" w:hAnsi="Arial" w:cs="Arial"/>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BMI (kg/m2)</w:t>
            </w:r>
          </w:p>
          <w:p w:rsidR="00B268FA" w:rsidRPr="00B268FA" w:rsidRDefault="00B268FA" w:rsidP="00C00103">
            <w:pPr>
              <w:rPr>
                <w:rFonts w:ascii="Arial" w:hAnsi="Arial" w:cs="Arial"/>
                <w:b/>
                <w:bCs/>
                <w:sz w:val="20"/>
                <w:szCs w:val="20"/>
                <w:lang w:val="en-GB"/>
              </w:rPr>
            </w:pPr>
          </w:p>
        </w:tc>
        <w:tc>
          <w:tcPr>
            <w:tcW w:w="144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26.13± 5.99</w:t>
            </w:r>
          </w:p>
        </w:tc>
        <w:tc>
          <w:tcPr>
            <w:tcW w:w="135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24.49± 4.54</w:t>
            </w:r>
          </w:p>
        </w:tc>
        <w:tc>
          <w:tcPr>
            <w:tcW w:w="810" w:type="dxa"/>
            <w:shd w:val="clear" w:color="auto" w:fill="auto"/>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0.20</w:t>
            </w:r>
          </w:p>
          <w:p w:rsidR="00B268FA" w:rsidRPr="00B268FA" w:rsidRDefault="00B268FA" w:rsidP="00C00103">
            <w:pPr>
              <w:jc w:val="center"/>
              <w:rPr>
                <w:rFonts w:ascii="Arial" w:hAnsi="Arial" w:cs="Arial"/>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lastRenderedPageBreak/>
              <w:t>Waist circumference (cm)</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86.56± 15.09</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83.75±14.01</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0.42</w:t>
            </w: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SBP rest (mmHg)</w:t>
            </w:r>
          </w:p>
          <w:p w:rsidR="00B268FA" w:rsidRPr="00B268FA" w:rsidRDefault="00B268FA" w:rsidP="00C00103">
            <w:pPr>
              <w:rPr>
                <w:rFonts w:ascii="Arial" w:hAnsi="Arial" w:cs="Arial"/>
                <w:b/>
                <w:bCs/>
                <w:color w:val="000000"/>
                <w:sz w:val="20"/>
                <w:szCs w:val="20"/>
                <w:lang w:val="en-GB"/>
              </w:rPr>
            </w:pP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120.22± 8.97</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122.12±8.23</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0.36</w:t>
            </w:r>
          </w:p>
          <w:p w:rsidR="00B268FA" w:rsidRPr="00B268FA" w:rsidRDefault="00B268FA" w:rsidP="00C00103">
            <w:pPr>
              <w:jc w:val="center"/>
              <w:rPr>
                <w:rFonts w:ascii="Arial" w:hAnsi="Arial" w:cs="Arial"/>
                <w:color w:val="000000"/>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DBP rest (mmHg)</w:t>
            </w:r>
          </w:p>
          <w:p w:rsidR="00B268FA" w:rsidRPr="00B268FA" w:rsidRDefault="00B268FA" w:rsidP="00C00103">
            <w:pPr>
              <w:rPr>
                <w:rFonts w:ascii="Arial" w:hAnsi="Arial" w:cs="Arial"/>
                <w:b/>
                <w:bCs/>
                <w:color w:val="000000"/>
                <w:sz w:val="20"/>
                <w:szCs w:val="20"/>
                <w:lang w:val="en-GB"/>
              </w:rPr>
            </w:pP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64.70± 8.84</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67.52± 8.31</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0.17</w:t>
            </w:r>
          </w:p>
          <w:p w:rsidR="00B268FA" w:rsidRPr="00B268FA" w:rsidRDefault="00B268FA" w:rsidP="00C00103">
            <w:pPr>
              <w:jc w:val="center"/>
              <w:rPr>
                <w:rFonts w:ascii="Arial" w:hAnsi="Arial" w:cs="Arial"/>
                <w:color w:val="000000"/>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HR rest (bpm)</w:t>
            </w:r>
          </w:p>
          <w:p w:rsidR="00B268FA" w:rsidRPr="00B268FA" w:rsidRDefault="00B268FA" w:rsidP="00C00103">
            <w:pPr>
              <w:rPr>
                <w:rFonts w:ascii="Arial" w:hAnsi="Arial" w:cs="Arial"/>
                <w:b/>
                <w:bCs/>
                <w:color w:val="000000"/>
                <w:sz w:val="20"/>
                <w:szCs w:val="20"/>
                <w:lang w:val="en-GB"/>
              </w:rPr>
            </w:pP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70.81±12.09</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70.32± 14.20</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0.88</w:t>
            </w:r>
          </w:p>
          <w:p w:rsidR="00B268FA" w:rsidRPr="00B268FA" w:rsidRDefault="00B268FA" w:rsidP="00C00103">
            <w:pPr>
              <w:jc w:val="center"/>
              <w:rPr>
                <w:rFonts w:ascii="Arial" w:hAnsi="Arial" w:cs="Arial"/>
                <w:color w:val="000000"/>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Cholesterol level (</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5.01±  0.80</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5.10 ± 1.26</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0.73</w:t>
            </w: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TG level (</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1.81 ± 0.90</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1.82±1.24</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0.93</w:t>
            </w: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HDL level (</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1.17± 0.17</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1.18± 0.19</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0.72</w:t>
            </w: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LDL level (</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3.07±0.76</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3.28± 1.04</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0.31</w:t>
            </w:r>
          </w:p>
          <w:p w:rsidR="00B268FA" w:rsidRPr="00B268FA" w:rsidRDefault="00B268FA" w:rsidP="00C00103">
            <w:pPr>
              <w:jc w:val="center"/>
              <w:rPr>
                <w:rFonts w:ascii="Arial" w:hAnsi="Arial" w:cs="Arial"/>
                <w:color w:val="000000"/>
                <w:sz w:val="20"/>
                <w:szCs w:val="20"/>
                <w:lang w:val="en-GB"/>
              </w:rPr>
            </w:pPr>
          </w:p>
        </w:tc>
      </w:tr>
      <w:tr w:rsidR="00B268FA" w:rsidRPr="00B268FA" w:rsidTr="00C00103">
        <w:trPr>
          <w:trHeight w:val="432"/>
          <w:jc w:val="center"/>
        </w:trPr>
        <w:tc>
          <w:tcPr>
            <w:tcW w:w="1998" w:type="dxa"/>
            <w:shd w:val="clear" w:color="auto" w:fill="auto"/>
          </w:tcPr>
          <w:p w:rsidR="00B268FA" w:rsidRPr="00B268FA" w:rsidRDefault="00B268FA" w:rsidP="00C00103">
            <w:pPr>
              <w:rPr>
                <w:rFonts w:ascii="Arial" w:hAnsi="Arial" w:cs="Arial"/>
                <w:b/>
                <w:bCs/>
                <w:color w:val="000000"/>
                <w:sz w:val="20"/>
                <w:szCs w:val="20"/>
                <w:lang w:val="en-GB"/>
              </w:rPr>
            </w:pPr>
            <w:r w:rsidRPr="00B268FA">
              <w:rPr>
                <w:rFonts w:ascii="Arial" w:hAnsi="Arial" w:cs="Arial"/>
                <w:b/>
                <w:bCs/>
                <w:color w:val="000000"/>
                <w:sz w:val="20"/>
                <w:szCs w:val="20"/>
                <w:lang w:val="en-GB"/>
              </w:rPr>
              <w:t>FBG level (</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144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4.94± 0.85</w:t>
            </w:r>
          </w:p>
        </w:tc>
        <w:tc>
          <w:tcPr>
            <w:tcW w:w="135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4.77± 0.42</w:t>
            </w:r>
          </w:p>
        </w:tc>
        <w:tc>
          <w:tcPr>
            <w:tcW w:w="810" w:type="dxa"/>
            <w:shd w:val="clear" w:color="auto" w:fill="auto"/>
          </w:tcPr>
          <w:p w:rsidR="00B268FA" w:rsidRPr="00B268FA" w:rsidRDefault="00B268FA" w:rsidP="00C00103">
            <w:pPr>
              <w:jc w:val="center"/>
              <w:rPr>
                <w:rFonts w:ascii="Arial" w:hAnsi="Arial" w:cs="Arial"/>
                <w:color w:val="000000"/>
                <w:sz w:val="20"/>
                <w:szCs w:val="20"/>
                <w:lang w:val="en-GB"/>
              </w:rPr>
            </w:pPr>
            <w:r w:rsidRPr="00B268FA">
              <w:rPr>
                <w:rFonts w:ascii="Arial" w:hAnsi="Arial" w:cs="Arial"/>
                <w:color w:val="000000"/>
                <w:sz w:val="20"/>
                <w:szCs w:val="20"/>
                <w:lang w:val="en-GB"/>
              </w:rPr>
              <w:t>0.29</w:t>
            </w:r>
          </w:p>
        </w:tc>
      </w:tr>
    </w:tbl>
    <w:p w:rsidR="00B268FA" w:rsidRPr="00B268FA" w:rsidRDefault="00B268FA" w:rsidP="00B268FA">
      <w:pPr>
        <w:ind w:firstLine="630"/>
        <w:rPr>
          <w:rFonts w:ascii="Arial" w:hAnsi="Arial" w:cs="Arial"/>
          <w:sz w:val="20"/>
          <w:szCs w:val="20"/>
          <w:lang w:val="en-GB"/>
        </w:rPr>
      </w:pPr>
      <w:r w:rsidRPr="00B268FA">
        <w:rPr>
          <w:rFonts w:ascii="Arial" w:hAnsi="Arial" w:cs="Arial"/>
          <w:sz w:val="20"/>
          <w:szCs w:val="20"/>
          <w:lang w:val="en-GB"/>
        </w:rPr>
        <w:t>*Data is presented as mean± SD</w:t>
      </w:r>
    </w:p>
    <w:p w:rsidR="00B268FA" w:rsidRPr="00B268FA" w:rsidRDefault="00B268FA" w:rsidP="00B268FA">
      <w:pPr>
        <w:rPr>
          <w:rFonts w:ascii="Arial" w:hAnsi="Arial" w:cs="Arial"/>
          <w:b/>
          <w:sz w:val="20"/>
          <w:szCs w:val="20"/>
          <w:lang w:val="en-GB"/>
        </w:rPr>
      </w:pPr>
    </w:p>
    <w:p w:rsidR="00B268FA" w:rsidRPr="00B268FA" w:rsidRDefault="00B268FA" w:rsidP="00B268FA">
      <w:pPr>
        <w:ind w:left="360" w:right="392"/>
        <w:jc w:val="center"/>
        <w:rPr>
          <w:rFonts w:ascii="Arial" w:hAnsi="Arial" w:cs="Arial"/>
          <w:sz w:val="20"/>
          <w:szCs w:val="20"/>
          <w:lang w:val="en-GB"/>
        </w:rPr>
      </w:pPr>
      <w:r w:rsidRPr="00B268FA">
        <w:rPr>
          <w:rFonts w:ascii="Arial" w:hAnsi="Arial" w:cs="Arial"/>
          <w:b/>
          <w:sz w:val="20"/>
          <w:szCs w:val="20"/>
          <w:lang w:val="en-GB"/>
        </w:rPr>
        <w:t>Table 2:</w:t>
      </w:r>
      <w:r w:rsidRPr="00B268FA">
        <w:rPr>
          <w:rFonts w:ascii="Arial" w:hAnsi="Arial" w:cs="Arial"/>
          <w:sz w:val="20"/>
          <w:szCs w:val="20"/>
          <w:lang w:val="en-GB"/>
        </w:rPr>
        <w:t xml:space="preserve"> Number of steps per day following intervention</w:t>
      </w:r>
    </w:p>
    <w:p w:rsidR="00B268FA" w:rsidRPr="00B268FA" w:rsidRDefault="00B268FA" w:rsidP="00B268FA">
      <w:pPr>
        <w:ind w:left="360" w:right="392"/>
        <w:jc w:val="center"/>
        <w:rPr>
          <w:rFonts w:ascii="Arial" w:hAnsi="Arial" w:cs="Arial"/>
          <w:b/>
          <w:sz w:val="20"/>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951"/>
        <w:gridCol w:w="1080"/>
        <w:gridCol w:w="1170"/>
        <w:gridCol w:w="1080"/>
      </w:tblGrid>
      <w:tr w:rsidR="00B268FA" w:rsidRPr="00B268FA" w:rsidTr="00C00103">
        <w:trPr>
          <w:trHeight w:val="458"/>
          <w:jc w:val="center"/>
        </w:trPr>
        <w:tc>
          <w:tcPr>
            <w:tcW w:w="0" w:type="auto"/>
            <w:vMerge w:val="restart"/>
            <w:shd w:val="clear" w:color="auto" w:fill="auto"/>
            <w:hideMark/>
          </w:tcPr>
          <w:p w:rsidR="00B268FA" w:rsidRPr="00B268FA" w:rsidRDefault="00B268FA" w:rsidP="00C00103">
            <w:pPr>
              <w:rPr>
                <w:rFonts w:ascii="Arial" w:hAnsi="Arial" w:cs="Arial"/>
                <w:b/>
                <w:bCs/>
                <w:sz w:val="20"/>
                <w:szCs w:val="20"/>
                <w:lang w:val="en-GB"/>
              </w:rPr>
            </w:pPr>
          </w:p>
        </w:tc>
        <w:tc>
          <w:tcPr>
            <w:tcW w:w="2031" w:type="dxa"/>
            <w:gridSpan w:val="2"/>
            <w:shd w:val="clear" w:color="auto" w:fill="auto"/>
            <w:hideMark/>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Pedometer group (N=36)</w:t>
            </w:r>
          </w:p>
        </w:tc>
        <w:tc>
          <w:tcPr>
            <w:tcW w:w="2250" w:type="dxa"/>
            <w:gridSpan w:val="2"/>
            <w:shd w:val="clear" w:color="auto" w:fill="auto"/>
            <w:hideMark/>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Control group (N=34)</w:t>
            </w:r>
          </w:p>
        </w:tc>
      </w:tr>
      <w:tr w:rsidR="00B268FA" w:rsidRPr="00B268FA" w:rsidTr="00C00103">
        <w:trPr>
          <w:trHeight w:val="332"/>
          <w:jc w:val="center"/>
        </w:trPr>
        <w:tc>
          <w:tcPr>
            <w:tcW w:w="0" w:type="auto"/>
            <w:vMerge/>
            <w:shd w:val="clear" w:color="auto" w:fill="auto"/>
            <w:hideMark/>
          </w:tcPr>
          <w:p w:rsidR="00B268FA" w:rsidRPr="00B268FA" w:rsidRDefault="00B268FA" w:rsidP="00C00103">
            <w:pPr>
              <w:rPr>
                <w:rFonts w:ascii="Arial" w:hAnsi="Arial" w:cs="Arial"/>
                <w:b/>
                <w:bCs/>
                <w:sz w:val="20"/>
                <w:szCs w:val="20"/>
                <w:lang w:val="en-GB"/>
              </w:rPr>
            </w:pPr>
          </w:p>
        </w:tc>
        <w:tc>
          <w:tcPr>
            <w:tcW w:w="951"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Week 1</w:t>
            </w:r>
          </w:p>
        </w:tc>
        <w:tc>
          <w:tcPr>
            <w:tcW w:w="108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Week 12</w:t>
            </w:r>
          </w:p>
        </w:tc>
        <w:tc>
          <w:tcPr>
            <w:tcW w:w="117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Week 1</w:t>
            </w:r>
          </w:p>
        </w:tc>
        <w:tc>
          <w:tcPr>
            <w:tcW w:w="108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Week 12</w:t>
            </w:r>
          </w:p>
        </w:tc>
      </w:tr>
      <w:tr w:rsidR="00B268FA" w:rsidRPr="00B268FA" w:rsidTr="00C00103">
        <w:trPr>
          <w:trHeight w:val="530"/>
          <w:jc w:val="center"/>
        </w:trPr>
        <w:tc>
          <w:tcPr>
            <w:tcW w:w="0" w:type="auto"/>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STEPS/DAY</w:t>
            </w:r>
          </w:p>
        </w:tc>
        <w:tc>
          <w:tcPr>
            <w:tcW w:w="951"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4996 ± 805</w:t>
            </w:r>
          </w:p>
        </w:tc>
        <w:tc>
          <w:tcPr>
            <w:tcW w:w="108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10128 ± 511</w:t>
            </w:r>
            <w:r w:rsidRPr="00B268FA">
              <w:rPr>
                <w:rFonts w:ascii="Arial" w:hAnsi="Arial" w:cs="Arial"/>
                <w:sz w:val="20"/>
                <w:szCs w:val="20"/>
                <w:vertAlign w:val="superscript"/>
                <w:lang w:val="en-GB"/>
              </w:rPr>
              <w:t>**#</w:t>
            </w:r>
          </w:p>
        </w:tc>
        <w:tc>
          <w:tcPr>
            <w:tcW w:w="117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4983 ± 366</w:t>
            </w:r>
          </w:p>
        </w:tc>
        <w:tc>
          <w:tcPr>
            <w:tcW w:w="108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5697 ± 407</w:t>
            </w:r>
          </w:p>
        </w:tc>
      </w:tr>
    </w:tbl>
    <w:p w:rsidR="00B268FA" w:rsidRPr="00B268FA" w:rsidRDefault="00B268FA" w:rsidP="00B268FA">
      <w:pPr>
        <w:ind w:firstLine="630"/>
        <w:rPr>
          <w:rFonts w:ascii="Arial" w:hAnsi="Arial" w:cs="Arial"/>
          <w:sz w:val="20"/>
          <w:szCs w:val="20"/>
          <w:lang w:val="en-GB"/>
        </w:rPr>
      </w:pPr>
      <w:r w:rsidRPr="00B268FA">
        <w:rPr>
          <w:rFonts w:ascii="Arial" w:hAnsi="Arial" w:cs="Arial"/>
          <w:sz w:val="20"/>
          <w:szCs w:val="20"/>
          <w:lang w:val="en-GB"/>
        </w:rPr>
        <w:t>** p&lt; 0.01 (Time*group interaction) # p&lt;0.05 (time effect)</w:t>
      </w:r>
    </w:p>
    <w:p w:rsidR="00B268FA" w:rsidRPr="00B268FA" w:rsidRDefault="00B268FA" w:rsidP="00B268FA">
      <w:pPr>
        <w:jc w:val="center"/>
        <w:rPr>
          <w:rFonts w:ascii="Arial" w:hAnsi="Arial" w:cs="Arial"/>
          <w:b/>
          <w:sz w:val="20"/>
          <w:szCs w:val="20"/>
          <w:lang w:val="en-GB"/>
        </w:rPr>
      </w:pPr>
    </w:p>
    <w:p w:rsidR="00B268FA" w:rsidRPr="00B268FA" w:rsidRDefault="00B268FA" w:rsidP="00B268FA">
      <w:pPr>
        <w:jc w:val="center"/>
        <w:rPr>
          <w:rFonts w:ascii="Arial" w:hAnsi="Arial" w:cs="Arial"/>
          <w:sz w:val="20"/>
          <w:szCs w:val="20"/>
          <w:lang w:val="en-GB"/>
        </w:rPr>
      </w:pPr>
      <w:r w:rsidRPr="00B268FA">
        <w:rPr>
          <w:rFonts w:ascii="Arial" w:hAnsi="Arial" w:cs="Arial"/>
          <w:b/>
          <w:sz w:val="20"/>
          <w:szCs w:val="20"/>
          <w:lang w:val="en-GB"/>
        </w:rPr>
        <w:lastRenderedPageBreak/>
        <w:t>Table 3:</w:t>
      </w:r>
      <w:r w:rsidRPr="00B268FA">
        <w:rPr>
          <w:rFonts w:ascii="Arial" w:hAnsi="Arial" w:cs="Arial"/>
          <w:sz w:val="20"/>
          <w:szCs w:val="20"/>
          <w:lang w:val="en-GB"/>
        </w:rPr>
        <w:t xml:space="preserve"> Changes in characteristics of the subjects following intervention</w:t>
      </w:r>
    </w:p>
    <w:p w:rsidR="00B268FA" w:rsidRPr="00B268FA" w:rsidRDefault="00B268FA" w:rsidP="00B268FA">
      <w:pPr>
        <w:jc w:val="center"/>
        <w:rPr>
          <w:rFonts w:ascii="Arial" w:hAnsi="Arial" w:cs="Arial"/>
          <w:b/>
          <w:sz w:val="20"/>
          <w:szCs w:val="20"/>
          <w:lang w:val="en-GB"/>
        </w:rPr>
      </w:pPr>
    </w:p>
    <w:tbl>
      <w:tblPr>
        <w:tblW w:w="6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900"/>
        <w:gridCol w:w="810"/>
        <w:gridCol w:w="900"/>
        <w:gridCol w:w="810"/>
        <w:gridCol w:w="810"/>
        <w:gridCol w:w="920"/>
      </w:tblGrid>
      <w:tr w:rsidR="00B268FA" w:rsidRPr="00B268FA" w:rsidTr="00C00103">
        <w:trPr>
          <w:trHeight w:val="407"/>
          <w:jc w:val="center"/>
        </w:trPr>
        <w:tc>
          <w:tcPr>
            <w:tcW w:w="1458" w:type="dxa"/>
            <w:vMerge w:val="restart"/>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w:t>
            </w:r>
          </w:p>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w:t>
            </w:r>
          </w:p>
        </w:tc>
        <w:tc>
          <w:tcPr>
            <w:tcW w:w="2610" w:type="dxa"/>
            <w:gridSpan w:val="3"/>
            <w:shd w:val="clear" w:color="auto" w:fill="auto"/>
            <w:hideMark/>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 xml:space="preserve">Pedometer group </w:t>
            </w:r>
          </w:p>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(N=36)</w:t>
            </w:r>
          </w:p>
        </w:tc>
        <w:tc>
          <w:tcPr>
            <w:tcW w:w="2540" w:type="dxa"/>
            <w:gridSpan w:val="3"/>
            <w:shd w:val="clear" w:color="auto" w:fill="auto"/>
            <w:hideMark/>
          </w:tcPr>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 xml:space="preserve">Control group </w:t>
            </w:r>
          </w:p>
          <w:p w:rsidR="00B268FA" w:rsidRPr="00B268FA" w:rsidRDefault="00B268FA" w:rsidP="00C00103">
            <w:pPr>
              <w:jc w:val="center"/>
              <w:rPr>
                <w:rFonts w:ascii="Arial" w:hAnsi="Arial" w:cs="Arial"/>
                <w:b/>
                <w:bCs/>
                <w:sz w:val="20"/>
                <w:szCs w:val="20"/>
                <w:lang w:val="en-GB"/>
              </w:rPr>
            </w:pPr>
            <w:r w:rsidRPr="00B268FA">
              <w:rPr>
                <w:rFonts w:ascii="Arial" w:hAnsi="Arial" w:cs="Arial"/>
                <w:b/>
                <w:bCs/>
                <w:sz w:val="20"/>
                <w:szCs w:val="20"/>
                <w:lang w:val="en-GB"/>
              </w:rPr>
              <w:t>(N=34)</w:t>
            </w:r>
          </w:p>
        </w:tc>
      </w:tr>
      <w:tr w:rsidR="00B268FA" w:rsidRPr="00B268FA" w:rsidTr="00C00103">
        <w:trPr>
          <w:trHeight w:val="407"/>
          <w:jc w:val="center"/>
        </w:trPr>
        <w:tc>
          <w:tcPr>
            <w:tcW w:w="1458" w:type="dxa"/>
            <w:vMerge/>
            <w:shd w:val="clear" w:color="auto" w:fill="auto"/>
            <w:hideMark/>
          </w:tcPr>
          <w:p w:rsidR="00B268FA" w:rsidRPr="00B268FA" w:rsidRDefault="00B268FA" w:rsidP="00C00103">
            <w:pPr>
              <w:rPr>
                <w:rFonts w:ascii="Arial" w:hAnsi="Arial" w:cs="Arial"/>
                <w:b/>
                <w:bCs/>
                <w:sz w:val="20"/>
                <w:szCs w:val="20"/>
                <w:lang w:val="en-GB"/>
              </w:rPr>
            </w:pPr>
          </w:p>
        </w:tc>
        <w:tc>
          <w:tcPr>
            <w:tcW w:w="90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 xml:space="preserve">Week </w:t>
            </w:r>
          </w:p>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1</w:t>
            </w:r>
          </w:p>
        </w:tc>
        <w:tc>
          <w:tcPr>
            <w:tcW w:w="81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Week 6</w:t>
            </w:r>
          </w:p>
        </w:tc>
        <w:tc>
          <w:tcPr>
            <w:tcW w:w="90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Week 12</w:t>
            </w:r>
          </w:p>
        </w:tc>
        <w:tc>
          <w:tcPr>
            <w:tcW w:w="81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Week 1</w:t>
            </w:r>
          </w:p>
        </w:tc>
        <w:tc>
          <w:tcPr>
            <w:tcW w:w="81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Week 6</w:t>
            </w:r>
          </w:p>
        </w:tc>
        <w:tc>
          <w:tcPr>
            <w:tcW w:w="920" w:type="dxa"/>
            <w:shd w:val="clear" w:color="auto" w:fill="auto"/>
            <w:hideMark/>
          </w:tcPr>
          <w:p w:rsidR="00B268FA" w:rsidRPr="00B268FA" w:rsidRDefault="00B268FA" w:rsidP="00C00103">
            <w:pPr>
              <w:jc w:val="center"/>
              <w:rPr>
                <w:rFonts w:ascii="Arial" w:hAnsi="Arial" w:cs="Arial"/>
                <w:sz w:val="20"/>
                <w:szCs w:val="20"/>
                <w:lang w:val="en-GB"/>
              </w:rPr>
            </w:pPr>
            <w:r w:rsidRPr="00B268FA">
              <w:rPr>
                <w:rFonts w:ascii="Arial" w:hAnsi="Arial" w:cs="Arial"/>
                <w:sz w:val="20"/>
                <w:szCs w:val="20"/>
                <w:lang w:val="en-GB"/>
              </w:rPr>
              <w:t>Week 12</w:t>
            </w:r>
          </w:p>
        </w:tc>
      </w:tr>
      <w:tr w:rsidR="00B268FA" w:rsidRPr="00B268FA" w:rsidTr="00C00103">
        <w:trPr>
          <w:trHeight w:val="814"/>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Weight (kg)</w:t>
            </w:r>
          </w:p>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73.32± 18.47</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72.62± 18.37</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71.35± 16.47</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68.94± 14.15</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69.71± 13.47</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69.69± 13.69</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BMI (kg/m2)</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26.13± 5.99</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25.88± 5.93</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25.43± 5.27</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24.49± 4.54</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24.56± 4.51</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24.54± 4.57</w:t>
            </w:r>
          </w:p>
        </w:tc>
      </w:tr>
      <w:tr w:rsidR="00B268FA" w:rsidRPr="00B268FA" w:rsidTr="00C00103">
        <w:trPr>
          <w:trHeight w:val="439"/>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Waist circumference (cm)</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86.56± 15.09</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84.87± 13.94</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83.62± 13.53</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83.75±14.01</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84.46±13.79</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84.01± 13.11</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SBP rest (mmHg)</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120.22± 8.97</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116.39± 9.71</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116.33± 9.62</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122.12±8.23</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 xml:space="preserve">118.62±10.57 </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118.71± 10.63</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DBP rest (mmHg)</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64.70± 8.84</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63.89± 8.83</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63.83± 8.73</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67.52± 8.31</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67.44± 9.69</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67.82± 6.68</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HR rest (bpm)</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70.81±12.09</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67.92± 12.50</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66.89±10.83</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70.32± 14.20</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71.18±14.33</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71.23± 12.87</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xml:space="preserve">Total cholesterol </w:t>
            </w:r>
            <w:r w:rsidRPr="00B268FA">
              <w:rPr>
                <w:rFonts w:ascii="Arial" w:hAnsi="Arial" w:cs="Arial"/>
                <w:b/>
                <w:bCs/>
                <w:color w:val="000000"/>
                <w:sz w:val="20"/>
                <w:szCs w:val="20"/>
                <w:lang w:val="en-GB"/>
              </w:rPr>
              <w:t>(</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5.01±  0.80</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4.92 ± 1.02</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4.62±  1.08</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5.10 ± 1.26</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5.17± 1.11</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5.29± 1.08</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xml:space="preserve">TG </w:t>
            </w:r>
          </w:p>
          <w:p w:rsidR="00B268FA" w:rsidRPr="00B268FA" w:rsidRDefault="00B268FA" w:rsidP="00C00103">
            <w:pPr>
              <w:rPr>
                <w:rFonts w:ascii="Arial" w:hAnsi="Arial" w:cs="Arial"/>
                <w:b/>
                <w:bCs/>
                <w:sz w:val="20"/>
                <w:szCs w:val="20"/>
                <w:lang w:val="en-GB"/>
              </w:rPr>
            </w:pPr>
            <w:r w:rsidRPr="00B268FA">
              <w:rPr>
                <w:rFonts w:ascii="Arial" w:hAnsi="Arial" w:cs="Arial"/>
                <w:b/>
                <w:bCs/>
                <w:color w:val="000000"/>
                <w:sz w:val="20"/>
                <w:szCs w:val="20"/>
                <w:lang w:val="en-GB"/>
              </w:rPr>
              <w:t>(</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1.81 ± 0.90</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1.31± 0.91</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1.16±  0.59</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1.82±1.24</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1.75± 0.69</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1.77± 1.31</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xml:space="preserve">HDL </w:t>
            </w:r>
            <w:r w:rsidRPr="00B268FA">
              <w:rPr>
                <w:rFonts w:ascii="Arial" w:hAnsi="Arial" w:cs="Arial"/>
                <w:b/>
                <w:bCs/>
                <w:color w:val="000000"/>
                <w:sz w:val="20"/>
                <w:szCs w:val="20"/>
                <w:lang w:val="en-GB"/>
              </w:rPr>
              <w:t>(</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1.17± 0.17</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1.24± 0.21</w:t>
            </w:r>
            <w:r w:rsidRPr="00B268FA">
              <w:rPr>
                <w:rFonts w:ascii="Arial" w:hAnsi="Arial" w:cs="Arial"/>
                <w:sz w:val="20"/>
                <w:szCs w:val="20"/>
                <w:vertAlign w:val="superscript"/>
                <w:lang w:val="en-GB"/>
              </w:rPr>
              <w:t>*</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1.29±  0.24</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1.18± 0.19</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1.17± 0.16</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1.16 ± 0.16</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lastRenderedPageBreak/>
              <w:t xml:space="preserve">LDL </w:t>
            </w:r>
            <w:r w:rsidRPr="00B268FA">
              <w:rPr>
                <w:rFonts w:ascii="Arial" w:hAnsi="Arial" w:cs="Arial"/>
                <w:b/>
                <w:bCs/>
                <w:color w:val="000000"/>
                <w:sz w:val="20"/>
                <w:szCs w:val="20"/>
                <w:lang w:val="en-GB"/>
              </w:rPr>
              <w:t>(</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3.07±0.76</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3.05±0.82</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2.87± 0.85</w:t>
            </w:r>
            <w:r w:rsidRPr="00B268FA">
              <w:rPr>
                <w:rFonts w:ascii="Arial" w:hAnsi="Arial" w:cs="Arial"/>
                <w:sz w:val="20"/>
                <w:szCs w:val="20"/>
                <w:vertAlign w:val="superscript"/>
                <w:lang w:val="en-GB"/>
              </w:rPr>
              <w:t>*</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3.28± 1.04</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3.35±0.82</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3.6± 1.35</w:t>
            </w:r>
          </w:p>
        </w:tc>
      </w:tr>
      <w:tr w:rsidR="00B268FA" w:rsidRPr="00B268FA" w:rsidTr="00C00103">
        <w:trPr>
          <w:trHeight w:val="407"/>
          <w:jc w:val="center"/>
        </w:trPr>
        <w:tc>
          <w:tcPr>
            <w:tcW w:w="1458" w:type="dxa"/>
            <w:shd w:val="clear" w:color="auto" w:fill="auto"/>
            <w:hideMark/>
          </w:tcPr>
          <w:p w:rsidR="00B268FA" w:rsidRPr="00B268FA" w:rsidRDefault="00B268FA" w:rsidP="00C00103">
            <w:pPr>
              <w:rPr>
                <w:rFonts w:ascii="Arial" w:hAnsi="Arial" w:cs="Arial"/>
                <w:b/>
                <w:bCs/>
                <w:sz w:val="20"/>
                <w:szCs w:val="20"/>
                <w:lang w:val="en-GB"/>
              </w:rPr>
            </w:pPr>
            <w:r w:rsidRPr="00B268FA">
              <w:rPr>
                <w:rFonts w:ascii="Arial" w:hAnsi="Arial" w:cs="Arial"/>
                <w:b/>
                <w:bCs/>
                <w:sz w:val="20"/>
                <w:szCs w:val="20"/>
                <w:lang w:val="en-GB"/>
              </w:rPr>
              <w:t xml:space="preserve">FBG </w:t>
            </w:r>
            <w:r w:rsidRPr="00B268FA">
              <w:rPr>
                <w:rFonts w:ascii="Arial" w:hAnsi="Arial" w:cs="Arial"/>
                <w:b/>
                <w:bCs/>
                <w:color w:val="000000"/>
                <w:sz w:val="20"/>
                <w:szCs w:val="20"/>
                <w:lang w:val="en-GB"/>
              </w:rPr>
              <w:t>(</w:t>
            </w:r>
            <w:proofErr w:type="spellStart"/>
            <w:r w:rsidRPr="00B268FA">
              <w:rPr>
                <w:rFonts w:ascii="Arial" w:hAnsi="Arial" w:cs="Arial"/>
                <w:b/>
                <w:bCs/>
                <w:color w:val="000000"/>
                <w:sz w:val="20"/>
                <w:szCs w:val="20"/>
                <w:lang w:val="en-GB"/>
              </w:rPr>
              <w:t>mmol</w:t>
            </w:r>
            <w:proofErr w:type="spellEnd"/>
            <w:r w:rsidRPr="00B268FA">
              <w:rPr>
                <w:rFonts w:ascii="Arial" w:hAnsi="Arial" w:cs="Arial"/>
                <w:b/>
                <w:bCs/>
                <w:color w:val="000000"/>
                <w:sz w:val="20"/>
                <w:szCs w:val="20"/>
                <w:lang w:val="en-GB"/>
              </w:rPr>
              <w:t>/L)</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4.94± 0.85</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4.99± 0.98</w:t>
            </w:r>
          </w:p>
        </w:tc>
        <w:tc>
          <w:tcPr>
            <w:tcW w:w="90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4.84 ± 0.83</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4.77± 0.42</w:t>
            </w:r>
          </w:p>
        </w:tc>
        <w:tc>
          <w:tcPr>
            <w:tcW w:w="81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4.61±0.34</w:t>
            </w:r>
          </w:p>
        </w:tc>
        <w:tc>
          <w:tcPr>
            <w:tcW w:w="920" w:type="dxa"/>
            <w:shd w:val="clear" w:color="auto" w:fill="auto"/>
            <w:hideMark/>
          </w:tcPr>
          <w:p w:rsidR="00B268FA" w:rsidRPr="00B268FA" w:rsidRDefault="00B268FA" w:rsidP="00C00103">
            <w:pPr>
              <w:rPr>
                <w:rFonts w:ascii="Arial" w:hAnsi="Arial" w:cs="Arial"/>
                <w:sz w:val="20"/>
                <w:szCs w:val="20"/>
                <w:lang w:val="en-GB"/>
              </w:rPr>
            </w:pPr>
            <w:r w:rsidRPr="00B268FA">
              <w:rPr>
                <w:rFonts w:ascii="Arial" w:hAnsi="Arial" w:cs="Arial"/>
                <w:sz w:val="20"/>
                <w:szCs w:val="20"/>
                <w:lang w:val="en-GB"/>
              </w:rPr>
              <w:t>4.68± 0.53</w:t>
            </w:r>
          </w:p>
        </w:tc>
      </w:tr>
    </w:tbl>
    <w:p w:rsidR="00B268FA" w:rsidRPr="00B268FA" w:rsidRDefault="00B268FA" w:rsidP="00B268FA">
      <w:pPr>
        <w:ind w:firstLine="90"/>
        <w:rPr>
          <w:rFonts w:ascii="Arial" w:hAnsi="Arial" w:cs="Arial"/>
          <w:sz w:val="20"/>
          <w:szCs w:val="20"/>
          <w:lang w:val="en-GB"/>
        </w:rPr>
      </w:pPr>
      <w:r w:rsidRPr="00B268FA">
        <w:rPr>
          <w:rFonts w:ascii="Arial" w:hAnsi="Arial" w:cs="Arial"/>
          <w:sz w:val="20"/>
          <w:szCs w:val="20"/>
          <w:lang w:val="en-GB"/>
        </w:rPr>
        <w:t xml:space="preserve">*p&lt; 0.05 (Time*group interaction)  </w:t>
      </w:r>
    </w:p>
    <w:p w:rsidR="00B268FA" w:rsidRPr="00B268FA" w:rsidRDefault="00B268FA" w:rsidP="00B268FA">
      <w:pPr>
        <w:ind w:firstLine="90"/>
        <w:rPr>
          <w:rFonts w:ascii="Arial" w:hAnsi="Arial" w:cs="Arial"/>
          <w:sz w:val="20"/>
          <w:szCs w:val="20"/>
          <w:lang w:val="en-GB"/>
        </w:rPr>
      </w:pPr>
      <w:r w:rsidRPr="00B268FA">
        <w:rPr>
          <w:rFonts w:ascii="Arial" w:hAnsi="Arial" w:cs="Arial"/>
          <w:sz w:val="20"/>
          <w:szCs w:val="20"/>
          <w:lang w:val="en-GB"/>
        </w:rPr>
        <w:t xml:space="preserve">** p&lt; 0.01 (Time*group interaction)    </w:t>
      </w:r>
    </w:p>
    <w:p w:rsidR="00B268FA" w:rsidRPr="00B268FA" w:rsidRDefault="00B268FA" w:rsidP="00B268FA">
      <w:pPr>
        <w:ind w:firstLine="90"/>
        <w:rPr>
          <w:rFonts w:ascii="Arial" w:hAnsi="Arial" w:cs="Arial"/>
          <w:sz w:val="20"/>
          <w:szCs w:val="20"/>
          <w:lang w:val="en-GB"/>
        </w:rPr>
      </w:pPr>
      <w:r w:rsidRPr="00B268FA">
        <w:rPr>
          <w:rFonts w:ascii="Arial" w:hAnsi="Arial" w:cs="Arial"/>
          <w:sz w:val="20"/>
          <w:szCs w:val="20"/>
          <w:lang w:val="en-GB"/>
        </w:rPr>
        <w:t># p&lt;0.05(time effect)</w:t>
      </w:r>
    </w:p>
    <w:p w:rsidR="00885F9E" w:rsidRPr="00885F9E" w:rsidRDefault="00885F9E" w:rsidP="00885F9E">
      <w:pPr>
        <w:jc w:val="both"/>
        <w:rPr>
          <w:rFonts w:ascii="Arial" w:hAnsi="Arial" w:cs="Arial"/>
          <w:sz w:val="20"/>
          <w:szCs w:val="20"/>
          <w:lang w:val="en-GB"/>
        </w:rPr>
      </w:pPr>
      <w:r w:rsidRPr="00885F9E">
        <w:rPr>
          <w:rFonts w:ascii="Arial" w:hAnsi="Arial" w:cs="Arial"/>
          <w:sz w:val="20"/>
          <w:szCs w:val="20"/>
          <w:lang w:val="en-GB"/>
        </w:rPr>
        <w:t xml:space="preserve">The pedometer is a validated instrument to measure steps, and it encourages increased physical activity effecting health-related quality of life (Tudor-Locke &amp; Myers, 2001; Ogilvie </w:t>
      </w:r>
      <w:r w:rsidRPr="00885F9E">
        <w:rPr>
          <w:rFonts w:ascii="Arial" w:hAnsi="Arial" w:cs="Arial"/>
          <w:i/>
          <w:sz w:val="20"/>
          <w:szCs w:val="20"/>
          <w:lang w:val="en-GB"/>
        </w:rPr>
        <w:t>et al.,</w:t>
      </w:r>
      <w:r w:rsidRPr="00885F9E">
        <w:rPr>
          <w:rFonts w:ascii="Arial" w:hAnsi="Arial" w:cs="Arial"/>
          <w:sz w:val="20"/>
          <w:szCs w:val="20"/>
          <w:lang w:val="en-GB"/>
        </w:rPr>
        <w:t xml:space="preserve"> 2007; Norton, Norton, Lewis &amp; </w:t>
      </w:r>
      <w:proofErr w:type="spellStart"/>
      <w:r w:rsidRPr="00885F9E">
        <w:rPr>
          <w:rFonts w:ascii="Arial" w:hAnsi="Arial" w:cs="Arial"/>
          <w:sz w:val="20"/>
          <w:szCs w:val="20"/>
          <w:lang w:val="en-GB"/>
        </w:rPr>
        <w:t>Dollman</w:t>
      </w:r>
      <w:proofErr w:type="spellEnd"/>
      <w:r w:rsidRPr="00885F9E">
        <w:rPr>
          <w:rFonts w:ascii="Arial" w:hAnsi="Arial" w:cs="Arial"/>
          <w:sz w:val="20"/>
          <w:szCs w:val="20"/>
          <w:lang w:val="en-GB"/>
        </w:rPr>
        <w:t xml:space="preserve">, 2011). Pedometers allow ambulatory populations to track their steps, which influences motivation through goal-setting. The current study noted better compliance and more accumulated steps in the subjects treated with pedometers and a daily step-recording log. This study also provided additional data for information among the urban young men with cardiovascular risks working in an area near Kuala Lumpur. </w:t>
      </w:r>
    </w:p>
    <w:p w:rsidR="00885F9E" w:rsidRPr="00885F9E" w:rsidRDefault="00885F9E" w:rsidP="00885F9E">
      <w:pPr>
        <w:jc w:val="both"/>
        <w:rPr>
          <w:rFonts w:ascii="Arial" w:hAnsi="Arial" w:cs="Arial"/>
          <w:b/>
          <w:i/>
          <w:sz w:val="20"/>
          <w:szCs w:val="20"/>
          <w:lang w:val="en-GB"/>
        </w:rPr>
      </w:pPr>
      <w:r w:rsidRPr="00885F9E">
        <w:rPr>
          <w:rFonts w:ascii="Arial" w:hAnsi="Arial" w:cs="Arial"/>
          <w:sz w:val="20"/>
          <w:szCs w:val="20"/>
          <w:lang w:val="en-GB"/>
        </w:rPr>
        <w:t xml:space="preserve">In the present study, we have evaluated the efficacy of pedometer-based walking in reducing CVD risk factors. The results of our study suggest that the interventions decrease body weight, BMI, WC, triglycerides, total cholesterol, increases high-density lipoproteins (HDL), decrease low-density lipoproteins (LDL) and lower blood pressure. The current study did not produce significant changes in fasting blood glucose (FBG). The lack of changes in FBG in the current study may have been attributed due to baseline values that were in normal range. The blood lipid results from our study compliment prior studies that have shown that physical activity effectively decreases TG, total cholesterol and LDL and increases HDL. Jerry et al. (2010) reported that 12 </w:t>
      </w:r>
      <w:proofErr w:type="gramStart"/>
      <w:r w:rsidRPr="00885F9E">
        <w:rPr>
          <w:rFonts w:ascii="Arial" w:hAnsi="Arial" w:cs="Arial"/>
          <w:sz w:val="20"/>
          <w:szCs w:val="20"/>
          <w:lang w:val="en-GB"/>
        </w:rPr>
        <w:t>weeks</w:t>
      </w:r>
      <w:proofErr w:type="gramEnd"/>
      <w:r w:rsidRPr="00885F9E">
        <w:rPr>
          <w:rFonts w:ascii="Arial" w:hAnsi="Arial" w:cs="Arial"/>
          <w:sz w:val="20"/>
          <w:szCs w:val="20"/>
          <w:lang w:val="en-GB"/>
        </w:rPr>
        <w:t xml:space="preserve"> physical activity in 37 sedentary males’ with mean age 44.5 ± 1.5 years significantly reduced TG, cholesterol and LDL but no change in HDL (Shearman, </w:t>
      </w:r>
      <w:proofErr w:type="spellStart"/>
      <w:r w:rsidRPr="00885F9E">
        <w:rPr>
          <w:rFonts w:ascii="Arial" w:hAnsi="Arial" w:cs="Arial"/>
          <w:sz w:val="20"/>
          <w:szCs w:val="20"/>
          <w:lang w:val="en-GB"/>
        </w:rPr>
        <w:t>Micklewright</w:t>
      </w:r>
      <w:proofErr w:type="spellEnd"/>
      <w:r w:rsidRPr="00885F9E">
        <w:rPr>
          <w:rFonts w:ascii="Arial" w:hAnsi="Arial" w:cs="Arial"/>
          <w:sz w:val="20"/>
          <w:szCs w:val="20"/>
          <w:lang w:val="en-GB"/>
        </w:rPr>
        <w:t xml:space="preserve">, </w:t>
      </w:r>
      <w:proofErr w:type="spellStart"/>
      <w:r w:rsidRPr="00885F9E">
        <w:rPr>
          <w:rFonts w:ascii="Arial" w:hAnsi="Arial" w:cs="Arial"/>
          <w:sz w:val="20"/>
          <w:szCs w:val="20"/>
          <w:lang w:val="en-GB"/>
        </w:rPr>
        <w:t>Handcastle</w:t>
      </w:r>
      <w:proofErr w:type="spellEnd"/>
      <w:r w:rsidRPr="00885F9E">
        <w:rPr>
          <w:rFonts w:ascii="Arial" w:hAnsi="Arial" w:cs="Arial"/>
          <w:sz w:val="20"/>
          <w:szCs w:val="20"/>
          <w:lang w:val="en-GB"/>
        </w:rPr>
        <w:t>, Hamlin &amp; Draper, 2010). Our study showed a much larger 10% overall increase in HDL for PG. The difference in HDL results may be due to the lower value of baseline in this study and thus a greater improvement was seen following increased physical activity.</w:t>
      </w:r>
    </w:p>
    <w:p w:rsidR="00885F9E" w:rsidRPr="00885F9E" w:rsidRDefault="00885F9E" w:rsidP="00885F9E">
      <w:pPr>
        <w:jc w:val="both"/>
        <w:rPr>
          <w:rFonts w:ascii="Arial" w:hAnsi="Arial" w:cs="Arial"/>
          <w:sz w:val="20"/>
          <w:szCs w:val="20"/>
          <w:lang w:val="en-GB"/>
        </w:rPr>
      </w:pPr>
      <w:r w:rsidRPr="00885F9E">
        <w:rPr>
          <w:rFonts w:ascii="Arial" w:hAnsi="Arial" w:cs="Arial"/>
          <w:sz w:val="20"/>
          <w:szCs w:val="20"/>
          <w:lang w:val="en-GB"/>
        </w:rPr>
        <w:t xml:space="preserve">Resting systolic blood pressure (SBP) decreased by 4.0 mmHg in our study as early as 6 weeks and maintained after 12 </w:t>
      </w:r>
      <w:proofErr w:type="gramStart"/>
      <w:r w:rsidRPr="00885F9E">
        <w:rPr>
          <w:rFonts w:ascii="Arial" w:hAnsi="Arial" w:cs="Arial"/>
          <w:sz w:val="20"/>
          <w:szCs w:val="20"/>
          <w:lang w:val="en-GB"/>
        </w:rPr>
        <w:t>weeks</w:t>
      </w:r>
      <w:proofErr w:type="gramEnd"/>
      <w:r w:rsidRPr="00885F9E">
        <w:rPr>
          <w:rFonts w:ascii="Arial" w:hAnsi="Arial" w:cs="Arial"/>
          <w:sz w:val="20"/>
          <w:szCs w:val="20"/>
          <w:lang w:val="en-GB"/>
        </w:rPr>
        <w:t xml:space="preserve"> intervention. Norton et al. (2015) found about 2 mmHg SBP reductions after a walking exercise intervention for 6 weeks in sedentary (mean aged 44.25 ± 12.30), overweight males and females (Norton et al., 2015). Hypertension is a common CVD risk factor, and our results suggest that exercise prescription with pedometer-</w:t>
      </w:r>
      <w:r w:rsidRPr="00885F9E">
        <w:rPr>
          <w:rFonts w:ascii="Arial" w:hAnsi="Arial" w:cs="Arial"/>
          <w:sz w:val="20"/>
          <w:szCs w:val="20"/>
          <w:lang w:val="en-GB"/>
        </w:rPr>
        <w:lastRenderedPageBreak/>
        <w:t>based interventions effectively lowered overall blood pressure which is consistent with prior studies. It is possible that our study observed greater changes in resting SBP at 6 weeks due to the pedometer daily log, as the participants were younger and were also asked to report their steps each day with a minimum report for five days of the week. Therefore, the physical activity may have been increased in our study compared to other studies that only included fewer than five days per week of physical activity.</w:t>
      </w:r>
    </w:p>
    <w:p w:rsidR="000F003D" w:rsidRPr="00A0559A" w:rsidRDefault="000F003D" w:rsidP="000F003D">
      <w:pPr>
        <w:autoSpaceDE w:val="0"/>
        <w:autoSpaceDN w:val="0"/>
        <w:adjustRightInd w:val="0"/>
        <w:jc w:val="both"/>
        <w:rPr>
          <w:i/>
          <w:iCs/>
          <w:lang w:val="en-GB"/>
        </w:rPr>
      </w:pPr>
      <w:r w:rsidRPr="00A0559A">
        <w:rPr>
          <w:lang w:val="en-GB"/>
        </w:rPr>
        <w:t>The findings</w:t>
      </w:r>
      <w:r w:rsidRPr="00A0559A">
        <w:rPr>
          <w:i/>
          <w:iCs/>
          <w:lang w:val="en-GB"/>
        </w:rPr>
        <w:t xml:space="preserve"> </w:t>
      </w:r>
      <w:r w:rsidRPr="00A0559A">
        <w:rPr>
          <w:lang w:val="en-GB"/>
        </w:rPr>
        <w:t>were restricted to young men, and not</w:t>
      </w:r>
      <w:r w:rsidRPr="00A0559A">
        <w:rPr>
          <w:i/>
          <w:iCs/>
          <w:lang w:val="en-GB"/>
        </w:rPr>
        <w:t xml:space="preserve"> </w:t>
      </w:r>
      <w:r>
        <w:rPr>
          <w:lang w:val="en-GB"/>
        </w:rPr>
        <w:t>apply</w:t>
      </w:r>
      <w:r w:rsidRPr="00A0559A">
        <w:rPr>
          <w:lang w:val="en-GB"/>
        </w:rPr>
        <w:t xml:space="preserve"> to women or older age groups. </w:t>
      </w:r>
    </w:p>
    <w:p w:rsidR="000F003D" w:rsidRPr="000F003D" w:rsidRDefault="000F003D" w:rsidP="000F003D">
      <w:pPr>
        <w:rPr>
          <w:rFonts w:ascii="Arial" w:hAnsi="Arial" w:cs="Arial"/>
          <w:sz w:val="20"/>
          <w:szCs w:val="20"/>
        </w:rPr>
      </w:pPr>
      <w:r w:rsidRPr="000F003D">
        <w:rPr>
          <w:rFonts w:ascii="Arial" w:hAnsi="Arial" w:cs="Arial"/>
          <w:sz w:val="20"/>
          <w:szCs w:val="20"/>
        </w:rPr>
        <w:t>Total 35 participants were recruited and all participants completed the study. The physiological parameters and blood profile mean and standard deviation according to the participant group are present in Table 1 (a) and Table 1 (b). Figure 2 and 3 representing the plot for PPGF and PWV the two parameters of interest in this paper which has noninvasive measuring methods.</w:t>
      </w:r>
    </w:p>
    <w:p w:rsidR="000F003D" w:rsidRPr="000F003D" w:rsidRDefault="000F003D" w:rsidP="000F003D">
      <w:pPr>
        <w:rPr>
          <w:rFonts w:ascii="Arial" w:hAnsi="Arial" w:cs="Arial"/>
          <w:b/>
          <w:sz w:val="20"/>
          <w:szCs w:val="20"/>
          <w:lang w:val="en-GB"/>
        </w:rPr>
      </w:pPr>
    </w:p>
    <w:p w:rsidR="000F003D" w:rsidRPr="000F003D" w:rsidRDefault="000F003D" w:rsidP="000F003D">
      <w:pPr>
        <w:jc w:val="center"/>
        <w:rPr>
          <w:rFonts w:ascii="Arial" w:hAnsi="Arial" w:cs="Arial"/>
          <w:sz w:val="20"/>
          <w:szCs w:val="20"/>
          <w:lang w:val="en-GB"/>
        </w:rPr>
      </w:pPr>
      <w:r w:rsidRPr="000F003D">
        <w:rPr>
          <w:rFonts w:ascii="Arial" w:hAnsi="Arial" w:cs="Arial"/>
          <w:sz w:val="20"/>
          <w:szCs w:val="20"/>
          <w:lang w:val="en-GB"/>
        </w:rPr>
        <w:t>Table 1 (a): Pedometer Group</w:t>
      </w:r>
    </w:p>
    <w:p w:rsidR="000F003D" w:rsidRPr="000F003D" w:rsidRDefault="000F003D" w:rsidP="000F003D">
      <w:pPr>
        <w:jc w:val="center"/>
        <w:rPr>
          <w:rFonts w:ascii="Arial" w:hAnsi="Arial" w:cs="Arial"/>
          <w:sz w:val="20"/>
          <w:szCs w:val="2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1260"/>
        <w:gridCol w:w="1260"/>
        <w:gridCol w:w="1227"/>
      </w:tblGrid>
      <w:tr w:rsidR="000F003D" w:rsidRPr="000F003D" w:rsidTr="00C00103">
        <w:tc>
          <w:tcPr>
            <w:tcW w:w="918" w:type="dxa"/>
            <w:vMerge w:val="restart"/>
            <w:shd w:val="clear" w:color="auto" w:fill="auto"/>
          </w:tcPr>
          <w:p w:rsidR="000F003D" w:rsidRPr="000F003D" w:rsidRDefault="000F003D" w:rsidP="00C00103">
            <w:pPr>
              <w:rPr>
                <w:rFonts w:ascii="Arial" w:hAnsi="Arial" w:cs="Arial"/>
                <w:b/>
                <w:sz w:val="20"/>
                <w:szCs w:val="20"/>
                <w:lang w:val="en-GB"/>
              </w:rPr>
            </w:pPr>
          </w:p>
        </w:tc>
        <w:tc>
          <w:tcPr>
            <w:tcW w:w="3747" w:type="dxa"/>
            <w:gridSpan w:val="3"/>
            <w:shd w:val="clear" w:color="auto" w:fill="auto"/>
          </w:tcPr>
          <w:p w:rsidR="000F003D" w:rsidRPr="000F003D" w:rsidRDefault="000F003D" w:rsidP="00C00103">
            <w:pPr>
              <w:jc w:val="center"/>
              <w:rPr>
                <w:rFonts w:ascii="Arial" w:hAnsi="Arial" w:cs="Arial"/>
                <w:b/>
                <w:sz w:val="20"/>
                <w:szCs w:val="20"/>
                <w:lang w:val="en-GB"/>
              </w:rPr>
            </w:pPr>
            <w:r w:rsidRPr="000F003D">
              <w:rPr>
                <w:rFonts w:ascii="Arial" w:hAnsi="Arial" w:cs="Arial"/>
                <w:b/>
                <w:sz w:val="20"/>
                <w:szCs w:val="20"/>
                <w:lang w:val="en-GB"/>
              </w:rPr>
              <w:t>PEDOMETER</w:t>
            </w:r>
          </w:p>
        </w:tc>
      </w:tr>
      <w:tr w:rsidR="000F003D" w:rsidRPr="000F003D" w:rsidTr="00C00103">
        <w:tc>
          <w:tcPr>
            <w:tcW w:w="918" w:type="dxa"/>
            <w:vMerge/>
            <w:shd w:val="clear" w:color="auto" w:fill="auto"/>
          </w:tcPr>
          <w:p w:rsidR="000F003D" w:rsidRPr="000F003D" w:rsidRDefault="000F003D" w:rsidP="00C00103">
            <w:pPr>
              <w:jc w:val="center"/>
              <w:rPr>
                <w:rFonts w:ascii="Arial" w:hAnsi="Arial" w:cs="Arial"/>
                <w:b/>
                <w:sz w:val="20"/>
                <w:szCs w:val="20"/>
              </w:rPr>
            </w:pPr>
          </w:p>
        </w:tc>
        <w:tc>
          <w:tcPr>
            <w:tcW w:w="1260" w:type="dxa"/>
            <w:shd w:val="clear" w:color="auto" w:fill="auto"/>
          </w:tcPr>
          <w:p w:rsidR="000F003D" w:rsidRPr="000F003D" w:rsidRDefault="000F003D" w:rsidP="00C00103">
            <w:pPr>
              <w:jc w:val="center"/>
              <w:rPr>
                <w:rFonts w:ascii="Arial" w:hAnsi="Arial" w:cs="Arial"/>
                <w:b/>
                <w:sz w:val="20"/>
                <w:szCs w:val="20"/>
              </w:rPr>
            </w:pPr>
            <w:r w:rsidRPr="000F003D">
              <w:rPr>
                <w:rFonts w:ascii="Arial" w:hAnsi="Arial" w:cs="Arial"/>
                <w:b/>
                <w:sz w:val="20"/>
                <w:szCs w:val="20"/>
              </w:rPr>
              <w:t>B</w:t>
            </w:r>
          </w:p>
        </w:tc>
        <w:tc>
          <w:tcPr>
            <w:tcW w:w="1260" w:type="dxa"/>
            <w:shd w:val="clear" w:color="auto" w:fill="auto"/>
          </w:tcPr>
          <w:p w:rsidR="000F003D" w:rsidRPr="000F003D" w:rsidRDefault="000F003D" w:rsidP="00C00103">
            <w:pPr>
              <w:jc w:val="center"/>
              <w:rPr>
                <w:rFonts w:ascii="Arial" w:hAnsi="Arial" w:cs="Arial"/>
                <w:b/>
                <w:sz w:val="20"/>
                <w:szCs w:val="20"/>
              </w:rPr>
            </w:pPr>
            <w:r w:rsidRPr="000F003D">
              <w:rPr>
                <w:rFonts w:ascii="Arial" w:hAnsi="Arial" w:cs="Arial"/>
                <w:b/>
                <w:sz w:val="20"/>
                <w:szCs w:val="20"/>
              </w:rPr>
              <w:t>M</w:t>
            </w:r>
          </w:p>
        </w:tc>
        <w:tc>
          <w:tcPr>
            <w:tcW w:w="1227" w:type="dxa"/>
            <w:shd w:val="clear" w:color="auto" w:fill="auto"/>
          </w:tcPr>
          <w:p w:rsidR="000F003D" w:rsidRPr="000F003D" w:rsidRDefault="000F003D" w:rsidP="00C00103">
            <w:pPr>
              <w:jc w:val="center"/>
              <w:rPr>
                <w:rFonts w:ascii="Arial" w:hAnsi="Arial" w:cs="Arial"/>
                <w:b/>
                <w:sz w:val="20"/>
                <w:szCs w:val="20"/>
              </w:rPr>
            </w:pPr>
            <w:r w:rsidRPr="000F003D">
              <w:rPr>
                <w:rFonts w:ascii="Arial" w:hAnsi="Arial" w:cs="Arial"/>
                <w:b/>
                <w:sz w:val="20"/>
                <w:szCs w:val="20"/>
              </w:rPr>
              <w:t>F</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*BMI</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27.11 ± 5.50</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26.84± 5.45</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26.47±5.03</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*WC</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89.42±12.60</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88.63±12.15</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86.84±11.40</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*PWV</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7.47±0.91</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7.05±0.91</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6.53±1.02</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*PPGF</w:t>
            </w:r>
          </w:p>
        </w:tc>
        <w:tc>
          <w:tcPr>
            <w:tcW w:w="1260" w:type="dxa"/>
            <w:shd w:val="clear" w:color="auto" w:fill="auto"/>
          </w:tcPr>
          <w:p w:rsidR="000F003D" w:rsidRPr="000F003D" w:rsidRDefault="000F003D" w:rsidP="00C00103">
            <w:pPr>
              <w:autoSpaceDE w:val="0"/>
              <w:autoSpaceDN w:val="0"/>
              <w:adjustRightInd w:val="0"/>
              <w:jc w:val="center"/>
              <w:rPr>
                <w:rFonts w:ascii="Arial" w:hAnsi="Arial" w:cs="Arial"/>
                <w:noProof/>
                <w:sz w:val="20"/>
                <w:szCs w:val="20"/>
                <w:lang w:eastAsia="en-MY"/>
              </w:rPr>
            </w:pPr>
            <w:r w:rsidRPr="000F003D">
              <w:rPr>
                <w:rFonts w:ascii="Arial" w:hAnsi="Arial" w:cs="Arial"/>
                <w:noProof/>
                <w:sz w:val="20"/>
                <w:szCs w:val="20"/>
                <w:lang w:eastAsia="en-MY"/>
              </w:rPr>
              <w:t>56.31</w:t>
            </w:r>
            <w:r w:rsidRPr="000F003D">
              <w:rPr>
                <w:rFonts w:ascii="Arial" w:hAnsi="Arial" w:cs="Arial"/>
                <w:sz w:val="20"/>
                <w:szCs w:val="20"/>
              </w:rPr>
              <w:t>±</w:t>
            </w:r>
            <w:r w:rsidRPr="000F003D">
              <w:rPr>
                <w:rFonts w:ascii="Arial" w:hAnsi="Arial" w:cs="Arial"/>
                <w:noProof/>
                <w:sz w:val="20"/>
                <w:szCs w:val="20"/>
                <w:lang w:eastAsia="en-MY"/>
              </w:rPr>
              <w:t>8.71</w:t>
            </w:r>
          </w:p>
        </w:tc>
        <w:tc>
          <w:tcPr>
            <w:tcW w:w="1260" w:type="dxa"/>
            <w:shd w:val="clear" w:color="auto" w:fill="auto"/>
          </w:tcPr>
          <w:p w:rsidR="000F003D" w:rsidRPr="000F003D" w:rsidRDefault="000F003D" w:rsidP="00C00103">
            <w:pPr>
              <w:autoSpaceDE w:val="0"/>
              <w:autoSpaceDN w:val="0"/>
              <w:adjustRightInd w:val="0"/>
              <w:jc w:val="center"/>
              <w:rPr>
                <w:rFonts w:ascii="Arial" w:hAnsi="Arial" w:cs="Arial"/>
                <w:noProof/>
                <w:sz w:val="20"/>
                <w:szCs w:val="20"/>
                <w:lang w:eastAsia="en-MY"/>
              </w:rPr>
            </w:pPr>
            <w:r w:rsidRPr="000F003D">
              <w:rPr>
                <w:rFonts w:ascii="Arial" w:hAnsi="Arial" w:cs="Arial"/>
                <w:noProof/>
                <w:sz w:val="20"/>
                <w:szCs w:val="20"/>
                <w:lang w:eastAsia="en-MY"/>
              </w:rPr>
              <w:t>60.99</w:t>
            </w:r>
            <w:r w:rsidRPr="000F003D">
              <w:rPr>
                <w:rFonts w:ascii="Arial" w:hAnsi="Arial" w:cs="Arial"/>
                <w:sz w:val="20"/>
                <w:szCs w:val="20"/>
              </w:rPr>
              <w:t>±</w:t>
            </w:r>
            <w:r w:rsidRPr="000F003D">
              <w:rPr>
                <w:rFonts w:ascii="Arial" w:hAnsi="Arial" w:cs="Arial"/>
                <w:noProof/>
                <w:sz w:val="20"/>
                <w:szCs w:val="20"/>
                <w:lang w:eastAsia="en-MY"/>
              </w:rPr>
              <w:t>10.34</w:t>
            </w:r>
          </w:p>
        </w:tc>
        <w:tc>
          <w:tcPr>
            <w:tcW w:w="1227" w:type="dxa"/>
            <w:shd w:val="clear" w:color="auto" w:fill="auto"/>
          </w:tcPr>
          <w:p w:rsidR="000F003D" w:rsidRPr="000F003D" w:rsidRDefault="000F003D" w:rsidP="00C00103">
            <w:pPr>
              <w:autoSpaceDE w:val="0"/>
              <w:autoSpaceDN w:val="0"/>
              <w:adjustRightInd w:val="0"/>
              <w:jc w:val="center"/>
              <w:rPr>
                <w:rFonts w:ascii="Arial" w:hAnsi="Arial" w:cs="Arial"/>
                <w:noProof/>
                <w:sz w:val="20"/>
                <w:szCs w:val="20"/>
                <w:lang w:eastAsia="en-MY"/>
              </w:rPr>
            </w:pPr>
            <w:r w:rsidRPr="000F003D">
              <w:rPr>
                <w:rFonts w:ascii="Arial" w:hAnsi="Arial" w:cs="Arial"/>
                <w:noProof/>
                <w:sz w:val="20"/>
                <w:szCs w:val="20"/>
                <w:lang w:eastAsia="en-MY"/>
              </w:rPr>
              <w:t>61.94</w:t>
            </w:r>
            <w:r w:rsidRPr="000F003D">
              <w:rPr>
                <w:rFonts w:ascii="Arial" w:hAnsi="Arial" w:cs="Arial"/>
                <w:sz w:val="20"/>
                <w:szCs w:val="20"/>
              </w:rPr>
              <w:t>±</w:t>
            </w:r>
            <w:r w:rsidRPr="000F003D">
              <w:rPr>
                <w:rFonts w:ascii="Arial" w:hAnsi="Arial" w:cs="Arial"/>
                <w:noProof/>
                <w:sz w:val="20"/>
                <w:szCs w:val="20"/>
                <w:lang w:eastAsia="en-MY"/>
              </w:rPr>
              <w:t>7.79</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FBS</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5.11±1.05</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5.21±1.23</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5.0±1.05</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SBP</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123.26±9.68</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119.58±8.80</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119.47±8.65</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DBP</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68.32±9.34</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66.32±9.02</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66.21±8.86</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TG</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2.00±1.25</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1.63±1.17</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1.37±0.68</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lastRenderedPageBreak/>
              <w:t>HDL</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1.00±0.00</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1.11±0.32</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1.21±0.42</w:t>
            </w:r>
          </w:p>
        </w:tc>
      </w:tr>
      <w:tr w:rsidR="000F003D" w:rsidRPr="000F003D" w:rsidTr="00C00103">
        <w:tc>
          <w:tcPr>
            <w:tcW w:w="918" w:type="dxa"/>
            <w:shd w:val="clear" w:color="auto" w:fill="auto"/>
          </w:tcPr>
          <w:p w:rsidR="000F003D" w:rsidRPr="000F003D" w:rsidRDefault="000F003D" w:rsidP="00C00103">
            <w:pPr>
              <w:rPr>
                <w:rFonts w:ascii="Arial" w:hAnsi="Arial" w:cs="Arial"/>
                <w:b/>
                <w:sz w:val="20"/>
                <w:szCs w:val="20"/>
              </w:rPr>
            </w:pPr>
            <w:r w:rsidRPr="000F003D">
              <w:rPr>
                <w:rFonts w:ascii="Arial" w:hAnsi="Arial" w:cs="Arial"/>
                <w:b/>
                <w:sz w:val="20"/>
                <w:szCs w:val="20"/>
              </w:rPr>
              <w:t>LDL</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3.32±0.89</w:t>
            </w:r>
          </w:p>
        </w:tc>
        <w:tc>
          <w:tcPr>
            <w:tcW w:w="1260"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3.37±0.76</w:t>
            </w:r>
          </w:p>
        </w:tc>
        <w:tc>
          <w:tcPr>
            <w:tcW w:w="1227" w:type="dxa"/>
            <w:shd w:val="clear" w:color="auto" w:fill="auto"/>
          </w:tcPr>
          <w:p w:rsidR="000F003D" w:rsidRPr="000F003D" w:rsidRDefault="000F003D" w:rsidP="00C00103">
            <w:pPr>
              <w:jc w:val="center"/>
              <w:rPr>
                <w:rFonts w:ascii="Arial" w:hAnsi="Arial" w:cs="Arial"/>
                <w:sz w:val="20"/>
                <w:szCs w:val="20"/>
              </w:rPr>
            </w:pPr>
            <w:r w:rsidRPr="000F003D">
              <w:rPr>
                <w:rFonts w:ascii="Arial" w:hAnsi="Arial" w:cs="Arial"/>
                <w:sz w:val="20"/>
                <w:szCs w:val="20"/>
              </w:rPr>
              <w:t>3.05±0.91</w:t>
            </w:r>
          </w:p>
        </w:tc>
      </w:tr>
    </w:tbl>
    <w:p w:rsidR="000F003D" w:rsidRPr="000F003D" w:rsidRDefault="000F003D" w:rsidP="000F003D">
      <w:pPr>
        <w:rPr>
          <w:rFonts w:ascii="Arial" w:hAnsi="Arial" w:cs="Arial"/>
          <w:sz w:val="20"/>
          <w:szCs w:val="20"/>
          <w:lang w:val="en-GB"/>
        </w:rPr>
      </w:pPr>
      <w:r w:rsidRPr="000F003D">
        <w:rPr>
          <w:rFonts w:ascii="Arial" w:hAnsi="Arial" w:cs="Arial"/>
          <w:sz w:val="20"/>
          <w:szCs w:val="20"/>
          <w:lang w:val="en-GB"/>
        </w:rPr>
        <w:t>* p&lt;0.01</w:t>
      </w:r>
    </w:p>
    <w:p w:rsidR="000F003D" w:rsidRPr="000F003D" w:rsidRDefault="000F003D" w:rsidP="000F003D">
      <w:pPr>
        <w:jc w:val="both"/>
        <w:rPr>
          <w:rFonts w:ascii="Arial" w:hAnsi="Arial" w:cs="Arial"/>
          <w:sz w:val="20"/>
          <w:szCs w:val="20"/>
        </w:rPr>
      </w:pPr>
      <w:r w:rsidRPr="000F003D">
        <w:rPr>
          <w:rFonts w:ascii="Arial" w:hAnsi="Arial" w:cs="Arial"/>
          <w:sz w:val="20"/>
          <w:szCs w:val="20"/>
        </w:rPr>
        <w:t>Both PPGF and PWV showing similar trend, where there is a significant change after 6 weeks and further improvement in the next 6 weeks. Changes in PPGF were higher in the first 6 weeks and PWV has more consistent change in first and second 6 weeks. The observation based on the other seven different parameters selected to be discussed in this paper; we observe that BMI, waist circumference and lipid profile has consistently reduced over the six weeks and 12 weeks of walking intervention.</w:t>
      </w:r>
    </w:p>
    <w:p w:rsidR="000F003D" w:rsidRPr="000F003D" w:rsidRDefault="000F003D" w:rsidP="000F003D">
      <w:pPr>
        <w:jc w:val="both"/>
        <w:rPr>
          <w:rFonts w:ascii="Arial" w:hAnsi="Arial" w:cs="Arial"/>
          <w:sz w:val="20"/>
          <w:szCs w:val="20"/>
        </w:rPr>
      </w:pPr>
    </w:p>
    <w:p w:rsidR="000F003D" w:rsidRPr="000F003D" w:rsidRDefault="000F003D" w:rsidP="000F003D">
      <w:pPr>
        <w:jc w:val="both"/>
        <w:rPr>
          <w:rFonts w:ascii="Arial" w:hAnsi="Arial" w:cs="Arial"/>
          <w:sz w:val="20"/>
          <w:szCs w:val="20"/>
          <w:lang w:val="en-GB"/>
        </w:rPr>
      </w:pPr>
      <w:r w:rsidRPr="000F003D">
        <w:rPr>
          <w:rFonts w:ascii="Arial" w:hAnsi="Arial" w:cs="Arial"/>
          <w:sz w:val="20"/>
          <w:szCs w:val="20"/>
          <w:lang w:val="en-GB"/>
        </w:rPr>
        <w:t>Table 1(b): Control Group</w:t>
      </w:r>
    </w:p>
    <w:p w:rsidR="000F003D" w:rsidRPr="000F003D" w:rsidRDefault="000F003D" w:rsidP="000F003D">
      <w:pPr>
        <w:jc w:val="both"/>
        <w:rPr>
          <w:rFonts w:ascii="Arial" w:hAnsi="Arial" w:cs="Arial"/>
          <w:sz w:val="20"/>
          <w:szCs w:val="2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1260"/>
        <w:gridCol w:w="1260"/>
        <w:gridCol w:w="1227"/>
      </w:tblGrid>
      <w:tr w:rsidR="000F003D" w:rsidRPr="000F003D" w:rsidTr="00C00103">
        <w:tc>
          <w:tcPr>
            <w:tcW w:w="918" w:type="dxa"/>
            <w:vMerge w:val="restart"/>
            <w:shd w:val="clear" w:color="auto" w:fill="auto"/>
          </w:tcPr>
          <w:p w:rsidR="000F003D" w:rsidRPr="000F003D" w:rsidRDefault="000F003D" w:rsidP="000F003D">
            <w:pPr>
              <w:jc w:val="both"/>
              <w:rPr>
                <w:rFonts w:ascii="Arial" w:hAnsi="Arial" w:cs="Arial"/>
                <w:b/>
                <w:sz w:val="20"/>
                <w:szCs w:val="20"/>
                <w:lang w:val="en-GB"/>
              </w:rPr>
            </w:pPr>
          </w:p>
        </w:tc>
        <w:tc>
          <w:tcPr>
            <w:tcW w:w="3747" w:type="dxa"/>
            <w:gridSpan w:val="3"/>
            <w:shd w:val="clear" w:color="auto" w:fill="auto"/>
          </w:tcPr>
          <w:p w:rsidR="000F003D" w:rsidRPr="000F003D" w:rsidRDefault="000F003D" w:rsidP="000F003D">
            <w:pPr>
              <w:jc w:val="both"/>
              <w:rPr>
                <w:rFonts w:ascii="Arial" w:hAnsi="Arial" w:cs="Arial"/>
                <w:b/>
                <w:sz w:val="20"/>
                <w:szCs w:val="20"/>
                <w:lang w:val="en-GB"/>
              </w:rPr>
            </w:pPr>
            <w:r w:rsidRPr="000F003D">
              <w:rPr>
                <w:rFonts w:ascii="Arial" w:hAnsi="Arial" w:cs="Arial"/>
                <w:b/>
                <w:sz w:val="20"/>
                <w:szCs w:val="20"/>
                <w:lang w:val="en-GB"/>
              </w:rPr>
              <w:t>CONTROL</w:t>
            </w:r>
          </w:p>
        </w:tc>
      </w:tr>
      <w:tr w:rsidR="000F003D" w:rsidRPr="000F003D" w:rsidTr="00C00103">
        <w:tc>
          <w:tcPr>
            <w:tcW w:w="918" w:type="dxa"/>
            <w:vMerge/>
            <w:shd w:val="clear" w:color="auto" w:fill="auto"/>
          </w:tcPr>
          <w:p w:rsidR="000F003D" w:rsidRPr="000F003D" w:rsidRDefault="000F003D" w:rsidP="000F003D">
            <w:pPr>
              <w:jc w:val="both"/>
              <w:rPr>
                <w:rFonts w:ascii="Arial" w:hAnsi="Arial" w:cs="Arial"/>
                <w:b/>
                <w:sz w:val="20"/>
                <w:szCs w:val="20"/>
              </w:rPr>
            </w:pPr>
          </w:p>
        </w:tc>
        <w:tc>
          <w:tcPr>
            <w:tcW w:w="1260"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B</w:t>
            </w:r>
          </w:p>
        </w:tc>
        <w:tc>
          <w:tcPr>
            <w:tcW w:w="1260"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M</w:t>
            </w:r>
          </w:p>
        </w:tc>
        <w:tc>
          <w:tcPr>
            <w:tcW w:w="1227"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F</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BMI</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24.31±4.39</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24.37±4386</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24.44±4.34</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WC</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83.38±12.96</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84.00±13.01</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83.81±12.01</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PWV</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7.25±0.78</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7.31±1.19</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7.31±1.01</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PPGF</w:t>
            </w:r>
          </w:p>
        </w:tc>
        <w:tc>
          <w:tcPr>
            <w:tcW w:w="1260" w:type="dxa"/>
            <w:shd w:val="clear" w:color="auto" w:fill="auto"/>
          </w:tcPr>
          <w:p w:rsidR="000F003D" w:rsidRPr="000F003D" w:rsidRDefault="000F003D" w:rsidP="000F003D">
            <w:pPr>
              <w:autoSpaceDE w:val="0"/>
              <w:autoSpaceDN w:val="0"/>
              <w:adjustRightInd w:val="0"/>
              <w:jc w:val="both"/>
              <w:rPr>
                <w:rFonts w:ascii="Arial" w:hAnsi="Arial" w:cs="Arial"/>
                <w:noProof/>
                <w:sz w:val="20"/>
                <w:szCs w:val="20"/>
                <w:lang w:eastAsia="en-MY"/>
              </w:rPr>
            </w:pPr>
            <w:r w:rsidRPr="000F003D">
              <w:rPr>
                <w:rFonts w:ascii="Arial" w:hAnsi="Arial" w:cs="Arial"/>
                <w:sz w:val="20"/>
                <w:szCs w:val="20"/>
              </w:rPr>
              <w:t>59.06±9.66</w:t>
            </w:r>
          </w:p>
        </w:tc>
        <w:tc>
          <w:tcPr>
            <w:tcW w:w="1260" w:type="dxa"/>
            <w:shd w:val="clear" w:color="auto" w:fill="auto"/>
          </w:tcPr>
          <w:p w:rsidR="000F003D" w:rsidRPr="000F003D" w:rsidRDefault="000F003D" w:rsidP="000F003D">
            <w:pPr>
              <w:autoSpaceDE w:val="0"/>
              <w:autoSpaceDN w:val="0"/>
              <w:adjustRightInd w:val="0"/>
              <w:jc w:val="both"/>
              <w:rPr>
                <w:rFonts w:ascii="Arial" w:hAnsi="Arial" w:cs="Arial"/>
                <w:noProof/>
                <w:sz w:val="20"/>
                <w:szCs w:val="20"/>
                <w:lang w:eastAsia="en-MY"/>
              </w:rPr>
            </w:pPr>
            <w:r w:rsidRPr="000F003D">
              <w:rPr>
                <w:rFonts w:ascii="Arial" w:hAnsi="Arial" w:cs="Arial"/>
                <w:sz w:val="20"/>
                <w:szCs w:val="20"/>
              </w:rPr>
              <w:t>60.37±10.09</w:t>
            </w:r>
          </w:p>
        </w:tc>
        <w:tc>
          <w:tcPr>
            <w:tcW w:w="1227" w:type="dxa"/>
            <w:shd w:val="clear" w:color="auto" w:fill="auto"/>
          </w:tcPr>
          <w:p w:rsidR="000F003D" w:rsidRPr="000F003D" w:rsidRDefault="000F003D" w:rsidP="000F003D">
            <w:pPr>
              <w:autoSpaceDE w:val="0"/>
              <w:autoSpaceDN w:val="0"/>
              <w:adjustRightInd w:val="0"/>
              <w:jc w:val="both"/>
              <w:rPr>
                <w:rFonts w:ascii="Arial" w:hAnsi="Arial" w:cs="Arial"/>
                <w:noProof/>
                <w:sz w:val="20"/>
                <w:szCs w:val="20"/>
                <w:lang w:eastAsia="en-MY"/>
              </w:rPr>
            </w:pPr>
            <w:r w:rsidRPr="000F003D">
              <w:rPr>
                <w:rFonts w:ascii="Arial" w:hAnsi="Arial" w:cs="Arial"/>
                <w:sz w:val="20"/>
                <w:szCs w:val="20"/>
              </w:rPr>
              <w:t>59.80±</w:t>
            </w:r>
            <w:r w:rsidRPr="000F003D">
              <w:rPr>
                <w:rFonts w:ascii="Arial" w:hAnsi="Arial" w:cs="Arial"/>
                <w:noProof/>
                <w:sz w:val="20"/>
                <w:szCs w:val="20"/>
                <w:lang w:eastAsia="en-MY"/>
              </w:rPr>
              <w:t>8.88</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FBS</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4.87±0.72</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4.69±0.48</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4.50±0.52</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SBP</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122.06±5.76</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120.37±9.87</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120.81±9.52</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DBP</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67.38±7.34</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68.94±9.62</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68.50±9.77</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TG</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1.75±0.86</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1.75±0.93</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1.81±1.60</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LDL</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3.31±1.14</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3.50±0.82</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3.62±1.46</w:t>
            </w:r>
          </w:p>
        </w:tc>
      </w:tr>
      <w:tr w:rsidR="000F003D" w:rsidRPr="000F003D" w:rsidTr="00C00103">
        <w:tc>
          <w:tcPr>
            <w:tcW w:w="918" w:type="dxa"/>
            <w:shd w:val="clear" w:color="auto" w:fill="auto"/>
          </w:tcPr>
          <w:p w:rsidR="000F003D" w:rsidRPr="000F003D" w:rsidRDefault="000F003D" w:rsidP="000F003D">
            <w:pPr>
              <w:jc w:val="both"/>
              <w:rPr>
                <w:rFonts w:ascii="Arial" w:hAnsi="Arial" w:cs="Arial"/>
                <w:b/>
                <w:sz w:val="20"/>
                <w:szCs w:val="20"/>
              </w:rPr>
            </w:pPr>
            <w:r w:rsidRPr="000F003D">
              <w:rPr>
                <w:rFonts w:ascii="Arial" w:hAnsi="Arial" w:cs="Arial"/>
                <w:b/>
                <w:sz w:val="20"/>
                <w:szCs w:val="20"/>
              </w:rPr>
              <w:t>HDL</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1.00±0.00</w:t>
            </w:r>
          </w:p>
        </w:tc>
        <w:tc>
          <w:tcPr>
            <w:tcW w:w="1260"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1.06±0.24</w:t>
            </w:r>
          </w:p>
        </w:tc>
        <w:tc>
          <w:tcPr>
            <w:tcW w:w="1227" w:type="dxa"/>
            <w:shd w:val="clear" w:color="auto" w:fill="auto"/>
          </w:tcPr>
          <w:p w:rsidR="000F003D" w:rsidRPr="000F003D" w:rsidRDefault="000F003D" w:rsidP="000F003D">
            <w:pPr>
              <w:jc w:val="both"/>
              <w:rPr>
                <w:rFonts w:ascii="Arial" w:hAnsi="Arial" w:cs="Arial"/>
                <w:sz w:val="20"/>
                <w:szCs w:val="20"/>
              </w:rPr>
            </w:pPr>
            <w:r w:rsidRPr="000F003D">
              <w:rPr>
                <w:rFonts w:ascii="Arial" w:hAnsi="Arial" w:cs="Arial"/>
                <w:sz w:val="20"/>
                <w:szCs w:val="20"/>
              </w:rPr>
              <w:t>1.11±0.32</w:t>
            </w:r>
          </w:p>
        </w:tc>
      </w:tr>
    </w:tbl>
    <w:p w:rsidR="000F003D" w:rsidRPr="000F003D" w:rsidRDefault="000F003D" w:rsidP="000F003D">
      <w:pPr>
        <w:jc w:val="both"/>
        <w:rPr>
          <w:rFonts w:ascii="Arial" w:hAnsi="Arial" w:cs="Arial"/>
          <w:b/>
          <w:i/>
          <w:sz w:val="20"/>
          <w:szCs w:val="20"/>
          <w:lang w:val="en-GB"/>
        </w:rPr>
      </w:pPr>
      <w:proofErr w:type="gramStart"/>
      <w:r w:rsidRPr="000F003D">
        <w:rPr>
          <w:rFonts w:ascii="Arial" w:hAnsi="Arial" w:cs="Arial"/>
          <w:i/>
          <w:sz w:val="20"/>
          <w:szCs w:val="20"/>
          <w:lang w:val="en-GB"/>
        </w:rPr>
        <w:lastRenderedPageBreak/>
        <w:t>BMI(</w:t>
      </w:r>
      <w:proofErr w:type="gramEnd"/>
      <w:r w:rsidRPr="000F003D">
        <w:rPr>
          <w:rFonts w:ascii="Arial" w:hAnsi="Arial" w:cs="Arial"/>
          <w:i/>
          <w:sz w:val="20"/>
          <w:szCs w:val="20"/>
          <w:lang w:val="en-GB"/>
        </w:rPr>
        <w:t>Body Mass Index), WC (Waist Circumference), PWV (Pulse Wave Velocity), PPGF (Photoplethysmogram Fitness), FBS (Fasting Blood Sugar), SBP (Systolic Blood Pressure), DBP (Diastolic Blood Pressure), TG (Triglyceride), LDL (Low-density Lipoprotein), HDL (High Low-density Lipoprotein)</w:t>
      </w:r>
    </w:p>
    <w:p w:rsidR="000F003D" w:rsidRPr="000F003D" w:rsidRDefault="000F003D" w:rsidP="000F003D">
      <w:pPr>
        <w:jc w:val="both"/>
        <w:rPr>
          <w:rFonts w:ascii="Arial" w:hAnsi="Arial" w:cs="Arial"/>
          <w:noProof/>
          <w:sz w:val="20"/>
          <w:szCs w:val="20"/>
          <w:lang w:val="en-MY" w:eastAsia="en-MY"/>
        </w:rPr>
      </w:pPr>
    </w:p>
    <w:p w:rsidR="000F003D" w:rsidRPr="000F003D" w:rsidRDefault="000F003D" w:rsidP="000F003D">
      <w:pPr>
        <w:autoSpaceDE w:val="0"/>
        <w:autoSpaceDN w:val="0"/>
        <w:adjustRightInd w:val="0"/>
        <w:jc w:val="both"/>
        <w:rPr>
          <w:rFonts w:ascii="Arial" w:hAnsi="Arial" w:cs="Arial"/>
          <w:sz w:val="20"/>
          <w:szCs w:val="20"/>
          <w:lang w:val="en-MY" w:eastAsia="en-MY"/>
        </w:rPr>
      </w:pPr>
      <w:r w:rsidRPr="000F003D">
        <w:rPr>
          <w:rFonts w:ascii="Arial" w:hAnsi="Arial" w:cs="Arial"/>
          <w:noProof/>
          <w:sz w:val="20"/>
          <w:szCs w:val="20"/>
        </w:rPr>
        <w:drawing>
          <wp:inline distT="0" distB="0" distL="0" distR="0">
            <wp:extent cx="2947035" cy="31819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13249"/>
                    <a:stretch>
                      <a:fillRect/>
                    </a:stretch>
                  </pic:blipFill>
                  <pic:spPr bwMode="auto">
                    <a:xfrm>
                      <a:off x="0" y="0"/>
                      <a:ext cx="2947035" cy="3181985"/>
                    </a:xfrm>
                    <a:prstGeom prst="rect">
                      <a:avLst/>
                    </a:prstGeom>
                    <a:noFill/>
                    <a:ln>
                      <a:noFill/>
                    </a:ln>
                  </pic:spPr>
                </pic:pic>
              </a:graphicData>
            </a:graphic>
          </wp:inline>
        </w:drawing>
      </w:r>
    </w:p>
    <w:p w:rsidR="000F003D" w:rsidRPr="000F003D" w:rsidRDefault="000F003D" w:rsidP="000F003D">
      <w:pPr>
        <w:autoSpaceDE w:val="0"/>
        <w:autoSpaceDN w:val="0"/>
        <w:adjustRightInd w:val="0"/>
        <w:jc w:val="both"/>
        <w:rPr>
          <w:rFonts w:ascii="Arial" w:hAnsi="Arial" w:cs="Arial"/>
          <w:sz w:val="20"/>
          <w:szCs w:val="20"/>
          <w:lang w:val="en-MY" w:eastAsia="en-MY"/>
        </w:rPr>
      </w:pPr>
      <w:r w:rsidRPr="000F003D">
        <w:rPr>
          <w:rFonts w:ascii="Arial" w:hAnsi="Arial" w:cs="Arial"/>
          <w:sz w:val="20"/>
          <w:szCs w:val="20"/>
          <w:lang w:val="en-MY" w:eastAsia="en-MY"/>
        </w:rPr>
        <w:t>Figure 2: PPGF results</w:t>
      </w:r>
    </w:p>
    <w:p w:rsidR="000F003D" w:rsidRPr="000F003D" w:rsidRDefault="000F003D" w:rsidP="000F003D">
      <w:pPr>
        <w:autoSpaceDE w:val="0"/>
        <w:autoSpaceDN w:val="0"/>
        <w:adjustRightInd w:val="0"/>
        <w:jc w:val="both"/>
        <w:rPr>
          <w:rFonts w:ascii="Arial" w:hAnsi="Arial" w:cs="Arial"/>
          <w:sz w:val="20"/>
          <w:szCs w:val="20"/>
          <w:lang w:val="en-MY" w:eastAsia="en-MY"/>
        </w:rPr>
      </w:pPr>
      <w:r w:rsidRPr="000F003D">
        <w:rPr>
          <w:rFonts w:ascii="Arial" w:hAnsi="Arial" w:cs="Arial"/>
          <w:noProof/>
          <w:sz w:val="20"/>
          <w:szCs w:val="20"/>
        </w:rPr>
        <w:lastRenderedPageBreak/>
        <w:drawing>
          <wp:inline distT="0" distB="0" distL="0" distR="0">
            <wp:extent cx="296037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15227"/>
                    <a:stretch>
                      <a:fillRect/>
                    </a:stretch>
                  </pic:blipFill>
                  <pic:spPr bwMode="auto">
                    <a:xfrm>
                      <a:off x="0" y="0"/>
                      <a:ext cx="2960370" cy="3191510"/>
                    </a:xfrm>
                    <a:prstGeom prst="rect">
                      <a:avLst/>
                    </a:prstGeom>
                    <a:noFill/>
                    <a:ln>
                      <a:noFill/>
                    </a:ln>
                  </pic:spPr>
                </pic:pic>
              </a:graphicData>
            </a:graphic>
          </wp:inline>
        </w:drawing>
      </w:r>
    </w:p>
    <w:p w:rsidR="000F003D" w:rsidRPr="000F003D" w:rsidRDefault="000F003D" w:rsidP="000F003D">
      <w:pPr>
        <w:autoSpaceDE w:val="0"/>
        <w:autoSpaceDN w:val="0"/>
        <w:adjustRightInd w:val="0"/>
        <w:jc w:val="both"/>
        <w:rPr>
          <w:rFonts w:ascii="Arial" w:hAnsi="Arial" w:cs="Arial"/>
          <w:sz w:val="20"/>
          <w:szCs w:val="20"/>
          <w:lang w:val="en-MY" w:eastAsia="en-MY"/>
        </w:rPr>
      </w:pPr>
      <w:r w:rsidRPr="000F003D">
        <w:rPr>
          <w:rFonts w:ascii="Arial" w:hAnsi="Arial" w:cs="Arial"/>
          <w:sz w:val="20"/>
          <w:szCs w:val="20"/>
          <w:lang w:val="en-MY" w:eastAsia="en-MY"/>
        </w:rPr>
        <w:t>Figure 3: PWV results</w:t>
      </w:r>
    </w:p>
    <w:p w:rsidR="000F003D" w:rsidRPr="000F003D" w:rsidRDefault="000F003D" w:rsidP="000F003D">
      <w:pPr>
        <w:jc w:val="both"/>
        <w:rPr>
          <w:rFonts w:ascii="Arial" w:hAnsi="Arial" w:cs="Arial"/>
          <w:sz w:val="20"/>
          <w:szCs w:val="20"/>
        </w:rPr>
      </w:pPr>
    </w:p>
    <w:p w:rsidR="000F003D" w:rsidRPr="000F003D" w:rsidRDefault="000F003D" w:rsidP="000F003D">
      <w:pPr>
        <w:jc w:val="both"/>
        <w:rPr>
          <w:rFonts w:ascii="Arial" w:hAnsi="Arial" w:cs="Arial"/>
          <w:sz w:val="20"/>
          <w:szCs w:val="20"/>
        </w:rPr>
      </w:pPr>
      <w:r w:rsidRPr="000F003D">
        <w:rPr>
          <w:rFonts w:ascii="Arial" w:hAnsi="Arial" w:cs="Arial"/>
          <w:sz w:val="20"/>
          <w:szCs w:val="20"/>
        </w:rPr>
        <w:t xml:space="preserve">Both SBP and DBP found to be reduced in the first 6 weeks and maintained over the second six weeks. The physical conditioning achieved by regular walking exercise decreases the heart rate and blood pressure at rest and at a given level of exercise. Consequently, the workload on the heart is reduced and angina symptoms may be alleviated. Regular exercise also improves muscle function and increases the cardiac patient’s ability to take in and use oxygen. This is commonly referred as the maximal oxygen consumption or aerobic capacity. As the body’s ability to transport and deliver oxygen improves, the patient has added energy and less fatigue. This benefit is important for patients with cardiovascular risk whose aerobic fitness is typically less than that of healthy adults of similar age. Moreover, the greatest improvements often occur among the most unfit. Walking exercise training programs can result in modest decreases in body weight and fat stores, blood pressure (particularly in persons with elevated resting blood pressure), serum triglycerides, and low-density lipoprotein cholesterol, and increases in the “protective” high density lipoprotein cholesterol. Although the effect of an exercise program on any single risk factor may generally be small, the effect of continued, moderate exercise on overall cardiovascular risk, when combined with other lifestyle modifications (such as proper nutrition, smoking </w:t>
      </w:r>
      <w:r w:rsidRPr="000F003D">
        <w:rPr>
          <w:rFonts w:ascii="Arial" w:hAnsi="Arial" w:cs="Arial"/>
          <w:sz w:val="20"/>
          <w:szCs w:val="20"/>
        </w:rPr>
        <w:lastRenderedPageBreak/>
        <w:t>cessation, and medication use), can be dramatic. In terms of PWV and PPGF, walking exercise improved indices of arterial stiffness and wave reflection significantly. The study showed that some forms of walking exercise may be associated with beneficial effect on arterial stiffness. Therefore, further studies are required to investigate the effect of walking exercise alone, or in combination with other types of exercise, on indices of arterial stiffness and wave reflection.</w:t>
      </w:r>
    </w:p>
    <w:p w:rsidR="000F003D" w:rsidRPr="00B268FA" w:rsidRDefault="000F003D" w:rsidP="00B268FA">
      <w:pPr>
        <w:ind w:firstLine="90"/>
        <w:rPr>
          <w:rFonts w:ascii="Arial" w:hAnsi="Arial" w:cs="Arial"/>
          <w:b/>
          <w:sz w:val="20"/>
          <w:szCs w:val="20"/>
        </w:rPr>
      </w:pPr>
    </w:p>
    <w:p w:rsidR="00B268FA" w:rsidRPr="003E51AB" w:rsidRDefault="00B268FA" w:rsidP="003E51AB">
      <w:pPr>
        <w:shd w:val="clear" w:color="auto" w:fill="FFFFFF"/>
        <w:spacing w:after="0" w:line="240" w:lineRule="auto"/>
        <w:rPr>
          <w:rFonts w:ascii="Arial" w:eastAsia="Times New Roman" w:hAnsi="Arial" w:cs="Arial"/>
          <w:color w:val="222222"/>
          <w:sz w:val="20"/>
          <w:szCs w:val="20"/>
        </w:rPr>
      </w:pPr>
    </w:p>
    <w:p w:rsidR="003E51AB" w:rsidRPr="003E51AB" w:rsidRDefault="00B268FA" w:rsidP="003E51AB">
      <w:pPr>
        <w:shd w:val="clear" w:color="auto" w:fill="FFFFFF"/>
        <w:spacing w:after="0" w:line="240" w:lineRule="auto"/>
        <w:rPr>
          <w:rFonts w:ascii="Arial" w:eastAsia="Times New Roman" w:hAnsi="Arial" w:cs="Arial"/>
          <w:color w:val="222222"/>
          <w:sz w:val="20"/>
          <w:szCs w:val="20"/>
        </w:rPr>
      </w:pPr>
      <w:r w:rsidRPr="00B268FA">
        <w:rPr>
          <w:rFonts w:ascii="Arial" w:eastAsia="Times New Roman" w:hAnsi="Arial" w:cs="Arial"/>
          <w:color w:val="222222"/>
          <w:sz w:val="20"/>
          <w:szCs w:val="20"/>
        </w:rPr>
        <w:t xml:space="preserve">9.0 </w:t>
      </w:r>
      <w:r w:rsidR="003E51AB" w:rsidRPr="003E51AB">
        <w:rPr>
          <w:rFonts w:ascii="Arial" w:eastAsia="Times New Roman" w:hAnsi="Arial" w:cs="Arial"/>
          <w:color w:val="222222"/>
          <w:sz w:val="20"/>
          <w:szCs w:val="20"/>
        </w:rPr>
        <w:t>Health Maintenance Model</w:t>
      </w:r>
      <w:r w:rsidR="003E51AB" w:rsidRPr="00B268FA">
        <w:rPr>
          <w:rFonts w:ascii="Arial" w:eastAsia="Times New Roman" w:hAnsi="Arial" w:cs="Arial"/>
          <w:color w:val="222222"/>
          <w:sz w:val="20"/>
          <w:szCs w:val="20"/>
        </w:rPr>
        <w:t> </w:t>
      </w:r>
      <w:r w:rsidR="003E51AB" w:rsidRPr="003E51AB">
        <w:rPr>
          <w:rFonts w:ascii="Arial" w:eastAsia="Times New Roman" w:hAnsi="Arial" w:cs="Arial"/>
          <w:b/>
          <w:bCs/>
          <w:color w:val="4C1130"/>
          <w:sz w:val="20"/>
          <w:szCs w:val="20"/>
        </w:rPr>
        <w:t>(I will write)</w:t>
      </w:r>
    </w:p>
    <w:p w:rsidR="003E51AB" w:rsidRPr="003E51AB" w:rsidRDefault="003E51AB" w:rsidP="003E51AB">
      <w:pPr>
        <w:shd w:val="clear" w:color="auto" w:fill="FFFFFF"/>
        <w:spacing w:after="0" w:line="240" w:lineRule="auto"/>
        <w:rPr>
          <w:rFonts w:ascii="Arial" w:eastAsia="Times New Roman" w:hAnsi="Arial" w:cs="Arial"/>
          <w:color w:val="222222"/>
          <w:sz w:val="20"/>
          <w:szCs w:val="20"/>
        </w:rPr>
      </w:pPr>
    </w:p>
    <w:p w:rsidR="003E51AB" w:rsidRPr="00B268FA" w:rsidRDefault="00B268FA" w:rsidP="003E51AB">
      <w:pPr>
        <w:shd w:val="clear" w:color="auto" w:fill="FFFFFF"/>
        <w:spacing w:after="0" w:line="240" w:lineRule="auto"/>
        <w:rPr>
          <w:rFonts w:ascii="Arial" w:eastAsia="Times New Roman" w:hAnsi="Arial" w:cs="Arial"/>
          <w:b/>
          <w:bCs/>
          <w:color w:val="4C1130"/>
          <w:sz w:val="20"/>
          <w:szCs w:val="20"/>
        </w:rPr>
      </w:pPr>
      <w:r w:rsidRPr="00B268FA">
        <w:rPr>
          <w:rFonts w:ascii="Arial" w:eastAsia="Times New Roman" w:hAnsi="Arial" w:cs="Arial"/>
          <w:color w:val="000000"/>
          <w:sz w:val="20"/>
          <w:szCs w:val="20"/>
        </w:rPr>
        <w:t xml:space="preserve">10.0 </w:t>
      </w:r>
      <w:proofErr w:type="gramStart"/>
      <w:r w:rsidR="003E51AB" w:rsidRPr="003E51AB">
        <w:rPr>
          <w:rFonts w:ascii="Arial" w:eastAsia="Times New Roman" w:hAnsi="Arial" w:cs="Arial"/>
          <w:color w:val="000000"/>
          <w:sz w:val="20"/>
          <w:szCs w:val="20"/>
        </w:rPr>
        <w:t>Conclusion</w:t>
      </w:r>
      <w:r w:rsidR="003E51AB" w:rsidRPr="003E51AB">
        <w:rPr>
          <w:rFonts w:ascii="Arial" w:eastAsia="Times New Roman" w:hAnsi="Arial" w:cs="Arial"/>
          <w:b/>
          <w:bCs/>
          <w:color w:val="4C1130"/>
          <w:sz w:val="20"/>
          <w:szCs w:val="20"/>
        </w:rPr>
        <w:t> </w:t>
      </w:r>
      <w:r w:rsidR="003E51AB" w:rsidRPr="003E51AB">
        <w:rPr>
          <w:rFonts w:ascii="Arial" w:eastAsia="Times New Roman" w:hAnsi="Arial" w:cs="Arial"/>
          <w:color w:val="222222"/>
          <w:sz w:val="20"/>
          <w:szCs w:val="20"/>
        </w:rPr>
        <w:t> </w:t>
      </w:r>
      <w:r w:rsidR="003E51AB" w:rsidRPr="003E51AB">
        <w:rPr>
          <w:rFonts w:ascii="Arial" w:eastAsia="Times New Roman" w:hAnsi="Arial" w:cs="Arial"/>
          <w:b/>
          <w:bCs/>
          <w:color w:val="4C1130"/>
          <w:sz w:val="20"/>
          <w:szCs w:val="20"/>
        </w:rPr>
        <w:t>(</w:t>
      </w:r>
      <w:proofErr w:type="gramEnd"/>
      <w:r w:rsidR="003E51AB" w:rsidRPr="003E51AB">
        <w:rPr>
          <w:rFonts w:ascii="Arial" w:eastAsia="Times New Roman" w:hAnsi="Arial" w:cs="Arial"/>
          <w:b/>
          <w:bCs/>
          <w:color w:val="4C1130"/>
          <w:sz w:val="20"/>
          <w:szCs w:val="20"/>
        </w:rPr>
        <w:t>I will write)</w:t>
      </w:r>
    </w:p>
    <w:p w:rsidR="00B268FA" w:rsidRDefault="00B268FA" w:rsidP="003E51AB">
      <w:pPr>
        <w:shd w:val="clear" w:color="auto" w:fill="FFFFFF"/>
        <w:spacing w:after="0" w:line="240" w:lineRule="auto"/>
        <w:rPr>
          <w:rFonts w:ascii="Arial" w:eastAsia="Times New Roman" w:hAnsi="Arial" w:cs="Arial"/>
          <w:b/>
          <w:bCs/>
          <w:color w:val="4C1130"/>
          <w:sz w:val="20"/>
          <w:szCs w:val="20"/>
        </w:rPr>
      </w:pPr>
    </w:p>
    <w:p w:rsidR="000F003D" w:rsidRPr="000F003D" w:rsidRDefault="000F003D" w:rsidP="000F003D">
      <w:pPr>
        <w:jc w:val="both"/>
        <w:rPr>
          <w:rFonts w:ascii="Arial" w:hAnsi="Arial" w:cs="Arial"/>
          <w:sz w:val="20"/>
          <w:szCs w:val="20"/>
          <w:lang w:val="en-GB"/>
        </w:rPr>
      </w:pPr>
      <w:r w:rsidRPr="000F003D">
        <w:rPr>
          <w:rFonts w:ascii="Arial" w:hAnsi="Arial" w:cs="Arial"/>
          <w:sz w:val="20"/>
          <w:szCs w:val="20"/>
          <w:lang w:val="en-GB"/>
        </w:rPr>
        <w:t>A pedometer-based walking programme in the workplace may be an effective strategy for promoting increased daily physical activity which improves lipid profile after 12 weeks and thus improve cardiovascular health. Findings from this study will provide future direction for community based physical activity. Physical health and work performance of the employee are directly related. A healthy work environment will help in improving productivity.</w:t>
      </w:r>
    </w:p>
    <w:p w:rsidR="000F003D" w:rsidRPr="000F003D" w:rsidRDefault="000F003D" w:rsidP="000F003D">
      <w:pPr>
        <w:pStyle w:val="Heading1"/>
        <w:rPr>
          <w:rFonts w:ascii="Arial" w:hAnsi="Arial" w:cs="Arial"/>
          <w:sz w:val="20"/>
        </w:rPr>
      </w:pPr>
      <w:r w:rsidRPr="000F003D">
        <w:rPr>
          <w:rFonts w:ascii="Arial" w:hAnsi="Arial" w:cs="Arial"/>
          <w:b w:val="0"/>
          <w:sz w:val="20"/>
        </w:rPr>
        <w:t xml:space="preserve">The study concludes that, pedometer based walking activity for 5 days a week has the potential to improve the quality of life. Motivation with a pedometer has addressed the first challenge in maintaining the sufficient amount of exercise by target step counts and improves quality of life. The second challenge which was the exercise outcome measuring has positive outcomes in BMI, waist circumferences, systolic and diastolic blood pressure measurement, PWV and the newly proposed PPGF index are significant in </w:t>
      </w:r>
      <w:bookmarkStart w:id="0" w:name="_GoBack"/>
      <w:bookmarkEnd w:id="0"/>
      <w:r w:rsidRPr="000F003D">
        <w:rPr>
          <w:rFonts w:ascii="Arial" w:hAnsi="Arial" w:cs="Arial"/>
          <w:b w:val="0"/>
          <w:sz w:val="20"/>
        </w:rPr>
        <w:t>being a measure for the improved lifestyle based on pedometer walking. This result indicates that PPGF is a potential marker to monitor cardiovascular risk which needs further investigation</w:t>
      </w:r>
      <w:r w:rsidRPr="000F003D">
        <w:rPr>
          <w:rFonts w:ascii="Arial" w:hAnsi="Arial" w:cs="Arial"/>
          <w:sz w:val="20"/>
        </w:rPr>
        <w:t>.</w:t>
      </w:r>
    </w:p>
    <w:p w:rsidR="000F003D" w:rsidRPr="000F003D" w:rsidRDefault="000F003D" w:rsidP="003E51AB">
      <w:pPr>
        <w:shd w:val="clear" w:color="auto" w:fill="FFFFFF"/>
        <w:spacing w:after="0" w:line="240" w:lineRule="auto"/>
        <w:rPr>
          <w:rFonts w:ascii="Arial" w:eastAsia="Times New Roman" w:hAnsi="Arial" w:cs="Arial"/>
          <w:b/>
          <w:bCs/>
          <w:color w:val="4C1130"/>
          <w:sz w:val="20"/>
          <w:szCs w:val="20"/>
        </w:rPr>
      </w:pPr>
    </w:p>
    <w:p w:rsidR="00B268FA" w:rsidRPr="003E51AB" w:rsidRDefault="00B268FA" w:rsidP="003E51AB">
      <w:pPr>
        <w:shd w:val="clear" w:color="auto" w:fill="FFFFFF"/>
        <w:spacing w:after="0" w:line="240" w:lineRule="auto"/>
        <w:rPr>
          <w:rFonts w:ascii="Arial" w:eastAsia="Times New Roman" w:hAnsi="Arial" w:cs="Arial"/>
          <w:color w:val="222222"/>
          <w:sz w:val="20"/>
          <w:szCs w:val="20"/>
        </w:rPr>
      </w:pPr>
      <w:r w:rsidRPr="00B268FA">
        <w:rPr>
          <w:rFonts w:ascii="Arial" w:eastAsia="Times New Roman" w:hAnsi="Arial" w:cs="Arial"/>
          <w:b/>
          <w:bCs/>
          <w:color w:val="4C1130"/>
          <w:sz w:val="20"/>
          <w:szCs w:val="20"/>
        </w:rPr>
        <w:t>11.0 References</w:t>
      </w:r>
    </w:p>
    <w:p w:rsidR="003E51AB" w:rsidRDefault="003E51AB" w:rsidP="00E4387A">
      <w:pPr>
        <w:spacing w:after="0" w:line="240" w:lineRule="auto"/>
        <w:jc w:val="both"/>
        <w:rPr>
          <w:rFonts w:ascii="Arial" w:hAnsi="Arial" w:cs="Arial"/>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8"/>
      </w:tblGrid>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Adediran</w:t>
            </w:r>
            <w:proofErr w:type="spellEnd"/>
            <w:r w:rsidRPr="006F3836">
              <w:rPr>
                <w:rFonts w:ascii="Arial" w:hAnsi="Arial" w:cs="Arial"/>
                <w:bCs/>
                <w:iCs/>
                <w:sz w:val="20"/>
                <w:szCs w:val="20"/>
              </w:rPr>
              <w:t xml:space="preserve"> O, </w:t>
            </w:r>
            <w:proofErr w:type="spellStart"/>
            <w:r w:rsidRPr="006F3836">
              <w:rPr>
                <w:rFonts w:ascii="Arial" w:hAnsi="Arial" w:cs="Arial"/>
                <w:bCs/>
                <w:iCs/>
                <w:sz w:val="20"/>
                <w:szCs w:val="20"/>
              </w:rPr>
              <w:t>Akintunde</w:t>
            </w:r>
            <w:proofErr w:type="spellEnd"/>
            <w:r w:rsidRPr="006F3836">
              <w:rPr>
                <w:rFonts w:ascii="Arial" w:hAnsi="Arial" w:cs="Arial"/>
                <w:bCs/>
                <w:iCs/>
                <w:sz w:val="20"/>
                <w:szCs w:val="20"/>
              </w:rPr>
              <w:t xml:space="preserve"> AA, Edo AE, </w:t>
            </w:r>
            <w:proofErr w:type="spellStart"/>
            <w:r w:rsidRPr="006F3836">
              <w:rPr>
                <w:rFonts w:ascii="Arial" w:hAnsi="Arial" w:cs="Arial"/>
                <w:bCs/>
                <w:iCs/>
                <w:sz w:val="20"/>
                <w:szCs w:val="20"/>
              </w:rPr>
              <w:t>Opadijo</w:t>
            </w:r>
            <w:proofErr w:type="spellEnd"/>
            <w:r w:rsidRPr="006F3836">
              <w:rPr>
                <w:rFonts w:ascii="Arial" w:hAnsi="Arial" w:cs="Arial"/>
                <w:bCs/>
                <w:iCs/>
                <w:sz w:val="20"/>
                <w:szCs w:val="20"/>
              </w:rPr>
              <w:t xml:space="preserve"> OG, </w:t>
            </w:r>
            <w:proofErr w:type="spellStart"/>
            <w:r w:rsidRPr="006F3836">
              <w:rPr>
                <w:rFonts w:ascii="Arial" w:hAnsi="Arial" w:cs="Arial"/>
                <w:bCs/>
                <w:iCs/>
                <w:sz w:val="20"/>
                <w:szCs w:val="20"/>
              </w:rPr>
              <w:t>Araoye</w:t>
            </w:r>
            <w:proofErr w:type="spellEnd"/>
            <w:r w:rsidRPr="006F3836">
              <w:rPr>
                <w:rFonts w:ascii="Arial" w:hAnsi="Arial" w:cs="Arial"/>
                <w:bCs/>
                <w:iCs/>
                <w:sz w:val="20"/>
                <w:szCs w:val="20"/>
              </w:rPr>
              <w:t xml:space="preserve"> AM. (2012). Impact of </w:t>
            </w:r>
            <w:proofErr w:type="spellStart"/>
            <w:r w:rsidRPr="006F3836">
              <w:rPr>
                <w:rFonts w:ascii="Arial" w:hAnsi="Arial" w:cs="Arial"/>
                <w:bCs/>
                <w:iCs/>
                <w:sz w:val="20"/>
                <w:szCs w:val="20"/>
              </w:rPr>
              <w:t>Urabnization</w:t>
            </w:r>
            <w:proofErr w:type="spellEnd"/>
            <w:r w:rsidRPr="006F3836">
              <w:rPr>
                <w:rFonts w:ascii="Arial" w:hAnsi="Arial" w:cs="Arial"/>
                <w:bCs/>
                <w:iCs/>
                <w:sz w:val="20"/>
                <w:szCs w:val="20"/>
              </w:rPr>
              <w:t xml:space="preserve"> and Gender on Frequency of Metabolic Syndrome Among Native Abuja Settlers in Nigeria. </w:t>
            </w:r>
            <w:r w:rsidRPr="006F3836">
              <w:rPr>
                <w:rFonts w:ascii="Arial" w:hAnsi="Arial" w:cs="Arial"/>
                <w:bCs/>
                <w:i/>
                <w:iCs/>
                <w:sz w:val="20"/>
                <w:szCs w:val="20"/>
              </w:rPr>
              <w:t xml:space="preserve">J </w:t>
            </w:r>
            <w:proofErr w:type="spellStart"/>
            <w:r w:rsidRPr="006F3836">
              <w:rPr>
                <w:rFonts w:ascii="Arial" w:hAnsi="Arial" w:cs="Arial"/>
                <w:bCs/>
                <w:i/>
                <w:iCs/>
                <w:sz w:val="20"/>
                <w:szCs w:val="20"/>
              </w:rPr>
              <w:t>Cardiovasc</w:t>
            </w:r>
            <w:proofErr w:type="spellEnd"/>
            <w:r w:rsidRPr="006F3836">
              <w:rPr>
                <w:rFonts w:ascii="Arial" w:hAnsi="Arial" w:cs="Arial"/>
                <w:bCs/>
                <w:i/>
                <w:iCs/>
                <w:sz w:val="20"/>
                <w:szCs w:val="20"/>
              </w:rPr>
              <w:t xml:space="preserve"> Dis Res,</w:t>
            </w:r>
            <w:r w:rsidRPr="006F3836">
              <w:rPr>
                <w:rFonts w:ascii="Arial" w:hAnsi="Arial" w:cs="Arial"/>
                <w:bCs/>
                <w:iCs/>
                <w:sz w:val="20"/>
                <w:szCs w:val="20"/>
              </w:rPr>
              <w:t>3:191-196.</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Alberti</w:t>
            </w:r>
            <w:proofErr w:type="spellEnd"/>
            <w:r w:rsidRPr="006F3836">
              <w:rPr>
                <w:rFonts w:ascii="Arial" w:hAnsi="Arial" w:cs="Arial"/>
                <w:bCs/>
                <w:iCs/>
                <w:sz w:val="20"/>
                <w:szCs w:val="20"/>
              </w:rPr>
              <w:t xml:space="preserve">, K.G., &amp; </w:t>
            </w:r>
            <w:proofErr w:type="spellStart"/>
            <w:r w:rsidRPr="006F3836">
              <w:rPr>
                <w:rFonts w:ascii="Arial" w:hAnsi="Arial" w:cs="Arial"/>
                <w:bCs/>
                <w:iCs/>
                <w:sz w:val="20"/>
                <w:szCs w:val="20"/>
              </w:rPr>
              <w:t>Zimmet</w:t>
            </w:r>
            <w:proofErr w:type="spellEnd"/>
            <w:r w:rsidRPr="006F3836">
              <w:rPr>
                <w:rFonts w:ascii="Arial" w:hAnsi="Arial" w:cs="Arial"/>
                <w:bCs/>
                <w:iCs/>
                <w:sz w:val="20"/>
                <w:szCs w:val="20"/>
              </w:rPr>
              <w:t xml:space="preserve">, P.Z. (1998). Definition, diagnosis and classification of diabetes mellitus and its complications.  Part 1: diagnosis and classification of diabetes mellitus provisional report of a WHO consultation.  </w:t>
            </w:r>
            <w:r w:rsidRPr="006F3836">
              <w:rPr>
                <w:rFonts w:ascii="Arial" w:hAnsi="Arial" w:cs="Arial"/>
                <w:bCs/>
                <w:i/>
                <w:iCs/>
                <w:sz w:val="20"/>
                <w:szCs w:val="20"/>
              </w:rPr>
              <w:t xml:space="preserve">Diabetic Med.,15, </w:t>
            </w:r>
            <w:r w:rsidRPr="006F3836">
              <w:rPr>
                <w:rFonts w:ascii="Arial" w:hAnsi="Arial" w:cs="Arial"/>
                <w:bCs/>
                <w:iCs/>
                <w:sz w:val="20"/>
                <w:szCs w:val="20"/>
              </w:rPr>
              <w:t>539-553.</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Alberti</w:t>
            </w:r>
            <w:proofErr w:type="spellEnd"/>
            <w:r w:rsidRPr="006F3836">
              <w:rPr>
                <w:rFonts w:ascii="Arial" w:hAnsi="Arial" w:cs="Arial"/>
                <w:bCs/>
                <w:iCs/>
                <w:sz w:val="20"/>
                <w:szCs w:val="20"/>
              </w:rPr>
              <w:t xml:space="preserve">, K.G., </w:t>
            </w:r>
            <w:proofErr w:type="spellStart"/>
            <w:r w:rsidRPr="006F3836">
              <w:rPr>
                <w:rFonts w:ascii="Arial" w:hAnsi="Arial" w:cs="Arial"/>
                <w:bCs/>
                <w:iCs/>
                <w:sz w:val="20"/>
                <w:szCs w:val="20"/>
              </w:rPr>
              <w:t>Zimmet</w:t>
            </w:r>
            <w:proofErr w:type="spellEnd"/>
            <w:r w:rsidRPr="006F3836">
              <w:rPr>
                <w:rFonts w:ascii="Arial" w:hAnsi="Arial" w:cs="Arial"/>
                <w:bCs/>
                <w:iCs/>
                <w:sz w:val="20"/>
                <w:szCs w:val="20"/>
              </w:rPr>
              <w:t xml:space="preserve">, P., &amp; Shaw, J. (2006). Metabolic syndrome - a new world-wide definition. A Consensus Statement from the International Diabetes Federation. </w:t>
            </w:r>
            <w:proofErr w:type="spellStart"/>
            <w:r w:rsidRPr="006F3836">
              <w:rPr>
                <w:rFonts w:ascii="Arial" w:hAnsi="Arial" w:cs="Arial"/>
                <w:bCs/>
                <w:i/>
                <w:iCs/>
                <w:sz w:val="20"/>
                <w:szCs w:val="20"/>
              </w:rPr>
              <w:t>Diabet</w:t>
            </w:r>
            <w:proofErr w:type="spellEnd"/>
            <w:r w:rsidRPr="006F3836">
              <w:rPr>
                <w:rFonts w:ascii="Arial" w:hAnsi="Arial" w:cs="Arial"/>
                <w:bCs/>
                <w:i/>
                <w:iCs/>
                <w:sz w:val="20"/>
                <w:szCs w:val="20"/>
              </w:rPr>
              <w:t>. Med.,</w:t>
            </w:r>
            <w:r w:rsidRPr="006F3836">
              <w:rPr>
                <w:rFonts w:ascii="Arial" w:hAnsi="Arial" w:cs="Arial"/>
                <w:bCs/>
                <w:iCs/>
                <w:sz w:val="20"/>
                <w:szCs w:val="20"/>
              </w:rPr>
              <w:t xml:space="preserve"> </w:t>
            </w:r>
            <w:r w:rsidRPr="006F3836">
              <w:rPr>
                <w:rFonts w:ascii="Arial" w:hAnsi="Arial" w:cs="Arial"/>
                <w:bCs/>
                <w:i/>
                <w:iCs/>
                <w:sz w:val="20"/>
                <w:szCs w:val="20"/>
              </w:rPr>
              <w:t>23</w:t>
            </w:r>
            <w:r w:rsidRPr="006F3836">
              <w:rPr>
                <w:rFonts w:ascii="Arial" w:hAnsi="Arial" w:cs="Arial"/>
                <w:bCs/>
                <w:iCs/>
                <w:sz w:val="20"/>
                <w:szCs w:val="20"/>
              </w:rPr>
              <w:t>, 469-480.</w:t>
            </w:r>
          </w:p>
        </w:tc>
      </w:tr>
      <w:tr w:rsidR="006F3836" w:rsidRPr="006F3836" w:rsidTr="00A44DDA">
        <w:trPr>
          <w:trHeight w:val="700"/>
        </w:trPr>
        <w:tc>
          <w:tcPr>
            <w:tcW w:w="6398" w:type="dxa"/>
          </w:tcPr>
          <w:p w:rsidR="006F3836" w:rsidRPr="006F3836" w:rsidRDefault="006F3836" w:rsidP="00A44DDA">
            <w:pPr>
              <w:ind w:left="180" w:hanging="180"/>
              <w:rPr>
                <w:rFonts w:ascii="Arial" w:hAnsi="Arial" w:cs="Arial"/>
                <w:color w:val="000000"/>
                <w:spacing w:val="3"/>
                <w:sz w:val="20"/>
                <w:szCs w:val="20"/>
              </w:rPr>
            </w:pPr>
            <w:r w:rsidRPr="006F3836">
              <w:rPr>
                <w:rFonts w:ascii="Arial" w:hAnsi="Arial" w:cs="Arial"/>
                <w:color w:val="000000"/>
                <w:spacing w:val="3"/>
                <w:sz w:val="20"/>
                <w:szCs w:val="20"/>
              </w:rPr>
              <w:lastRenderedPageBreak/>
              <w:t xml:space="preserve">Allen J. (2007) </w:t>
            </w:r>
            <w:proofErr w:type="spellStart"/>
            <w:r w:rsidRPr="006F3836">
              <w:rPr>
                <w:rFonts w:ascii="Arial" w:hAnsi="Arial" w:cs="Arial"/>
                <w:color w:val="000000"/>
                <w:spacing w:val="3"/>
                <w:sz w:val="20"/>
                <w:szCs w:val="20"/>
              </w:rPr>
              <w:t>Photoplethysmography</w:t>
            </w:r>
            <w:proofErr w:type="spellEnd"/>
            <w:r w:rsidRPr="006F3836">
              <w:rPr>
                <w:rFonts w:ascii="Arial" w:hAnsi="Arial" w:cs="Arial"/>
                <w:color w:val="000000"/>
                <w:spacing w:val="3"/>
                <w:sz w:val="20"/>
                <w:szCs w:val="20"/>
              </w:rPr>
              <w:t xml:space="preserve"> &amp; Its</w:t>
            </w:r>
          </w:p>
          <w:p w:rsidR="006F3836" w:rsidRPr="006F3836" w:rsidRDefault="006F3836" w:rsidP="00A44DDA">
            <w:pPr>
              <w:ind w:left="180" w:hanging="180"/>
              <w:rPr>
                <w:rFonts w:ascii="Arial" w:hAnsi="Arial" w:cs="Arial"/>
                <w:color w:val="000000"/>
                <w:spacing w:val="3"/>
                <w:sz w:val="20"/>
                <w:szCs w:val="20"/>
              </w:rPr>
            </w:pPr>
            <w:r w:rsidRPr="006F3836">
              <w:rPr>
                <w:rFonts w:ascii="Arial" w:hAnsi="Arial" w:cs="Arial"/>
                <w:color w:val="000000"/>
                <w:spacing w:val="3"/>
                <w:sz w:val="20"/>
                <w:szCs w:val="20"/>
              </w:rPr>
              <w:t xml:space="preserve">Application in Clinical Physiological Measurement. </w:t>
            </w:r>
            <w:r w:rsidRPr="006F3836">
              <w:rPr>
                <w:rFonts w:ascii="Arial" w:hAnsi="Arial" w:cs="Arial"/>
                <w:i/>
                <w:color w:val="000000"/>
                <w:spacing w:val="3"/>
                <w:sz w:val="20"/>
                <w:szCs w:val="20"/>
              </w:rPr>
              <w:t xml:space="preserve">Physiol. </w:t>
            </w:r>
            <w:proofErr w:type="spellStart"/>
            <w:r w:rsidRPr="006F3836">
              <w:rPr>
                <w:rFonts w:ascii="Arial" w:hAnsi="Arial" w:cs="Arial"/>
                <w:i/>
                <w:color w:val="000000"/>
                <w:spacing w:val="3"/>
                <w:sz w:val="20"/>
                <w:szCs w:val="20"/>
              </w:rPr>
              <w:t>Meas</w:t>
            </w:r>
            <w:proofErr w:type="spellEnd"/>
            <w:r w:rsidRPr="006F3836">
              <w:rPr>
                <w:rFonts w:ascii="Arial" w:hAnsi="Arial" w:cs="Arial"/>
                <w:i/>
                <w:color w:val="000000"/>
                <w:spacing w:val="3"/>
                <w:sz w:val="20"/>
                <w:szCs w:val="20"/>
              </w:rPr>
              <w:t xml:space="preserve">, 28, </w:t>
            </w:r>
            <w:r w:rsidRPr="006F3836">
              <w:rPr>
                <w:rFonts w:ascii="Arial" w:hAnsi="Arial" w:cs="Arial"/>
                <w:color w:val="000000"/>
                <w:spacing w:val="3"/>
                <w:sz w:val="20"/>
                <w:szCs w:val="20"/>
              </w:rPr>
              <w:t>R1-R39.</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proofErr w:type="spellStart"/>
            <w:r w:rsidRPr="006F3836">
              <w:rPr>
                <w:rFonts w:ascii="Arial" w:hAnsi="Arial" w:cs="Arial"/>
                <w:sz w:val="20"/>
                <w:szCs w:val="20"/>
              </w:rPr>
              <w:t>Beaglehole</w:t>
            </w:r>
            <w:proofErr w:type="spellEnd"/>
            <w:r w:rsidRPr="006F3836">
              <w:rPr>
                <w:rFonts w:ascii="Arial" w:hAnsi="Arial" w:cs="Arial"/>
                <w:sz w:val="20"/>
                <w:szCs w:val="20"/>
              </w:rPr>
              <w:t xml:space="preserve">, R; </w:t>
            </w:r>
            <w:proofErr w:type="spellStart"/>
            <w:r w:rsidRPr="006F3836">
              <w:rPr>
                <w:rFonts w:ascii="Arial" w:hAnsi="Arial" w:cs="Arial"/>
                <w:sz w:val="20"/>
                <w:szCs w:val="20"/>
              </w:rPr>
              <w:t>Ebrahim</w:t>
            </w:r>
            <w:proofErr w:type="spellEnd"/>
            <w:r w:rsidRPr="006F3836">
              <w:rPr>
                <w:rFonts w:ascii="Arial" w:hAnsi="Arial" w:cs="Arial"/>
                <w:sz w:val="20"/>
                <w:szCs w:val="20"/>
              </w:rPr>
              <w:t xml:space="preserve">, S; </w:t>
            </w:r>
            <w:proofErr w:type="spellStart"/>
            <w:r w:rsidRPr="006F3836">
              <w:rPr>
                <w:rFonts w:ascii="Arial" w:hAnsi="Arial" w:cs="Arial"/>
                <w:sz w:val="20"/>
                <w:szCs w:val="20"/>
              </w:rPr>
              <w:t>Voute</w:t>
            </w:r>
            <w:proofErr w:type="spellEnd"/>
            <w:r w:rsidRPr="006F3836">
              <w:rPr>
                <w:rFonts w:ascii="Arial" w:hAnsi="Arial" w:cs="Arial"/>
                <w:sz w:val="20"/>
                <w:szCs w:val="20"/>
              </w:rPr>
              <w:t xml:space="preserve">, J; </w:t>
            </w:r>
            <w:proofErr w:type="spellStart"/>
            <w:r w:rsidRPr="006F3836">
              <w:rPr>
                <w:rFonts w:ascii="Arial" w:hAnsi="Arial" w:cs="Arial"/>
                <w:sz w:val="20"/>
                <w:szCs w:val="20"/>
              </w:rPr>
              <w:t>Leeder</w:t>
            </w:r>
            <w:proofErr w:type="spellEnd"/>
            <w:r w:rsidRPr="006F3836">
              <w:rPr>
                <w:rFonts w:ascii="Arial" w:hAnsi="Arial" w:cs="Arial"/>
                <w:sz w:val="20"/>
                <w:szCs w:val="20"/>
              </w:rPr>
              <w:t>, S. (2007). Prevention of Chronic Disease: A Call to Action</w:t>
            </w:r>
            <w:r w:rsidRPr="006F3836">
              <w:rPr>
                <w:rFonts w:ascii="Arial" w:hAnsi="Arial" w:cs="Arial"/>
                <w:i/>
                <w:sz w:val="20"/>
                <w:szCs w:val="20"/>
              </w:rPr>
              <w:t xml:space="preserve">, Lancet 370, </w:t>
            </w:r>
            <w:r w:rsidRPr="006F3836">
              <w:rPr>
                <w:rFonts w:ascii="Arial" w:hAnsi="Arial" w:cs="Arial"/>
                <w:sz w:val="20"/>
                <w:szCs w:val="20"/>
              </w:rPr>
              <w:t>2152-2157.</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sz w:val="20"/>
                <w:szCs w:val="20"/>
              </w:rPr>
              <w:t xml:space="preserve">Bjork Petersen, C., </w:t>
            </w:r>
            <w:proofErr w:type="spellStart"/>
            <w:r w:rsidRPr="006F3836">
              <w:rPr>
                <w:rFonts w:ascii="Arial" w:hAnsi="Arial" w:cs="Arial"/>
                <w:sz w:val="20"/>
                <w:szCs w:val="20"/>
              </w:rPr>
              <w:t>Severin</w:t>
            </w:r>
            <w:proofErr w:type="spellEnd"/>
            <w:r w:rsidRPr="006F3836">
              <w:rPr>
                <w:rFonts w:ascii="Arial" w:hAnsi="Arial" w:cs="Arial"/>
                <w:sz w:val="20"/>
                <w:szCs w:val="20"/>
              </w:rPr>
              <w:t xml:space="preserve">, M., Wolff Hansen, A., Curtis, T., </w:t>
            </w:r>
            <w:proofErr w:type="spellStart"/>
            <w:r w:rsidRPr="006F3836">
              <w:rPr>
                <w:rFonts w:ascii="Arial" w:hAnsi="Arial" w:cs="Arial"/>
                <w:sz w:val="20"/>
                <w:szCs w:val="20"/>
              </w:rPr>
              <w:t>Grønbæk</w:t>
            </w:r>
            <w:proofErr w:type="spellEnd"/>
            <w:r w:rsidRPr="006F3836">
              <w:rPr>
                <w:rFonts w:ascii="Arial" w:hAnsi="Arial" w:cs="Arial"/>
                <w:sz w:val="20"/>
                <w:szCs w:val="20"/>
              </w:rPr>
              <w:t xml:space="preserve">, M., &amp; </w:t>
            </w:r>
            <w:proofErr w:type="spellStart"/>
            <w:r w:rsidRPr="006F3836">
              <w:rPr>
                <w:rFonts w:ascii="Arial" w:hAnsi="Arial" w:cs="Arial"/>
                <w:sz w:val="20"/>
                <w:szCs w:val="20"/>
              </w:rPr>
              <w:t>Schurmann</w:t>
            </w:r>
            <w:proofErr w:type="spellEnd"/>
            <w:r w:rsidRPr="006F3836">
              <w:rPr>
                <w:rFonts w:ascii="Arial" w:hAnsi="Arial" w:cs="Arial"/>
                <w:sz w:val="20"/>
                <w:szCs w:val="20"/>
              </w:rPr>
              <w:t xml:space="preserve"> </w:t>
            </w:r>
            <w:proofErr w:type="spellStart"/>
            <w:r w:rsidRPr="006F3836">
              <w:rPr>
                <w:rFonts w:ascii="Arial" w:hAnsi="Arial" w:cs="Arial"/>
                <w:sz w:val="20"/>
                <w:szCs w:val="20"/>
              </w:rPr>
              <w:t>Tolstrup</w:t>
            </w:r>
            <w:proofErr w:type="spellEnd"/>
            <w:r w:rsidRPr="006F3836">
              <w:rPr>
                <w:rFonts w:ascii="Arial" w:hAnsi="Arial" w:cs="Arial"/>
                <w:sz w:val="20"/>
                <w:szCs w:val="20"/>
              </w:rPr>
              <w:t xml:space="preserve">, J. (2012). A population-based randomized controlled trail of the effect of combining a pedometer with an intervention toolkit on physical activity among individuals with low levels of physical activity or fitness. </w:t>
            </w:r>
            <w:r w:rsidRPr="006F3836">
              <w:rPr>
                <w:rFonts w:ascii="Arial" w:hAnsi="Arial" w:cs="Arial"/>
                <w:i/>
                <w:sz w:val="20"/>
                <w:szCs w:val="20"/>
              </w:rPr>
              <w:t>Prev. Med., 54,</w:t>
            </w:r>
            <w:r w:rsidRPr="006F3836">
              <w:rPr>
                <w:rFonts w:ascii="Arial" w:hAnsi="Arial" w:cs="Arial"/>
                <w:sz w:val="20"/>
                <w:szCs w:val="20"/>
              </w:rPr>
              <w:t>125–130.</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proofErr w:type="spellStart"/>
            <w:r w:rsidRPr="006F3836">
              <w:rPr>
                <w:rFonts w:ascii="Arial" w:hAnsi="Arial" w:cs="Arial"/>
                <w:sz w:val="20"/>
                <w:szCs w:val="20"/>
              </w:rPr>
              <w:t>Bravata</w:t>
            </w:r>
            <w:proofErr w:type="spellEnd"/>
            <w:r w:rsidRPr="006F3836">
              <w:rPr>
                <w:rFonts w:ascii="Arial" w:hAnsi="Arial" w:cs="Arial"/>
                <w:sz w:val="20"/>
                <w:szCs w:val="20"/>
              </w:rPr>
              <w:t xml:space="preserve">, D.M., Smith-Spangler, C., </w:t>
            </w:r>
            <w:proofErr w:type="spellStart"/>
            <w:r w:rsidRPr="006F3836">
              <w:rPr>
                <w:rFonts w:ascii="Arial" w:hAnsi="Arial" w:cs="Arial"/>
                <w:sz w:val="20"/>
                <w:szCs w:val="20"/>
              </w:rPr>
              <w:t>Sundaram</w:t>
            </w:r>
            <w:proofErr w:type="spellEnd"/>
            <w:r w:rsidRPr="006F3836">
              <w:rPr>
                <w:rFonts w:ascii="Arial" w:hAnsi="Arial" w:cs="Arial"/>
                <w:sz w:val="20"/>
                <w:szCs w:val="20"/>
              </w:rPr>
              <w:t xml:space="preserve">, V., </w:t>
            </w:r>
            <w:proofErr w:type="spellStart"/>
            <w:r w:rsidRPr="006F3836">
              <w:rPr>
                <w:rFonts w:ascii="Arial" w:hAnsi="Arial" w:cs="Arial"/>
                <w:sz w:val="20"/>
                <w:szCs w:val="20"/>
              </w:rPr>
              <w:t>Gienger</w:t>
            </w:r>
            <w:proofErr w:type="spellEnd"/>
            <w:r w:rsidRPr="006F3836">
              <w:rPr>
                <w:rFonts w:ascii="Arial" w:hAnsi="Arial" w:cs="Arial"/>
                <w:sz w:val="20"/>
                <w:szCs w:val="20"/>
              </w:rPr>
              <w:t xml:space="preserve">, A.L., Lin, N., Lewis, R., Stave, C.D., </w:t>
            </w:r>
            <w:proofErr w:type="spellStart"/>
            <w:r w:rsidRPr="006F3836">
              <w:rPr>
                <w:rFonts w:ascii="Arial" w:hAnsi="Arial" w:cs="Arial"/>
                <w:sz w:val="20"/>
                <w:szCs w:val="20"/>
              </w:rPr>
              <w:t>Olkin</w:t>
            </w:r>
            <w:proofErr w:type="spellEnd"/>
            <w:r w:rsidRPr="006F3836">
              <w:rPr>
                <w:rFonts w:ascii="Arial" w:hAnsi="Arial" w:cs="Arial"/>
                <w:sz w:val="20"/>
                <w:szCs w:val="20"/>
              </w:rPr>
              <w:t xml:space="preserve">, I., &amp; </w:t>
            </w:r>
            <w:proofErr w:type="spellStart"/>
            <w:r w:rsidRPr="006F3836">
              <w:rPr>
                <w:rFonts w:ascii="Arial" w:hAnsi="Arial" w:cs="Arial"/>
                <w:sz w:val="20"/>
                <w:szCs w:val="20"/>
              </w:rPr>
              <w:t>Sirard</w:t>
            </w:r>
            <w:proofErr w:type="spellEnd"/>
            <w:r w:rsidRPr="006F3836">
              <w:rPr>
                <w:rFonts w:ascii="Arial" w:hAnsi="Arial" w:cs="Arial"/>
                <w:sz w:val="20"/>
                <w:szCs w:val="20"/>
              </w:rPr>
              <w:t xml:space="preserve">, J.R. (2007). Using pedometers to increase physical activity and improve health. </w:t>
            </w:r>
            <w:r w:rsidRPr="006F3836">
              <w:rPr>
                <w:rFonts w:ascii="Arial" w:hAnsi="Arial" w:cs="Arial"/>
                <w:i/>
                <w:sz w:val="20"/>
                <w:szCs w:val="20"/>
              </w:rPr>
              <w:t>JAMA</w:t>
            </w:r>
            <w:r w:rsidRPr="006F3836">
              <w:rPr>
                <w:rFonts w:ascii="Arial" w:hAnsi="Arial" w:cs="Arial"/>
                <w:sz w:val="20"/>
                <w:szCs w:val="20"/>
              </w:rPr>
              <w:t xml:space="preserve">, </w:t>
            </w:r>
            <w:r w:rsidRPr="006F3836">
              <w:rPr>
                <w:rFonts w:ascii="Arial" w:hAnsi="Arial" w:cs="Arial"/>
                <w:i/>
                <w:sz w:val="20"/>
                <w:szCs w:val="20"/>
              </w:rPr>
              <w:t>298</w:t>
            </w:r>
            <w:r w:rsidRPr="006F3836">
              <w:rPr>
                <w:rFonts w:ascii="Arial" w:hAnsi="Arial" w:cs="Arial"/>
                <w:sz w:val="20"/>
                <w:szCs w:val="20"/>
              </w:rPr>
              <w:t>, 2296–2304.</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r w:rsidRPr="006F3836">
              <w:rPr>
                <w:rFonts w:ascii="Arial" w:hAnsi="Arial" w:cs="Arial"/>
                <w:bCs/>
                <w:iCs/>
                <w:sz w:val="20"/>
                <w:szCs w:val="20"/>
              </w:rPr>
              <w:t xml:space="preserve">Catrine Tudor-Locke, Core L, Craig, Yukitoshi Aoyagi et al. (2011). How Many Steps/Day are Enough? For Older Adults and Special Populations. </w:t>
            </w:r>
            <w:r w:rsidRPr="006F3836">
              <w:rPr>
                <w:rFonts w:ascii="Arial" w:hAnsi="Arial" w:cs="Arial"/>
                <w:bCs/>
                <w:i/>
                <w:iCs/>
                <w:sz w:val="20"/>
                <w:szCs w:val="20"/>
              </w:rPr>
              <w:t xml:space="preserve">International Journal of Behavioral Nutrition &amp; Physical </w:t>
            </w:r>
            <w:proofErr w:type="spellStart"/>
            <w:r w:rsidRPr="006F3836">
              <w:rPr>
                <w:rFonts w:ascii="Arial" w:hAnsi="Arial" w:cs="Arial"/>
                <w:bCs/>
                <w:i/>
                <w:iCs/>
                <w:sz w:val="20"/>
                <w:szCs w:val="20"/>
              </w:rPr>
              <w:t>Activity,AFR</w:t>
            </w:r>
            <w:proofErr w:type="spellEnd"/>
            <w:r w:rsidRPr="006F3836">
              <w:rPr>
                <w:rFonts w:ascii="Arial" w:hAnsi="Arial" w:cs="Arial"/>
                <w:bCs/>
                <w:i/>
                <w:iCs/>
                <w:sz w:val="20"/>
                <w:szCs w:val="20"/>
              </w:rPr>
              <w:t xml:space="preserve"> J Med 31</w:t>
            </w:r>
            <w:r w:rsidRPr="006F3836">
              <w:rPr>
                <w:rFonts w:ascii="Arial" w:hAnsi="Arial" w:cs="Arial"/>
                <w:bCs/>
                <w:iCs/>
                <w:sz w:val="20"/>
                <w:szCs w:val="20"/>
              </w:rPr>
              <w:t>: 14-18.</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r w:rsidRPr="006F3836">
              <w:rPr>
                <w:rFonts w:ascii="Arial" w:hAnsi="Arial" w:cs="Arial"/>
                <w:bCs/>
                <w:iCs/>
                <w:sz w:val="20"/>
                <w:szCs w:val="20"/>
              </w:rPr>
              <w:t xml:space="preserve">Chin, K.Y., </w:t>
            </w:r>
            <w:proofErr w:type="spellStart"/>
            <w:r w:rsidRPr="006F3836">
              <w:rPr>
                <w:rFonts w:ascii="Arial" w:hAnsi="Arial" w:cs="Arial"/>
                <w:bCs/>
                <w:iCs/>
                <w:sz w:val="20"/>
                <w:szCs w:val="20"/>
              </w:rPr>
              <w:t>Soelaiman</w:t>
            </w:r>
            <w:proofErr w:type="spellEnd"/>
            <w:r w:rsidRPr="006F3836">
              <w:rPr>
                <w:rFonts w:ascii="Arial" w:hAnsi="Arial" w:cs="Arial"/>
                <w:bCs/>
                <w:iCs/>
                <w:sz w:val="20"/>
                <w:szCs w:val="20"/>
              </w:rPr>
              <w:t xml:space="preserve">, I.N., Mohamed, N., Johari, H., &amp; </w:t>
            </w:r>
            <w:proofErr w:type="spellStart"/>
            <w:r w:rsidRPr="006F3836">
              <w:rPr>
                <w:rFonts w:ascii="Arial" w:hAnsi="Arial" w:cs="Arial"/>
                <w:bCs/>
                <w:iCs/>
                <w:sz w:val="20"/>
                <w:szCs w:val="20"/>
              </w:rPr>
              <w:t>Ngah</w:t>
            </w:r>
            <w:proofErr w:type="spellEnd"/>
            <w:r w:rsidRPr="006F3836">
              <w:rPr>
                <w:rFonts w:ascii="Arial" w:hAnsi="Arial" w:cs="Arial"/>
                <w:bCs/>
                <w:iCs/>
                <w:sz w:val="20"/>
                <w:szCs w:val="20"/>
              </w:rPr>
              <w:t xml:space="preserve">, W.Z.W. (2012). Ethnicity, smoking and body composition influence testosterone and estradiol levels in healthy young adult men in Malaysia: A pilot study. </w:t>
            </w:r>
            <w:r w:rsidRPr="006F3836">
              <w:rPr>
                <w:rFonts w:ascii="Arial" w:hAnsi="Arial" w:cs="Arial"/>
                <w:bCs/>
                <w:i/>
                <w:iCs/>
                <w:sz w:val="20"/>
                <w:szCs w:val="20"/>
              </w:rPr>
              <w:t xml:space="preserve">J </w:t>
            </w:r>
            <w:proofErr w:type="spellStart"/>
            <w:r w:rsidRPr="006F3836">
              <w:rPr>
                <w:rFonts w:ascii="Arial" w:hAnsi="Arial" w:cs="Arial"/>
                <w:bCs/>
                <w:i/>
                <w:iCs/>
                <w:sz w:val="20"/>
                <w:szCs w:val="20"/>
              </w:rPr>
              <w:t>Clin</w:t>
            </w:r>
            <w:proofErr w:type="spellEnd"/>
            <w:r w:rsidRPr="006F3836">
              <w:rPr>
                <w:rFonts w:ascii="Arial" w:hAnsi="Arial" w:cs="Arial"/>
                <w:bCs/>
                <w:i/>
                <w:iCs/>
                <w:sz w:val="20"/>
                <w:szCs w:val="20"/>
              </w:rPr>
              <w:t xml:space="preserve">. </w:t>
            </w:r>
            <w:proofErr w:type="spellStart"/>
            <w:r w:rsidRPr="006F3836">
              <w:rPr>
                <w:rFonts w:ascii="Arial" w:hAnsi="Arial" w:cs="Arial"/>
                <w:bCs/>
                <w:i/>
                <w:iCs/>
                <w:sz w:val="20"/>
                <w:szCs w:val="20"/>
              </w:rPr>
              <w:t>Endocrinol</w:t>
            </w:r>
            <w:proofErr w:type="spellEnd"/>
            <w:r w:rsidRPr="006F3836">
              <w:rPr>
                <w:rFonts w:ascii="Arial" w:hAnsi="Arial" w:cs="Arial"/>
                <w:bCs/>
                <w:i/>
                <w:iCs/>
                <w:sz w:val="20"/>
                <w:szCs w:val="20"/>
              </w:rPr>
              <w:t xml:space="preserve">. </w:t>
            </w:r>
            <w:proofErr w:type="spellStart"/>
            <w:r w:rsidRPr="006F3836">
              <w:rPr>
                <w:rFonts w:ascii="Arial" w:hAnsi="Arial" w:cs="Arial"/>
                <w:bCs/>
                <w:i/>
                <w:iCs/>
                <w:sz w:val="20"/>
                <w:szCs w:val="20"/>
              </w:rPr>
              <w:t>Metab</w:t>
            </w:r>
            <w:proofErr w:type="spellEnd"/>
            <w:r w:rsidRPr="006F3836">
              <w:rPr>
                <w:rFonts w:ascii="Arial" w:hAnsi="Arial" w:cs="Arial"/>
                <w:bCs/>
                <w:i/>
                <w:iCs/>
                <w:sz w:val="20"/>
                <w:szCs w:val="20"/>
              </w:rPr>
              <w:t>., 10</w:t>
            </w:r>
            <w:r w:rsidRPr="006F3836">
              <w:rPr>
                <w:rFonts w:ascii="Arial" w:hAnsi="Arial" w:cs="Arial"/>
                <w:bCs/>
                <w:iCs/>
                <w:sz w:val="20"/>
                <w:szCs w:val="20"/>
              </w:rPr>
              <w:t>, 404-410.</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Chobanian</w:t>
            </w:r>
            <w:proofErr w:type="spellEnd"/>
            <w:r w:rsidRPr="006F3836">
              <w:rPr>
                <w:rFonts w:ascii="Arial" w:hAnsi="Arial" w:cs="Arial"/>
                <w:bCs/>
                <w:iCs/>
                <w:sz w:val="20"/>
                <w:szCs w:val="20"/>
              </w:rPr>
              <w:t xml:space="preserve">, A.V., </w:t>
            </w:r>
            <w:proofErr w:type="spellStart"/>
            <w:r w:rsidRPr="006F3836">
              <w:rPr>
                <w:rFonts w:ascii="Arial" w:hAnsi="Arial" w:cs="Arial"/>
                <w:bCs/>
                <w:iCs/>
                <w:sz w:val="20"/>
                <w:szCs w:val="20"/>
              </w:rPr>
              <w:t>Bakris</w:t>
            </w:r>
            <w:proofErr w:type="spellEnd"/>
            <w:r w:rsidRPr="006F3836">
              <w:rPr>
                <w:rFonts w:ascii="Arial" w:hAnsi="Arial" w:cs="Arial"/>
                <w:bCs/>
                <w:iCs/>
                <w:sz w:val="20"/>
                <w:szCs w:val="20"/>
              </w:rPr>
              <w:t xml:space="preserve">, G.L., Black, H.R., Cushman, W.C., Green, L.A., </w:t>
            </w:r>
            <w:proofErr w:type="spellStart"/>
            <w:r w:rsidRPr="006F3836">
              <w:rPr>
                <w:rFonts w:ascii="Arial" w:hAnsi="Arial" w:cs="Arial"/>
                <w:bCs/>
                <w:iCs/>
                <w:sz w:val="20"/>
                <w:szCs w:val="20"/>
              </w:rPr>
              <w:t>Izzo</w:t>
            </w:r>
            <w:proofErr w:type="spellEnd"/>
            <w:r w:rsidRPr="006F3836">
              <w:rPr>
                <w:rFonts w:ascii="Arial" w:hAnsi="Arial" w:cs="Arial"/>
                <w:bCs/>
                <w:iCs/>
                <w:sz w:val="20"/>
                <w:szCs w:val="20"/>
              </w:rPr>
              <w:t xml:space="preserve">, J.L. Jr., et al. (2003). Seventh report of the Joint National Committee on Prevention, Detection, Evaluation, and Treatment of High Blood Pressure. </w:t>
            </w:r>
            <w:r w:rsidRPr="006F3836">
              <w:rPr>
                <w:rFonts w:ascii="Arial" w:hAnsi="Arial" w:cs="Arial"/>
                <w:bCs/>
                <w:i/>
                <w:iCs/>
                <w:sz w:val="20"/>
                <w:szCs w:val="20"/>
              </w:rPr>
              <w:t>Hypertension, 42</w:t>
            </w:r>
            <w:r w:rsidRPr="006F3836">
              <w:rPr>
                <w:rFonts w:ascii="Arial" w:hAnsi="Arial" w:cs="Arial"/>
                <w:bCs/>
                <w:iCs/>
                <w:sz w:val="20"/>
                <w:szCs w:val="20"/>
              </w:rPr>
              <w:t>, 1206-1252.</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Chodzko-Zaiko</w:t>
            </w:r>
            <w:proofErr w:type="spellEnd"/>
            <w:r w:rsidRPr="006F3836">
              <w:rPr>
                <w:rFonts w:ascii="Arial" w:hAnsi="Arial" w:cs="Arial"/>
                <w:bCs/>
                <w:iCs/>
                <w:sz w:val="20"/>
                <w:szCs w:val="20"/>
              </w:rPr>
              <w:t xml:space="preserve">, WJ; Proctor, DN; </w:t>
            </w:r>
            <w:proofErr w:type="spellStart"/>
            <w:r w:rsidRPr="006F3836">
              <w:rPr>
                <w:rFonts w:ascii="Arial" w:hAnsi="Arial" w:cs="Arial"/>
                <w:bCs/>
                <w:iCs/>
                <w:sz w:val="20"/>
                <w:szCs w:val="20"/>
              </w:rPr>
              <w:t>Fiatarone</w:t>
            </w:r>
            <w:proofErr w:type="spellEnd"/>
            <w:r w:rsidRPr="006F3836">
              <w:rPr>
                <w:rFonts w:ascii="Arial" w:hAnsi="Arial" w:cs="Arial"/>
                <w:bCs/>
                <w:iCs/>
                <w:sz w:val="20"/>
                <w:szCs w:val="20"/>
              </w:rPr>
              <w:t xml:space="preserve"> Singh, MA; </w:t>
            </w:r>
            <w:proofErr w:type="spellStart"/>
            <w:r w:rsidRPr="006F3836">
              <w:rPr>
                <w:rFonts w:ascii="Arial" w:hAnsi="Arial" w:cs="Arial"/>
                <w:bCs/>
                <w:iCs/>
                <w:sz w:val="20"/>
                <w:szCs w:val="20"/>
              </w:rPr>
              <w:t>Minson</w:t>
            </w:r>
            <w:proofErr w:type="spellEnd"/>
            <w:r w:rsidRPr="006F3836">
              <w:rPr>
                <w:rFonts w:ascii="Arial" w:hAnsi="Arial" w:cs="Arial"/>
                <w:bCs/>
                <w:iCs/>
                <w:sz w:val="20"/>
                <w:szCs w:val="20"/>
              </w:rPr>
              <w:t xml:space="preserve">, CT; </w:t>
            </w:r>
            <w:proofErr w:type="spellStart"/>
            <w:r w:rsidRPr="006F3836">
              <w:rPr>
                <w:rFonts w:ascii="Arial" w:hAnsi="Arial" w:cs="Arial"/>
                <w:bCs/>
                <w:iCs/>
                <w:sz w:val="20"/>
                <w:szCs w:val="20"/>
              </w:rPr>
              <w:t>Nigg</w:t>
            </w:r>
            <w:proofErr w:type="spellEnd"/>
            <w:r w:rsidRPr="006F3836">
              <w:rPr>
                <w:rFonts w:ascii="Arial" w:hAnsi="Arial" w:cs="Arial"/>
                <w:bCs/>
                <w:iCs/>
                <w:sz w:val="20"/>
                <w:szCs w:val="20"/>
              </w:rPr>
              <w:t xml:space="preserve">, CR; Salem, GJ; Skinner, JS. (2009). American College of Sports Medicine Position Stand. Exercise &amp; Physical Activity for Older Adults. </w:t>
            </w:r>
            <w:r w:rsidRPr="006F3836">
              <w:rPr>
                <w:rFonts w:ascii="Arial" w:hAnsi="Arial" w:cs="Arial"/>
                <w:bCs/>
                <w:i/>
                <w:iCs/>
                <w:sz w:val="20"/>
                <w:szCs w:val="20"/>
              </w:rPr>
              <w:t xml:space="preserve">Med. </w:t>
            </w:r>
            <w:proofErr w:type="spellStart"/>
            <w:r w:rsidRPr="006F3836">
              <w:rPr>
                <w:rFonts w:ascii="Arial" w:hAnsi="Arial" w:cs="Arial"/>
                <w:bCs/>
                <w:i/>
                <w:iCs/>
                <w:sz w:val="20"/>
                <w:szCs w:val="20"/>
              </w:rPr>
              <w:t>Sci</w:t>
            </w:r>
            <w:proofErr w:type="spellEnd"/>
            <w:r w:rsidRPr="006F3836">
              <w:rPr>
                <w:rFonts w:ascii="Arial" w:hAnsi="Arial" w:cs="Arial"/>
                <w:bCs/>
                <w:i/>
                <w:iCs/>
                <w:sz w:val="20"/>
                <w:szCs w:val="20"/>
              </w:rPr>
              <w:t xml:space="preserve"> Sport </w:t>
            </w:r>
            <w:proofErr w:type="spellStart"/>
            <w:r w:rsidRPr="006F3836">
              <w:rPr>
                <w:rFonts w:ascii="Arial" w:hAnsi="Arial" w:cs="Arial"/>
                <w:bCs/>
                <w:i/>
                <w:iCs/>
                <w:sz w:val="20"/>
                <w:szCs w:val="20"/>
              </w:rPr>
              <w:t>Excerc</w:t>
            </w:r>
            <w:proofErr w:type="spellEnd"/>
            <w:r w:rsidRPr="006F3836">
              <w:rPr>
                <w:rFonts w:ascii="Arial" w:hAnsi="Arial" w:cs="Arial"/>
                <w:bCs/>
                <w:i/>
                <w:iCs/>
                <w:sz w:val="20"/>
                <w:szCs w:val="20"/>
              </w:rPr>
              <w:t>, 41</w:t>
            </w:r>
            <w:r w:rsidRPr="006F3836">
              <w:rPr>
                <w:rFonts w:ascii="Arial" w:hAnsi="Arial" w:cs="Arial"/>
                <w:bCs/>
                <w:iCs/>
                <w:sz w:val="20"/>
                <w:szCs w:val="20"/>
              </w:rPr>
              <w:t>, 1510-1530.</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Elgendi</w:t>
            </w:r>
            <w:proofErr w:type="spellEnd"/>
            <w:r w:rsidRPr="006F3836">
              <w:rPr>
                <w:rFonts w:ascii="Arial" w:hAnsi="Arial" w:cs="Arial"/>
                <w:bCs/>
                <w:iCs/>
                <w:sz w:val="20"/>
                <w:szCs w:val="20"/>
              </w:rPr>
              <w:t xml:space="preserve"> M. (2014) Detection of c, d and e Waves in Acceleration </w:t>
            </w:r>
            <w:proofErr w:type="spellStart"/>
            <w:r w:rsidRPr="006F3836">
              <w:rPr>
                <w:rFonts w:ascii="Arial" w:hAnsi="Arial" w:cs="Arial"/>
                <w:bCs/>
                <w:iCs/>
                <w:sz w:val="20"/>
                <w:szCs w:val="20"/>
              </w:rPr>
              <w:t>Photoplthysmogram</w:t>
            </w:r>
            <w:proofErr w:type="spellEnd"/>
            <w:r w:rsidRPr="006F3836">
              <w:rPr>
                <w:rFonts w:ascii="Arial" w:hAnsi="Arial" w:cs="Arial"/>
                <w:bCs/>
                <w:iCs/>
                <w:sz w:val="20"/>
                <w:szCs w:val="20"/>
              </w:rPr>
              <w:t xml:space="preserve">. </w:t>
            </w:r>
            <w:r w:rsidRPr="006F3836">
              <w:rPr>
                <w:rFonts w:ascii="Arial" w:hAnsi="Arial" w:cs="Arial"/>
                <w:bCs/>
                <w:i/>
                <w:iCs/>
                <w:sz w:val="20"/>
                <w:szCs w:val="20"/>
              </w:rPr>
              <w:t xml:space="preserve">Computer Methods &amp; </w:t>
            </w:r>
            <w:proofErr w:type="spellStart"/>
            <w:r w:rsidRPr="006F3836">
              <w:rPr>
                <w:rFonts w:ascii="Arial" w:hAnsi="Arial" w:cs="Arial"/>
                <w:bCs/>
                <w:i/>
                <w:iCs/>
                <w:sz w:val="20"/>
                <w:szCs w:val="20"/>
              </w:rPr>
              <w:t>Progrmas</w:t>
            </w:r>
            <w:proofErr w:type="spellEnd"/>
            <w:r w:rsidRPr="006F3836">
              <w:rPr>
                <w:rFonts w:ascii="Arial" w:hAnsi="Arial" w:cs="Arial"/>
                <w:bCs/>
                <w:i/>
                <w:iCs/>
                <w:sz w:val="20"/>
                <w:szCs w:val="20"/>
              </w:rPr>
              <w:t xml:space="preserve"> in Biomedicine, 117(2): </w:t>
            </w:r>
            <w:r w:rsidRPr="006F3836">
              <w:rPr>
                <w:rFonts w:ascii="Arial" w:hAnsi="Arial" w:cs="Arial"/>
                <w:bCs/>
                <w:iCs/>
                <w:sz w:val="20"/>
                <w:szCs w:val="20"/>
              </w:rPr>
              <w:t>125-136.</w:t>
            </w:r>
          </w:p>
        </w:tc>
      </w:tr>
      <w:tr w:rsidR="00A44DDA" w:rsidRPr="006F3836" w:rsidTr="00A44DDA">
        <w:tc>
          <w:tcPr>
            <w:tcW w:w="6398" w:type="dxa"/>
          </w:tcPr>
          <w:p w:rsidR="00A44DDA" w:rsidRPr="006F3836" w:rsidRDefault="00A44DDA" w:rsidP="00A44DDA">
            <w:pPr>
              <w:ind w:left="180" w:hanging="180"/>
              <w:rPr>
                <w:rFonts w:ascii="Arial" w:hAnsi="Arial" w:cs="Arial"/>
                <w:sz w:val="20"/>
                <w:szCs w:val="20"/>
              </w:rPr>
            </w:pPr>
            <w:r w:rsidRPr="006F3836">
              <w:rPr>
                <w:rFonts w:ascii="Arial" w:hAnsi="Arial" w:cs="Arial"/>
                <w:sz w:val="20"/>
                <w:szCs w:val="20"/>
                <w:lang w:val="en-GB"/>
              </w:rPr>
              <w:t xml:space="preserve">Haskell, W.L., Lee, I.M., Pate, R.R., Powell, K.E., Blair, S.N., Franklin, B.A., </w:t>
            </w:r>
            <w:proofErr w:type="spellStart"/>
            <w:r w:rsidRPr="006F3836">
              <w:rPr>
                <w:rFonts w:ascii="Arial" w:hAnsi="Arial" w:cs="Arial"/>
                <w:sz w:val="20"/>
                <w:szCs w:val="20"/>
                <w:lang w:val="en-GB"/>
              </w:rPr>
              <w:t>Macera</w:t>
            </w:r>
            <w:proofErr w:type="spellEnd"/>
            <w:r w:rsidRPr="006F3836">
              <w:rPr>
                <w:rFonts w:ascii="Arial" w:hAnsi="Arial" w:cs="Arial"/>
                <w:sz w:val="20"/>
                <w:szCs w:val="20"/>
                <w:lang w:val="en-GB"/>
              </w:rPr>
              <w:t>, C.A., Heath, G.W., Thompson, P.D., Bauman, A., </w:t>
            </w:r>
            <w:r w:rsidRPr="006F3836">
              <w:rPr>
                <w:rFonts w:ascii="Arial" w:hAnsi="Arial" w:cs="Arial"/>
                <w:iCs/>
                <w:sz w:val="20"/>
                <w:szCs w:val="20"/>
                <w:lang w:val="en-GB"/>
              </w:rPr>
              <w:t>et al</w:t>
            </w:r>
            <w:r w:rsidRPr="006F3836">
              <w:rPr>
                <w:rFonts w:ascii="Arial" w:hAnsi="Arial" w:cs="Arial"/>
                <w:sz w:val="20"/>
                <w:szCs w:val="20"/>
                <w:lang w:val="en-GB"/>
              </w:rPr>
              <w:t xml:space="preserve">. (2007a). Physical activity and public health: updated recommendation for adults from the American College of Sports Medicine and the American Heart Association </w:t>
            </w:r>
            <w:r w:rsidRPr="006F3836">
              <w:rPr>
                <w:rFonts w:ascii="Arial" w:hAnsi="Arial" w:cs="Arial"/>
                <w:i/>
                <w:iCs/>
                <w:sz w:val="20"/>
                <w:szCs w:val="20"/>
                <w:lang w:val="en-GB"/>
              </w:rPr>
              <w:t>Circulation</w:t>
            </w:r>
            <w:r w:rsidRPr="006F3836">
              <w:rPr>
                <w:rFonts w:ascii="Arial" w:hAnsi="Arial" w:cs="Arial"/>
                <w:sz w:val="20"/>
                <w:szCs w:val="20"/>
                <w:lang w:val="en-GB"/>
              </w:rPr>
              <w:t>, </w:t>
            </w:r>
            <w:r w:rsidRPr="006F3836">
              <w:rPr>
                <w:rFonts w:ascii="Arial" w:hAnsi="Arial" w:cs="Arial"/>
                <w:i/>
                <w:sz w:val="20"/>
                <w:szCs w:val="20"/>
                <w:lang w:val="en-GB"/>
              </w:rPr>
              <w:t xml:space="preserve">116, </w:t>
            </w:r>
            <w:r w:rsidRPr="006F3836">
              <w:rPr>
                <w:rFonts w:ascii="Arial" w:hAnsi="Arial" w:cs="Arial"/>
                <w:sz w:val="20"/>
                <w:szCs w:val="20"/>
                <w:lang w:val="en-GB"/>
              </w:rPr>
              <w:t>1081-1093.</w:t>
            </w:r>
            <w:r w:rsidRPr="006F3836">
              <w:rPr>
                <w:rFonts w:ascii="Arial" w:hAnsi="Arial" w:cs="Arial"/>
                <w:sz w:val="20"/>
                <w:szCs w:val="20"/>
              </w:rPr>
              <w:t xml:space="preserve"> </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lang w:val="en-GB"/>
              </w:rPr>
            </w:pPr>
            <w:r w:rsidRPr="006F3836">
              <w:rPr>
                <w:rFonts w:ascii="Arial" w:hAnsi="Arial" w:cs="Arial"/>
                <w:sz w:val="20"/>
                <w:szCs w:val="20"/>
              </w:rPr>
              <w:t xml:space="preserve">Haskell, W.L., Lee, I.M., Pate, R.R. et al. (2007b).  Physical activity and public health: updated recommendation for adults from </w:t>
            </w:r>
            <w:proofErr w:type="spellStart"/>
            <w:r w:rsidRPr="006F3836">
              <w:rPr>
                <w:rFonts w:ascii="Arial" w:hAnsi="Arial" w:cs="Arial"/>
                <w:sz w:val="20"/>
                <w:szCs w:val="20"/>
              </w:rPr>
              <w:t>theAmerican</w:t>
            </w:r>
            <w:proofErr w:type="spellEnd"/>
            <w:r w:rsidRPr="006F3836">
              <w:rPr>
                <w:rFonts w:ascii="Arial" w:hAnsi="Arial" w:cs="Arial"/>
                <w:sz w:val="20"/>
                <w:szCs w:val="20"/>
              </w:rPr>
              <w:t xml:space="preserve"> College of Sports Medicine and the American Heart Association. </w:t>
            </w:r>
            <w:r w:rsidRPr="006F3836">
              <w:rPr>
                <w:rFonts w:ascii="Arial" w:hAnsi="Arial" w:cs="Arial"/>
                <w:i/>
                <w:iCs/>
                <w:sz w:val="20"/>
                <w:szCs w:val="20"/>
              </w:rPr>
              <w:t>Medicine &amp; Science in Sports &amp; Exercise</w:t>
            </w:r>
            <w:r w:rsidRPr="006F3836">
              <w:rPr>
                <w:rFonts w:ascii="Arial" w:hAnsi="Arial" w:cs="Arial"/>
                <w:i/>
                <w:sz w:val="20"/>
                <w:szCs w:val="20"/>
              </w:rPr>
              <w:t>, 39(8),</w:t>
            </w:r>
            <w:r w:rsidRPr="006F3836">
              <w:rPr>
                <w:rFonts w:ascii="Arial" w:hAnsi="Arial" w:cs="Arial"/>
                <w:sz w:val="20"/>
                <w:szCs w:val="20"/>
              </w:rPr>
              <w:t xml:space="preserve"> 1423–1434.</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lang w:val="en-GB"/>
              </w:rPr>
            </w:pPr>
            <w:r w:rsidRPr="006F3836">
              <w:rPr>
                <w:rFonts w:ascii="Arial" w:hAnsi="Arial" w:cs="Arial"/>
                <w:sz w:val="20"/>
                <w:szCs w:val="20"/>
              </w:rPr>
              <w:lastRenderedPageBreak/>
              <w:t xml:space="preserve">Johnson, RJ; </w:t>
            </w:r>
            <w:proofErr w:type="spellStart"/>
            <w:r w:rsidRPr="006F3836">
              <w:rPr>
                <w:rFonts w:ascii="Arial" w:hAnsi="Arial" w:cs="Arial"/>
                <w:sz w:val="20"/>
                <w:szCs w:val="20"/>
              </w:rPr>
              <w:t>Wolinsky</w:t>
            </w:r>
            <w:proofErr w:type="spellEnd"/>
            <w:r w:rsidRPr="006F3836">
              <w:rPr>
                <w:rFonts w:ascii="Arial" w:hAnsi="Arial" w:cs="Arial"/>
                <w:sz w:val="20"/>
                <w:szCs w:val="20"/>
              </w:rPr>
              <w:t xml:space="preserve">, FD. (1993). The Structure of Health Status Among Older Adults: Disease, Disability, Functional Limitation and Perceived Health. </w:t>
            </w:r>
            <w:r w:rsidRPr="006F3836">
              <w:rPr>
                <w:rFonts w:ascii="Arial" w:hAnsi="Arial" w:cs="Arial"/>
                <w:i/>
                <w:sz w:val="20"/>
                <w:szCs w:val="20"/>
              </w:rPr>
              <w:t xml:space="preserve">J. Health Soc. </w:t>
            </w:r>
            <w:proofErr w:type="spellStart"/>
            <w:r w:rsidRPr="006F3836">
              <w:rPr>
                <w:rFonts w:ascii="Arial" w:hAnsi="Arial" w:cs="Arial"/>
                <w:i/>
                <w:sz w:val="20"/>
                <w:szCs w:val="20"/>
              </w:rPr>
              <w:t>Behav</w:t>
            </w:r>
            <w:proofErr w:type="spellEnd"/>
            <w:r w:rsidRPr="006F3836">
              <w:rPr>
                <w:rFonts w:ascii="Arial" w:hAnsi="Arial" w:cs="Arial"/>
                <w:i/>
                <w:sz w:val="20"/>
                <w:szCs w:val="20"/>
              </w:rPr>
              <w:t>, 34,</w:t>
            </w:r>
            <w:r w:rsidRPr="006F3836">
              <w:rPr>
                <w:rFonts w:ascii="Arial" w:hAnsi="Arial" w:cs="Arial"/>
                <w:sz w:val="20"/>
                <w:szCs w:val="20"/>
              </w:rPr>
              <w:t xml:space="preserve"> 105-121.</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lang w:val="en-GB"/>
              </w:rPr>
            </w:pPr>
            <w:proofErr w:type="spellStart"/>
            <w:r w:rsidRPr="006F3836">
              <w:rPr>
                <w:rFonts w:ascii="Arial" w:hAnsi="Arial" w:cs="Arial"/>
                <w:sz w:val="20"/>
                <w:szCs w:val="20"/>
                <w:lang w:val="en-GB"/>
              </w:rPr>
              <w:t>Katzmarzyk</w:t>
            </w:r>
            <w:proofErr w:type="spellEnd"/>
            <w:r w:rsidRPr="006F3836">
              <w:rPr>
                <w:rFonts w:ascii="Arial" w:hAnsi="Arial" w:cs="Arial"/>
                <w:sz w:val="20"/>
                <w:szCs w:val="20"/>
                <w:lang w:val="en-GB"/>
              </w:rPr>
              <w:t xml:space="preserve">, PT; Janssen, I. (2004). The Economic Costs Associated with Physical Inactivity and Obesity in Canada: An Update. </w:t>
            </w:r>
            <w:r w:rsidRPr="006F3836">
              <w:rPr>
                <w:rFonts w:ascii="Arial" w:hAnsi="Arial" w:cs="Arial"/>
                <w:i/>
                <w:sz w:val="20"/>
                <w:szCs w:val="20"/>
                <w:lang w:val="en-GB"/>
              </w:rPr>
              <w:t xml:space="preserve">Can. J. </w:t>
            </w:r>
            <w:proofErr w:type="spellStart"/>
            <w:r w:rsidRPr="006F3836">
              <w:rPr>
                <w:rFonts w:ascii="Arial" w:hAnsi="Arial" w:cs="Arial"/>
                <w:i/>
                <w:sz w:val="20"/>
                <w:szCs w:val="20"/>
                <w:lang w:val="en-GB"/>
              </w:rPr>
              <w:t>Appl</w:t>
            </w:r>
            <w:proofErr w:type="spellEnd"/>
            <w:r w:rsidRPr="006F3836">
              <w:rPr>
                <w:rFonts w:ascii="Arial" w:hAnsi="Arial" w:cs="Arial"/>
                <w:i/>
                <w:sz w:val="20"/>
                <w:szCs w:val="20"/>
                <w:lang w:val="en-GB"/>
              </w:rPr>
              <w:t xml:space="preserve"> </w:t>
            </w:r>
            <w:proofErr w:type="spellStart"/>
            <w:r w:rsidRPr="006F3836">
              <w:rPr>
                <w:rFonts w:ascii="Arial" w:hAnsi="Arial" w:cs="Arial"/>
                <w:i/>
                <w:sz w:val="20"/>
                <w:szCs w:val="20"/>
                <w:lang w:val="en-GB"/>
              </w:rPr>
              <w:t>Physiol</w:t>
            </w:r>
            <w:proofErr w:type="spellEnd"/>
            <w:r w:rsidRPr="006F3836">
              <w:rPr>
                <w:rFonts w:ascii="Arial" w:hAnsi="Arial" w:cs="Arial"/>
                <w:i/>
                <w:iCs/>
                <w:sz w:val="20"/>
                <w:szCs w:val="20"/>
                <w:lang w:val="en-GB"/>
              </w:rPr>
              <w:t>,</w:t>
            </w:r>
            <w:r w:rsidRPr="006F3836">
              <w:rPr>
                <w:rFonts w:ascii="Arial" w:hAnsi="Arial" w:cs="Arial"/>
                <w:sz w:val="20"/>
                <w:szCs w:val="20"/>
                <w:lang w:val="en-GB"/>
              </w:rPr>
              <w:t xml:space="preserve"> 29</w:t>
            </w:r>
            <w:r w:rsidRPr="006F3836">
              <w:rPr>
                <w:rFonts w:ascii="Arial" w:hAnsi="Arial" w:cs="Arial"/>
                <w:b/>
                <w:i/>
                <w:sz w:val="20"/>
                <w:szCs w:val="20"/>
                <w:lang w:val="en-GB"/>
              </w:rPr>
              <w:t>,</w:t>
            </w:r>
            <w:r w:rsidRPr="006F3836">
              <w:rPr>
                <w:rFonts w:ascii="Arial" w:hAnsi="Arial" w:cs="Arial"/>
                <w:sz w:val="20"/>
                <w:szCs w:val="20"/>
                <w:lang w:val="en-GB"/>
              </w:rPr>
              <w:t xml:space="preserve"> 90-115.</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lang w:val="en-GB"/>
              </w:rPr>
            </w:pPr>
            <w:proofErr w:type="spellStart"/>
            <w:r w:rsidRPr="006F3836">
              <w:rPr>
                <w:rFonts w:ascii="Arial" w:hAnsi="Arial" w:cs="Arial"/>
                <w:sz w:val="20"/>
                <w:szCs w:val="20"/>
                <w:lang w:val="en-GB"/>
              </w:rPr>
              <w:t>Khoo</w:t>
            </w:r>
            <w:proofErr w:type="spellEnd"/>
            <w:r w:rsidRPr="006F3836">
              <w:rPr>
                <w:rFonts w:ascii="Arial" w:hAnsi="Arial" w:cs="Arial"/>
                <w:sz w:val="20"/>
                <w:szCs w:val="20"/>
                <w:lang w:val="en-GB"/>
              </w:rPr>
              <w:t xml:space="preserve">, K.L., Tan, H. &amp; </w:t>
            </w:r>
            <w:proofErr w:type="spellStart"/>
            <w:r w:rsidRPr="006F3836">
              <w:rPr>
                <w:rFonts w:ascii="Arial" w:hAnsi="Arial" w:cs="Arial"/>
                <w:sz w:val="20"/>
                <w:szCs w:val="20"/>
                <w:lang w:val="en-GB"/>
              </w:rPr>
              <w:t>Khoo</w:t>
            </w:r>
            <w:proofErr w:type="spellEnd"/>
            <w:r w:rsidRPr="006F3836">
              <w:rPr>
                <w:rFonts w:ascii="Arial" w:hAnsi="Arial" w:cs="Arial"/>
                <w:sz w:val="20"/>
                <w:szCs w:val="20"/>
                <w:lang w:val="en-GB"/>
              </w:rPr>
              <w:t xml:space="preserve">, T.H. (1991). Cardiovascular mortality in Peninsular Malaysia: 1950-1989. </w:t>
            </w:r>
            <w:r w:rsidRPr="006F3836">
              <w:rPr>
                <w:rFonts w:ascii="Arial" w:hAnsi="Arial" w:cs="Arial"/>
                <w:i/>
                <w:iCs/>
                <w:sz w:val="20"/>
                <w:szCs w:val="20"/>
                <w:lang w:val="en-GB"/>
              </w:rPr>
              <w:t>Med. J. Malaysia,</w:t>
            </w:r>
            <w:r w:rsidRPr="006F3836">
              <w:rPr>
                <w:rFonts w:ascii="Arial" w:hAnsi="Arial" w:cs="Arial"/>
                <w:sz w:val="20"/>
                <w:szCs w:val="20"/>
                <w:lang w:val="en-GB"/>
              </w:rPr>
              <w:t xml:space="preserve"> </w:t>
            </w:r>
            <w:r w:rsidRPr="006F3836">
              <w:rPr>
                <w:rFonts w:ascii="Arial" w:hAnsi="Arial" w:cs="Arial"/>
                <w:i/>
                <w:sz w:val="20"/>
                <w:szCs w:val="20"/>
                <w:lang w:val="en-GB"/>
              </w:rPr>
              <w:t>46</w:t>
            </w:r>
            <w:r w:rsidRPr="006F3836">
              <w:rPr>
                <w:rFonts w:ascii="Arial" w:hAnsi="Arial" w:cs="Arial"/>
                <w:b/>
                <w:i/>
                <w:sz w:val="20"/>
                <w:szCs w:val="20"/>
                <w:lang w:val="en-GB"/>
              </w:rPr>
              <w:t>,</w:t>
            </w:r>
            <w:r w:rsidRPr="006F3836">
              <w:rPr>
                <w:rFonts w:ascii="Arial" w:hAnsi="Arial" w:cs="Arial"/>
                <w:sz w:val="20"/>
                <w:szCs w:val="20"/>
                <w:lang w:val="en-GB"/>
              </w:rPr>
              <w:t xml:space="preserve"> 7-20.</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proofErr w:type="spellStart"/>
            <w:r w:rsidRPr="006F3836">
              <w:rPr>
                <w:rFonts w:ascii="Arial" w:hAnsi="Arial" w:cs="Arial"/>
                <w:bCs/>
                <w:sz w:val="20"/>
                <w:szCs w:val="20"/>
              </w:rPr>
              <w:t>Malmberg</w:t>
            </w:r>
            <w:proofErr w:type="spellEnd"/>
            <w:r w:rsidRPr="006F3836">
              <w:rPr>
                <w:rFonts w:ascii="Arial" w:hAnsi="Arial" w:cs="Arial"/>
                <w:bCs/>
                <w:sz w:val="20"/>
                <w:szCs w:val="20"/>
              </w:rPr>
              <w:t xml:space="preserve">, JJ; </w:t>
            </w:r>
            <w:proofErr w:type="spellStart"/>
            <w:r w:rsidRPr="006F3836">
              <w:rPr>
                <w:rFonts w:ascii="Arial" w:hAnsi="Arial" w:cs="Arial"/>
                <w:bCs/>
                <w:sz w:val="20"/>
                <w:szCs w:val="20"/>
              </w:rPr>
              <w:t>Miilunpalo</w:t>
            </w:r>
            <w:proofErr w:type="spellEnd"/>
            <w:r w:rsidRPr="006F3836">
              <w:rPr>
                <w:rFonts w:ascii="Arial" w:hAnsi="Arial" w:cs="Arial"/>
                <w:bCs/>
                <w:sz w:val="20"/>
                <w:szCs w:val="20"/>
              </w:rPr>
              <w:t xml:space="preserve">, S; </w:t>
            </w:r>
            <w:proofErr w:type="spellStart"/>
            <w:r w:rsidRPr="006F3836">
              <w:rPr>
                <w:rFonts w:ascii="Arial" w:hAnsi="Arial" w:cs="Arial"/>
                <w:bCs/>
                <w:sz w:val="20"/>
                <w:szCs w:val="20"/>
              </w:rPr>
              <w:t>Pasanen</w:t>
            </w:r>
            <w:proofErr w:type="spellEnd"/>
            <w:r w:rsidRPr="006F3836">
              <w:rPr>
                <w:rFonts w:ascii="Arial" w:hAnsi="Arial" w:cs="Arial"/>
                <w:bCs/>
                <w:sz w:val="20"/>
                <w:szCs w:val="20"/>
              </w:rPr>
              <w:t xml:space="preserve">, M; </w:t>
            </w:r>
            <w:proofErr w:type="spellStart"/>
            <w:r w:rsidRPr="006F3836">
              <w:rPr>
                <w:rFonts w:ascii="Arial" w:hAnsi="Arial" w:cs="Arial"/>
                <w:bCs/>
                <w:sz w:val="20"/>
                <w:szCs w:val="20"/>
              </w:rPr>
              <w:t>Vuori</w:t>
            </w:r>
            <w:proofErr w:type="spellEnd"/>
            <w:r w:rsidRPr="006F3836">
              <w:rPr>
                <w:rFonts w:ascii="Arial" w:hAnsi="Arial" w:cs="Arial"/>
                <w:bCs/>
                <w:sz w:val="20"/>
                <w:szCs w:val="20"/>
              </w:rPr>
              <w:t xml:space="preserve">, I; </w:t>
            </w:r>
            <w:proofErr w:type="spellStart"/>
            <w:r w:rsidRPr="006F3836">
              <w:rPr>
                <w:rFonts w:ascii="Arial" w:hAnsi="Arial" w:cs="Arial"/>
                <w:bCs/>
                <w:sz w:val="20"/>
                <w:szCs w:val="20"/>
              </w:rPr>
              <w:t>Oja</w:t>
            </w:r>
            <w:proofErr w:type="spellEnd"/>
            <w:r w:rsidRPr="006F3836">
              <w:rPr>
                <w:rFonts w:ascii="Arial" w:hAnsi="Arial" w:cs="Arial"/>
                <w:bCs/>
                <w:sz w:val="20"/>
                <w:szCs w:val="20"/>
              </w:rPr>
              <w:t xml:space="preserve">, P. (2005). Characteristics of Leisure Time Physical Activity Associated with Risk of Decline in Perceived Health – a 10 year Follow up of Middle Aged and Elderly Men and Women. </w:t>
            </w:r>
            <w:r w:rsidRPr="006F3836">
              <w:rPr>
                <w:rFonts w:ascii="Arial" w:hAnsi="Arial" w:cs="Arial"/>
                <w:bCs/>
                <w:i/>
                <w:sz w:val="20"/>
                <w:szCs w:val="20"/>
              </w:rPr>
              <w:t xml:space="preserve">Prev. Med,41, </w:t>
            </w:r>
            <w:r w:rsidRPr="006F3836">
              <w:rPr>
                <w:rFonts w:ascii="Arial" w:hAnsi="Arial" w:cs="Arial"/>
                <w:bCs/>
                <w:sz w:val="20"/>
                <w:szCs w:val="20"/>
              </w:rPr>
              <w:t xml:space="preserve">141-150. </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lang w:val="en-GB"/>
              </w:rPr>
            </w:pPr>
            <w:proofErr w:type="spellStart"/>
            <w:r w:rsidRPr="006F3836">
              <w:rPr>
                <w:rFonts w:ascii="Arial" w:hAnsi="Arial" w:cs="Arial"/>
                <w:bCs/>
                <w:sz w:val="20"/>
                <w:szCs w:val="20"/>
              </w:rPr>
              <w:t>Malmberg</w:t>
            </w:r>
            <w:proofErr w:type="spellEnd"/>
            <w:r w:rsidRPr="006F3836">
              <w:rPr>
                <w:rFonts w:ascii="Arial" w:hAnsi="Arial" w:cs="Arial"/>
                <w:bCs/>
                <w:sz w:val="20"/>
                <w:szCs w:val="20"/>
              </w:rPr>
              <w:t xml:space="preserve">, JJ; </w:t>
            </w:r>
            <w:proofErr w:type="spellStart"/>
            <w:r w:rsidRPr="006F3836">
              <w:rPr>
                <w:rFonts w:ascii="Arial" w:hAnsi="Arial" w:cs="Arial"/>
                <w:bCs/>
                <w:sz w:val="20"/>
                <w:szCs w:val="20"/>
              </w:rPr>
              <w:t>Miilunpalo</w:t>
            </w:r>
            <w:proofErr w:type="spellEnd"/>
            <w:r w:rsidRPr="006F3836">
              <w:rPr>
                <w:rFonts w:ascii="Arial" w:hAnsi="Arial" w:cs="Arial"/>
                <w:bCs/>
                <w:sz w:val="20"/>
                <w:szCs w:val="20"/>
              </w:rPr>
              <w:t xml:space="preserve">, S; </w:t>
            </w:r>
            <w:proofErr w:type="spellStart"/>
            <w:r w:rsidRPr="006F3836">
              <w:rPr>
                <w:rFonts w:ascii="Arial" w:hAnsi="Arial" w:cs="Arial"/>
                <w:bCs/>
                <w:sz w:val="20"/>
                <w:szCs w:val="20"/>
              </w:rPr>
              <w:t>Pasanen</w:t>
            </w:r>
            <w:proofErr w:type="spellEnd"/>
            <w:r w:rsidRPr="006F3836">
              <w:rPr>
                <w:rFonts w:ascii="Arial" w:hAnsi="Arial" w:cs="Arial"/>
                <w:bCs/>
                <w:sz w:val="20"/>
                <w:szCs w:val="20"/>
              </w:rPr>
              <w:t xml:space="preserve">, M; </w:t>
            </w:r>
            <w:proofErr w:type="spellStart"/>
            <w:r w:rsidRPr="006F3836">
              <w:rPr>
                <w:rFonts w:ascii="Arial" w:hAnsi="Arial" w:cs="Arial"/>
                <w:bCs/>
                <w:sz w:val="20"/>
                <w:szCs w:val="20"/>
              </w:rPr>
              <w:t>Vuori</w:t>
            </w:r>
            <w:proofErr w:type="spellEnd"/>
            <w:r w:rsidRPr="006F3836">
              <w:rPr>
                <w:rFonts w:ascii="Arial" w:hAnsi="Arial" w:cs="Arial"/>
                <w:bCs/>
                <w:sz w:val="20"/>
                <w:szCs w:val="20"/>
              </w:rPr>
              <w:t xml:space="preserve">, I; </w:t>
            </w:r>
            <w:proofErr w:type="spellStart"/>
            <w:r w:rsidRPr="006F3836">
              <w:rPr>
                <w:rFonts w:ascii="Arial" w:hAnsi="Arial" w:cs="Arial"/>
                <w:bCs/>
                <w:sz w:val="20"/>
                <w:szCs w:val="20"/>
              </w:rPr>
              <w:t>Oja</w:t>
            </w:r>
            <w:proofErr w:type="spellEnd"/>
            <w:r w:rsidRPr="006F3836">
              <w:rPr>
                <w:rFonts w:ascii="Arial" w:hAnsi="Arial" w:cs="Arial"/>
                <w:bCs/>
                <w:sz w:val="20"/>
                <w:szCs w:val="20"/>
              </w:rPr>
              <w:t xml:space="preserve">, P; </w:t>
            </w:r>
            <w:proofErr w:type="spellStart"/>
            <w:r w:rsidRPr="006F3836">
              <w:rPr>
                <w:rFonts w:ascii="Arial" w:hAnsi="Arial" w:cs="Arial"/>
                <w:bCs/>
                <w:sz w:val="20"/>
                <w:szCs w:val="20"/>
              </w:rPr>
              <w:t>Haapanen-Niemi</w:t>
            </w:r>
            <w:proofErr w:type="spellEnd"/>
            <w:r w:rsidRPr="006F3836">
              <w:rPr>
                <w:rFonts w:ascii="Arial" w:hAnsi="Arial" w:cs="Arial"/>
                <w:bCs/>
                <w:sz w:val="20"/>
                <w:szCs w:val="20"/>
              </w:rPr>
              <w:t xml:space="preserve">, NA. </w:t>
            </w:r>
            <w:r w:rsidRPr="006F3836">
              <w:rPr>
                <w:rFonts w:ascii="Arial" w:hAnsi="Arial" w:cs="Arial"/>
                <w:bCs/>
                <w:iCs/>
                <w:sz w:val="20"/>
                <w:szCs w:val="20"/>
                <w:lang w:val="en-GB"/>
              </w:rPr>
              <w:t xml:space="preserve"> (2002 A Health Related Fitness &amp; Functional Performance Test Battery for Middle-Aged &amp; Older Adults: Feasibility &amp; </w:t>
            </w:r>
            <w:proofErr w:type="spellStart"/>
            <w:r w:rsidRPr="006F3836">
              <w:rPr>
                <w:rFonts w:ascii="Arial" w:hAnsi="Arial" w:cs="Arial"/>
                <w:bCs/>
                <w:iCs/>
                <w:sz w:val="20"/>
                <w:szCs w:val="20"/>
                <w:lang w:val="en-GB"/>
              </w:rPr>
              <w:t>Helath</w:t>
            </w:r>
            <w:proofErr w:type="spellEnd"/>
            <w:r w:rsidRPr="006F3836">
              <w:rPr>
                <w:rFonts w:ascii="Arial" w:hAnsi="Arial" w:cs="Arial"/>
                <w:bCs/>
                <w:iCs/>
                <w:sz w:val="20"/>
                <w:szCs w:val="20"/>
                <w:lang w:val="en-GB"/>
              </w:rPr>
              <w:t xml:space="preserve"> </w:t>
            </w:r>
            <w:proofErr w:type="spellStart"/>
            <w:r w:rsidRPr="006F3836">
              <w:rPr>
                <w:rFonts w:ascii="Arial" w:hAnsi="Arial" w:cs="Arial"/>
                <w:bCs/>
                <w:iCs/>
                <w:sz w:val="20"/>
                <w:szCs w:val="20"/>
                <w:lang w:val="en-GB"/>
              </w:rPr>
              <w:t>Realted</w:t>
            </w:r>
            <w:proofErr w:type="spellEnd"/>
            <w:r w:rsidRPr="006F3836">
              <w:rPr>
                <w:rFonts w:ascii="Arial" w:hAnsi="Arial" w:cs="Arial"/>
                <w:bCs/>
                <w:iCs/>
                <w:sz w:val="20"/>
                <w:szCs w:val="20"/>
                <w:lang w:val="en-GB"/>
              </w:rPr>
              <w:t xml:space="preserve"> Content Validity. </w:t>
            </w:r>
            <w:r w:rsidRPr="006F3836">
              <w:rPr>
                <w:rFonts w:ascii="Arial" w:hAnsi="Arial" w:cs="Arial"/>
                <w:bCs/>
                <w:i/>
                <w:iCs/>
                <w:sz w:val="20"/>
                <w:szCs w:val="20"/>
                <w:lang w:val="en-GB"/>
              </w:rPr>
              <w:t xml:space="preserve">Arch, Phys. Med. </w:t>
            </w:r>
            <w:proofErr w:type="spellStart"/>
            <w:r w:rsidRPr="006F3836">
              <w:rPr>
                <w:rFonts w:ascii="Arial" w:hAnsi="Arial" w:cs="Arial"/>
                <w:bCs/>
                <w:i/>
                <w:iCs/>
                <w:sz w:val="20"/>
                <w:szCs w:val="20"/>
                <w:lang w:val="en-GB"/>
              </w:rPr>
              <w:t>Rehabil</w:t>
            </w:r>
            <w:proofErr w:type="spellEnd"/>
            <w:r w:rsidRPr="006F3836">
              <w:rPr>
                <w:rFonts w:ascii="Arial" w:hAnsi="Arial" w:cs="Arial"/>
                <w:bCs/>
                <w:i/>
                <w:iCs/>
                <w:sz w:val="20"/>
                <w:szCs w:val="20"/>
                <w:lang w:val="en-GB"/>
              </w:rPr>
              <w:t>, 83,</w:t>
            </w:r>
            <w:r w:rsidRPr="006F3836">
              <w:rPr>
                <w:rFonts w:ascii="Arial" w:hAnsi="Arial" w:cs="Arial"/>
                <w:bCs/>
                <w:iCs/>
                <w:sz w:val="20"/>
                <w:szCs w:val="20"/>
                <w:lang w:val="en-GB"/>
              </w:rPr>
              <w:t xml:space="preserve"> 666-677.</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proofErr w:type="spellStart"/>
            <w:r w:rsidRPr="006F3836">
              <w:rPr>
                <w:rFonts w:ascii="Arial" w:hAnsi="Arial" w:cs="Arial"/>
                <w:bCs/>
                <w:sz w:val="20"/>
                <w:szCs w:val="20"/>
              </w:rPr>
              <w:t>Mutikainen</w:t>
            </w:r>
            <w:proofErr w:type="spellEnd"/>
            <w:r w:rsidRPr="006F3836">
              <w:rPr>
                <w:rFonts w:ascii="Arial" w:hAnsi="Arial" w:cs="Arial"/>
                <w:bCs/>
                <w:sz w:val="20"/>
                <w:szCs w:val="20"/>
              </w:rPr>
              <w:t xml:space="preserve">, S., </w:t>
            </w:r>
            <w:proofErr w:type="spellStart"/>
            <w:r w:rsidRPr="006F3836">
              <w:rPr>
                <w:rFonts w:ascii="Arial" w:hAnsi="Arial" w:cs="Arial"/>
                <w:bCs/>
                <w:sz w:val="20"/>
                <w:szCs w:val="20"/>
              </w:rPr>
              <w:t>Cohr</w:t>
            </w:r>
            <w:proofErr w:type="spellEnd"/>
            <w:r w:rsidRPr="006F3836">
              <w:rPr>
                <w:rFonts w:ascii="Arial" w:hAnsi="Arial" w:cs="Arial"/>
                <w:bCs/>
                <w:sz w:val="20"/>
                <w:szCs w:val="20"/>
              </w:rPr>
              <w:t xml:space="preserve"> </w:t>
            </w:r>
            <w:proofErr w:type="spellStart"/>
            <w:r w:rsidRPr="006F3836">
              <w:rPr>
                <w:rFonts w:ascii="Arial" w:hAnsi="Arial" w:cs="Arial"/>
                <w:bCs/>
                <w:sz w:val="20"/>
                <w:szCs w:val="20"/>
              </w:rPr>
              <w:t>Tiina</w:t>
            </w:r>
            <w:proofErr w:type="spellEnd"/>
            <w:r w:rsidRPr="006F3836">
              <w:rPr>
                <w:rFonts w:ascii="Arial" w:hAnsi="Arial" w:cs="Arial"/>
                <w:bCs/>
                <w:sz w:val="20"/>
                <w:szCs w:val="20"/>
              </w:rPr>
              <w:t xml:space="preserve">, F., </w:t>
            </w:r>
            <w:proofErr w:type="spellStart"/>
            <w:r w:rsidRPr="006F3836">
              <w:rPr>
                <w:rFonts w:ascii="Arial" w:hAnsi="Arial" w:cs="Arial"/>
                <w:bCs/>
                <w:sz w:val="20"/>
                <w:szCs w:val="20"/>
              </w:rPr>
              <w:t>Karhunen</w:t>
            </w:r>
            <w:proofErr w:type="spellEnd"/>
            <w:r w:rsidRPr="006F3836">
              <w:rPr>
                <w:rFonts w:ascii="Arial" w:hAnsi="Arial" w:cs="Arial"/>
                <w:bCs/>
                <w:sz w:val="20"/>
                <w:szCs w:val="20"/>
              </w:rPr>
              <w:t xml:space="preserve">, L., </w:t>
            </w:r>
            <w:proofErr w:type="spellStart"/>
            <w:r w:rsidRPr="006F3836">
              <w:rPr>
                <w:rFonts w:ascii="Arial" w:hAnsi="Arial" w:cs="Arial"/>
                <w:bCs/>
                <w:sz w:val="20"/>
                <w:szCs w:val="20"/>
              </w:rPr>
              <w:t>Kolehmainen</w:t>
            </w:r>
            <w:proofErr w:type="spellEnd"/>
            <w:r w:rsidRPr="006F3836">
              <w:rPr>
                <w:rFonts w:ascii="Arial" w:hAnsi="Arial" w:cs="Arial"/>
                <w:bCs/>
                <w:sz w:val="20"/>
                <w:szCs w:val="20"/>
              </w:rPr>
              <w:t xml:space="preserve">, M., </w:t>
            </w:r>
            <w:proofErr w:type="spellStart"/>
            <w:r w:rsidRPr="006F3836">
              <w:rPr>
                <w:rFonts w:ascii="Arial" w:hAnsi="Arial" w:cs="Arial"/>
                <w:bCs/>
                <w:sz w:val="20"/>
                <w:szCs w:val="20"/>
              </w:rPr>
              <w:t>Kainulainen</w:t>
            </w:r>
            <w:proofErr w:type="spellEnd"/>
            <w:r w:rsidRPr="006F3836">
              <w:rPr>
                <w:rFonts w:ascii="Arial" w:hAnsi="Arial" w:cs="Arial"/>
                <w:bCs/>
                <w:sz w:val="20"/>
                <w:szCs w:val="20"/>
              </w:rPr>
              <w:t xml:space="preserve">, H., </w:t>
            </w:r>
            <w:proofErr w:type="spellStart"/>
            <w:r w:rsidRPr="006F3836">
              <w:rPr>
                <w:rFonts w:ascii="Arial" w:hAnsi="Arial" w:cs="Arial"/>
                <w:bCs/>
                <w:sz w:val="20"/>
                <w:szCs w:val="20"/>
              </w:rPr>
              <w:t>Lappalainen</w:t>
            </w:r>
            <w:proofErr w:type="spellEnd"/>
            <w:r w:rsidRPr="006F3836">
              <w:rPr>
                <w:rFonts w:ascii="Arial" w:hAnsi="Arial" w:cs="Arial"/>
                <w:bCs/>
                <w:sz w:val="20"/>
                <w:szCs w:val="20"/>
              </w:rPr>
              <w:t xml:space="preserve">, R., &amp; </w:t>
            </w:r>
            <w:proofErr w:type="spellStart"/>
            <w:r w:rsidRPr="006F3836">
              <w:rPr>
                <w:rFonts w:ascii="Arial" w:hAnsi="Arial" w:cs="Arial"/>
                <w:bCs/>
                <w:sz w:val="20"/>
                <w:szCs w:val="20"/>
              </w:rPr>
              <w:t>Kujala</w:t>
            </w:r>
            <w:proofErr w:type="spellEnd"/>
            <w:r w:rsidRPr="006F3836">
              <w:rPr>
                <w:rFonts w:ascii="Arial" w:hAnsi="Arial" w:cs="Arial"/>
                <w:bCs/>
                <w:sz w:val="20"/>
                <w:szCs w:val="20"/>
              </w:rPr>
              <w:t xml:space="preserve"> </w:t>
            </w:r>
            <w:proofErr w:type="spellStart"/>
            <w:r w:rsidRPr="006F3836">
              <w:rPr>
                <w:rFonts w:ascii="Arial" w:hAnsi="Arial" w:cs="Arial"/>
                <w:bCs/>
                <w:sz w:val="20"/>
                <w:szCs w:val="20"/>
              </w:rPr>
              <w:t>Urho</w:t>
            </w:r>
            <w:proofErr w:type="spellEnd"/>
            <w:r w:rsidRPr="006F3836">
              <w:rPr>
                <w:rFonts w:ascii="Arial" w:hAnsi="Arial" w:cs="Arial"/>
                <w:bCs/>
                <w:sz w:val="20"/>
                <w:szCs w:val="20"/>
              </w:rPr>
              <w:t xml:space="preserve">, M. (2015). Predictors of increase in physical activity during a 6-month follow-up period among overweight and physically inactive healthy young adults. </w:t>
            </w:r>
            <w:r w:rsidRPr="006F3836">
              <w:rPr>
                <w:rFonts w:ascii="Arial" w:hAnsi="Arial" w:cs="Arial"/>
                <w:bCs/>
                <w:i/>
                <w:sz w:val="20"/>
                <w:szCs w:val="20"/>
              </w:rPr>
              <w:t>Journal of Exercise Science &amp; Fitness,</w:t>
            </w:r>
            <w:r w:rsidRPr="006F3836">
              <w:rPr>
                <w:rFonts w:ascii="Arial" w:hAnsi="Arial" w:cs="Arial"/>
                <w:bCs/>
                <w:sz w:val="20"/>
                <w:szCs w:val="20"/>
              </w:rPr>
              <w:t xml:space="preserve"> </w:t>
            </w:r>
            <w:hyperlink r:id="rId9" w:history="1">
              <w:r w:rsidRPr="006F3836">
                <w:rPr>
                  <w:rStyle w:val="Hyperlink"/>
                  <w:rFonts w:ascii="Arial" w:hAnsi="Arial" w:cs="Arial"/>
                  <w:bCs/>
                  <w:sz w:val="20"/>
                  <w:szCs w:val="20"/>
                </w:rPr>
                <w:t>http://dx.doi.org/10.1016/j.jesf.2015.05.001</w:t>
              </w:r>
            </w:hyperlink>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lang w:val="en-GB"/>
              </w:rPr>
            </w:pPr>
            <w:r w:rsidRPr="006F3836">
              <w:rPr>
                <w:rFonts w:ascii="Arial" w:hAnsi="Arial" w:cs="Arial"/>
                <w:bCs/>
                <w:iCs/>
                <w:sz w:val="20"/>
                <w:szCs w:val="20"/>
                <w:lang w:val="en-GB"/>
              </w:rPr>
              <w:t>National Institute for Health and Clinical Excellence (NICE). (2006). A rapid review of the effectiveness of pedometer interventions to promote physical activity in adults. London (UK).</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Nitzan</w:t>
            </w:r>
            <w:proofErr w:type="spellEnd"/>
            <w:r w:rsidRPr="006F3836">
              <w:rPr>
                <w:rFonts w:ascii="Arial" w:hAnsi="Arial" w:cs="Arial"/>
                <w:bCs/>
                <w:iCs/>
                <w:sz w:val="20"/>
                <w:szCs w:val="20"/>
              </w:rPr>
              <w:t xml:space="preserve"> M, </w:t>
            </w:r>
            <w:proofErr w:type="spellStart"/>
            <w:r w:rsidRPr="006F3836">
              <w:rPr>
                <w:rFonts w:ascii="Arial" w:hAnsi="Arial" w:cs="Arial"/>
                <w:bCs/>
                <w:iCs/>
                <w:sz w:val="20"/>
                <w:szCs w:val="20"/>
              </w:rPr>
              <w:t>Turivnenko</w:t>
            </w:r>
            <w:proofErr w:type="spellEnd"/>
            <w:r w:rsidRPr="006F3836">
              <w:rPr>
                <w:rFonts w:ascii="Arial" w:hAnsi="Arial" w:cs="Arial"/>
                <w:bCs/>
                <w:iCs/>
                <w:sz w:val="20"/>
                <w:szCs w:val="20"/>
              </w:rPr>
              <w:t xml:space="preserve"> S, </w:t>
            </w:r>
            <w:proofErr w:type="spellStart"/>
            <w:r w:rsidRPr="006F3836">
              <w:rPr>
                <w:rFonts w:ascii="Arial" w:hAnsi="Arial" w:cs="Arial"/>
                <w:bCs/>
                <w:iCs/>
                <w:sz w:val="20"/>
                <w:szCs w:val="20"/>
              </w:rPr>
              <w:t>Milston</w:t>
            </w:r>
            <w:proofErr w:type="spellEnd"/>
            <w:r w:rsidRPr="006F3836">
              <w:rPr>
                <w:rFonts w:ascii="Arial" w:hAnsi="Arial" w:cs="Arial"/>
                <w:bCs/>
                <w:iCs/>
                <w:sz w:val="20"/>
                <w:szCs w:val="20"/>
              </w:rPr>
              <w:t xml:space="preserve"> A, </w:t>
            </w:r>
            <w:proofErr w:type="spellStart"/>
            <w:r w:rsidRPr="006F3836">
              <w:rPr>
                <w:rFonts w:ascii="Arial" w:hAnsi="Arial" w:cs="Arial"/>
                <w:bCs/>
                <w:iCs/>
                <w:sz w:val="20"/>
                <w:szCs w:val="20"/>
              </w:rPr>
              <w:t>Babchenko</w:t>
            </w:r>
            <w:proofErr w:type="spellEnd"/>
            <w:r w:rsidRPr="006F3836">
              <w:rPr>
                <w:rFonts w:ascii="Arial" w:hAnsi="Arial" w:cs="Arial"/>
                <w:bCs/>
                <w:iCs/>
                <w:sz w:val="20"/>
                <w:szCs w:val="20"/>
              </w:rPr>
              <w:t xml:space="preserve"> A &amp; Mahler Y. (1996). Low Frequency Variability in the Blood Volume Pulse Measured by </w:t>
            </w:r>
            <w:proofErr w:type="spellStart"/>
            <w:r w:rsidRPr="006F3836">
              <w:rPr>
                <w:rFonts w:ascii="Arial" w:hAnsi="Arial" w:cs="Arial"/>
                <w:bCs/>
                <w:iCs/>
                <w:sz w:val="20"/>
                <w:szCs w:val="20"/>
              </w:rPr>
              <w:t>Photoplethysmography</w:t>
            </w:r>
            <w:proofErr w:type="spellEnd"/>
            <w:r w:rsidRPr="006F3836">
              <w:rPr>
                <w:rFonts w:ascii="Arial" w:hAnsi="Arial" w:cs="Arial"/>
                <w:bCs/>
                <w:iCs/>
                <w:sz w:val="20"/>
                <w:szCs w:val="20"/>
              </w:rPr>
              <w:t xml:space="preserve">. </w:t>
            </w:r>
            <w:r w:rsidRPr="006F3836">
              <w:rPr>
                <w:rFonts w:ascii="Arial" w:hAnsi="Arial" w:cs="Arial"/>
                <w:bCs/>
                <w:i/>
                <w:iCs/>
                <w:sz w:val="20"/>
                <w:szCs w:val="20"/>
              </w:rPr>
              <w:t xml:space="preserve">J. Biomed. Opt,1, </w:t>
            </w:r>
            <w:r w:rsidRPr="006F3836">
              <w:rPr>
                <w:rFonts w:ascii="Arial" w:hAnsi="Arial" w:cs="Arial"/>
                <w:bCs/>
                <w:iCs/>
                <w:sz w:val="20"/>
                <w:szCs w:val="20"/>
              </w:rPr>
              <w:t xml:space="preserve"> 223-9.</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proofErr w:type="spellStart"/>
            <w:r w:rsidRPr="006F3836">
              <w:rPr>
                <w:rFonts w:ascii="Arial" w:hAnsi="Arial" w:cs="Arial"/>
                <w:bCs/>
                <w:iCs/>
                <w:sz w:val="20"/>
                <w:szCs w:val="20"/>
              </w:rPr>
              <w:t>Nitzan</w:t>
            </w:r>
            <w:proofErr w:type="spellEnd"/>
            <w:r w:rsidRPr="006F3836">
              <w:rPr>
                <w:rFonts w:ascii="Arial" w:hAnsi="Arial" w:cs="Arial"/>
                <w:bCs/>
                <w:iCs/>
                <w:sz w:val="20"/>
                <w:szCs w:val="20"/>
              </w:rPr>
              <w:t xml:space="preserve"> M, </w:t>
            </w:r>
            <w:proofErr w:type="spellStart"/>
            <w:r w:rsidRPr="006F3836">
              <w:rPr>
                <w:rFonts w:ascii="Arial" w:hAnsi="Arial" w:cs="Arial"/>
                <w:bCs/>
                <w:iCs/>
                <w:sz w:val="20"/>
                <w:szCs w:val="20"/>
              </w:rPr>
              <w:t>Turivnenko</w:t>
            </w:r>
            <w:proofErr w:type="spellEnd"/>
            <w:r w:rsidRPr="006F3836">
              <w:rPr>
                <w:rFonts w:ascii="Arial" w:hAnsi="Arial" w:cs="Arial"/>
                <w:bCs/>
                <w:iCs/>
                <w:sz w:val="20"/>
                <w:szCs w:val="20"/>
              </w:rPr>
              <w:t xml:space="preserve"> S, </w:t>
            </w:r>
            <w:proofErr w:type="spellStart"/>
            <w:r w:rsidRPr="006F3836">
              <w:rPr>
                <w:rFonts w:ascii="Arial" w:hAnsi="Arial" w:cs="Arial"/>
                <w:bCs/>
                <w:iCs/>
                <w:sz w:val="20"/>
                <w:szCs w:val="20"/>
              </w:rPr>
              <w:t>Milston</w:t>
            </w:r>
            <w:proofErr w:type="spellEnd"/>
            <w:r w:rsidRPr="006F3836">
              <w:rPr>
                <w:rFonts w:ascii="Arial" w:hAnsi="Arial" w:cs="Arial"/>
                <w:bCs/>
                <w:iCs/>
                <w:sz w:val="20"/>
                <w:szCs w:val="20"/>
              </w:rPr>
              <w:t xml:space="preserve"> A, </w:t>
            </w:r>
            <w:proofErr w:type="spellStart"/>
            <w:r w:rsidRPr="006F3836">
              <w:rPr>
                <w:rFonts w:ascii="Arial" w:hAnsi="Arial" w:cs="Arial"/>
                <w:bCs/>
                <w:iCs/>
                <w:sz w:val="20"/>
                <w:szCs w:val="20"/>
              </w:rPr>
              <w:t>Babchenko</w:t>
            </w:r>
            <w:proofErr w:type="spellEnd"/>
            <w:r w:rsidRPr="006F3836">
              <w:rPr>
                <w:rFonts w:ascii="Arial" w:hAnsi="Arial" w:cs="Arial"/>
                <w:bCs/>
                <w:iCs/>
                <w:sz w:val="20"/>
                <w:szCs w:val="20"/>
              </w:rPr>
              <w:t xml:space="preserve"> A, </w:t>
            </w:r>
            <w:proofErr w:type="spellStart"/>
            <w:r w:rsidRPr="006F3836">
              <w:rPr>
                <w:rFonts w:ascii="Arial" w:hAnsi="Arial" w:cs="Arial"/>
                <w:bCs/>
                <w:iCs/>
                <w:sz w:val="20"/>
                <w:szCs w:val="20"/>
              </w:rPr>
              <w:t>Khanokh</w:t>
            </w:r>
            <w:proofErr w:type="spellEnd"/>
            <w:r w:rsidRPr="006F3836">
              <w:rPr>
                <w:rFonts w:ascii="Arial" w:hAnsi="Arial" w:cs="Arial"/>
                <w:bCs/>
                <w:iCs/>
                <w:sz w:val="20"/>
                <w:szCs w:val="20"/>
              </w:rPr>
              <w:t xml:space="preserve"> B &amp; Mahler Y. (1996). Measurement of the Variability of the Skin Blood Volume Using Dynamic Spectroscopy. </w:t>
            </w:r>
            <w:r w:rsidRPr="006F3836">
              <w:rPr>
                <w:rFonts w:ascii="Arial" w:hAnsi="Arial" w:cs="Arial"/>
                <w:bCs/>
                <w:i/>
                <w:iCs/>
                <w:sz w:val="20"/>
                <w:szCs w:val="20"/>
              </w:rPr>
              <w:t xml:space="preserve">Appl. Surface Sci,106, </w:t>
            </w:r>
            <w:r w:rsidRPr="006F3836">
              <w:rPr>
                <w:rFonts w:ascii="Arial" w:hAnsi="Arial" w:cs="Arial"/>
                <w:bCs/>
                <w:iCs/>
                <w:sz w:val="20"/>
                <w:szCs w:val="20"/>
              </w:rPr>
              <w:t>478-82.</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r w:rsidRPr="006F3836">
              <w:rPr>
                <w:rFonts w:ascii="Arial" w:hAnsi="Arial" w:cs="Arial"/>
                <w:bCs/>
                <w:sz w:val="20"/>
                <w:szCs w:val="20"/>
              </w:rPr>
              <w:t xml:space="preserve">Norton L.H., Norton K.I., &amp; Lewis N.R. (2015). Adherence, Compliance, and Health Risk Factor Changes following Short-Term Physical Activity Interventions. </w:t>
            </w:r>
            <w:proofErr w:type="spellStart"/>
            <w:r w:rsidRPr="006F3836">
              <w:rPr>
                <w:rFonts w:ascii="Arial" w:hAnsi="Arial" w:cs="Arial"/>
                <w:bCs/>
                <w:i/>
                <w:sz w:val="20"/>
                <w:szCs w:val="20"/>
              </w:rPr>
              <w:t>Hindawi</w:t>
            </w:r>
            <w:proofErr w:type="spellEnd"/>
            <w:r w:rsidRPr="006F3836">
              <w:rPr>
                <w:rFonts w:ascii="Arial" w:hAnsi="Arial" w:cs="Arial"/>
                <w:bCs/>
                <w:i/>
                <w:sz w:val="20"/>
                <w:szCs w:val="20"/>
              </w:rPr>
              <w:t xml:space="preserve"> Publishing Corporation </w:t>
            </w:r>
            <w:proofErr w:type="spellStart"/>
            <w:r w:rsidRPr="006F3836">
              <w:rPr>
                <w:rFonts w:ascii="Arial" w:hAnsi="Arial" w:cs="Arial"/>
                <w:bCs/>
                <w:i/>
                <w:sz w:val="20"/>
                <w:szCs w:val="20"/>
              </w:rPr>
              <w:t>BioMed</w:t>
            </w:r>
            <w:proofErr w:type="spellEnd"/>
            <w:r w:rsidRPr="006F3836">
              <w:rPr>
                <w:rFonts w:ascii="Arial" w:hAnsi="Arial" w:cs="Arial"/>
                <w:bCs/>
                <w:i/>
                <w:sz w:val="20"/>
                <w:szCs w:val="20"/>
              </w:rPr>
              <w:t xml:space="preserve"> Research International</w:t>
            </w:r>
            <w:r w:rsidRPr="006F3836">
              <w:rPr>
                <w:rFonts w:ascii="Arial" w:hAnsi="Arial" w:cs="Arial"/>
                <w:bCs/>
                <w:sz w:val="20"/>
                <w:szCs w:val="20"/>
              </w:rPr>
              <w:t xml:space="preserve">, Article ID 929782, 9 pages </w:t>
            </w:r>
            <w:hyperlink r:id="rId10" w:history="1">
              <w:r w:rsidRPr="006F3836">
                <w:rPr>
                  <w:rStyle w:val="Hyperlink"/>
                  <w:rFonts w:ascii="Arial" w:hAnsi="Arial" w:cs="Arial"/>
                  <w:bCs/>
                  <w:sz w:val="20"/>
                  <w:szCs w:val="20"/>
                </w:rPr>
                <w:t>http://dx.doi.org/10.1155/2015/929782</w:t>
              </w:r>
            </w:hyperlink>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r w:rsidRPr="006F3836">
              <w:rPr>
                <w:rFonts w:ascii="Arial" w:hAnsi="Arial" w:cs="Arial"/>
                <w:bCs/>
                <w:iCs/>
                <w:sz w:val="20"/>
                <w:szCs w:val="20"/>
              </w:rPr>
              <w:t xml:space="preserve">Norton, L.H., Norton, K.I., Lewis, N., &amp; </w:t>
            </w:r>
            <w:proofErr w:type="spellStart"/>
            <w:r w:rsidRPr="006F3836">
              <w:rPr>
                <w:rFonts w:ascii="Arial" w:hAnsi="Arial" w:cs="Arial"/>
                <w:bCs/>
                <w:iCs/>
                <w:sz w:val="20"/>
                <w:szCs w:val="20"/>
              </w:rPr>
              <w:t>Dollman</w:t>
            </w:r>
            <w:proofErr w:type="spellEnd"/>
            <w:r w:rsidRPr="006F3836">
              <w:rPr>
                <w:rFonts w:ascii="Arial" w:hAnsi="Arial" w:cs="Arial"/>
                <w:bCs/>
                <w:iCs/>
                <w:sz w:val="20"/>
                <w:szCs w:val="20"/>
              </w:rPr>
              <w:t xml:space="preserve">, J. (2011). A comparison of two short-term intensive physical activity interventions: methodological considerations. </w:t>
            </w:r>
            <w:r w:rsidRPr="006F3836">
              <w:rPr>
                <w:rFonts w:ascii="Arial" w:hAnsi="Arial" w:cs="Arial"/>
                <w:bCs/>
                <w:i/>
                <w:iCs/>
                <w:sz w:val="20"/>
                <w:szCs w:val="20"/>
              </w:rPr>
              <w:t>International Journal</w:t>
            </w:r>
            <w:r w:rsidRPr="006F3836">
              <w:rPr>
                <w:rFonts w:ascii="Arial" w:hAnsi="Arial" w:cs="Arial"/>
                <w:bCs/>
                <w:iCs/>
                <w:sz w:val="20"/>
                <w:szCs w:val="20"/>
              </w:rPr>
              <w:t xml:space="preserve"> </w:t>
            </w:r>
            <w:r w:rsidRPr="006F3836">
              <w:rPr>
                <w:rFonts w:ascii="Arial" w:hAnsi="Arial" w:cs="Arial"/>
                <w:bCs/>
                <w:i/>
                <w:iCs/>
                <w:sz w:val="20"/>
                <w:szCs w:val="20"/>
              </w:rPr>
              <w:t>of Behavioral Nutrition and Physical Activity</w:t>
            </w:r>
            <w:r w:rsidRPr="006F3836">
              <w:rPr>
                <w:rFonts w:ascii="Arial" w:hAnsi="Arial" w:cs="Arial"/>
                <w:bCs/>
                <w:iCs/>
                <w:sz w:val="20"/>
                <w:szCs w:val="20"/>
              </w:rPr>
              <w:t xml:space="preserve">, </w:t>
            </w:r>
            <w:r w:rsidRPr="006F3836">
              <w:rPr>
                <w:rFonts w:ascii="Arial" w:hAnsi="Arial" w:cs="Arial"/>
                <w:bCs/>
                <w:i/>
                <w:iCs/>
                <w:sz w:val="20"/>
                <w:szCs w:val="20"/>
              </w:rPr>
              <w:t>8,</w:t>
            </w:r>
            <w:r w:rsidRPr="006F3836">
              <w:rPr>
                <w:rFonts w:ascii="Arial" w:hAnsi="Arial" w:cs="Arial"/>
                <w:bCs/>
                <w:iCs/>
                <w:sz w:val="20"/>
                <w:szCs w:val="20"/>
              </w:rPr>
              <w:t xml:space="preserve"> 133–143.</w:t>
            </w:r>
            <w:r w:rsidRPr="006F3836">
              <w:rPr>
                <w:rFonts w:ascii="Arial" w:hAnsi="Arial" w:cs="Arial"/>
                <w:bCs/>
                <w:sz w:val="20"/>
                <w:szCs w:val="20"/>
              </w:rPr>
              <w:t xml:space="preserve"> </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sz w:val="20"/>
                <w:szCs w:val="20"/>
              </w:rPr>
              <w:t xml:space="preserve">O’Donovan, G., Owen, A., Bird, S.R. et al. (2005). Changes in cardiorespiratory fitness and coronary heart disease risk factors following 24 </w:t>
            </w:r>
            <w:proofErr w:type="gramStart"/>
            <w:r w:rsidRPr="006F3836">
              <w:rPr>
                <w:rFonts w:ascii="Arial" w:hAnsi="Arial" w:cs="Arial"/>
                <w:sz w:val="20"/>
                <w:szCs w:val="20"/>
              </w:rPr>
              <w:t>week</w:t>
            </w:r>
            <w:proofErr w:type="gramEnd"/>
            <w:r w:rsidRPr="006F3836">
              <w:rPr>
                <w:rFonts w:ascii="Arial" w:hAnsi="Arial" w:cs="Arial"/>
                <w:sz w:val="20"/>
                <w:szCs w:val="20"/>
              </w:rPr>
              <w:t xml:space="preserve"> of moderate- or high-intensity exercise of equal energy cost. </w:t>
            </w:r>
            <w:r w:rsidRPr="006F3836">
              <w:rPr>
                <w:rFonts w:ascii="Arial" w:hAnsi="Arial" w:cs="Arial"/>
                <w:i/>
                <w:iCs/>
                <w:sz w:val="20"/>
                <w:szCs w:val="20"/>
              </w:rPr>
              <w:t>Journal of Applied Physiology</w:t>
            </w:r>
            <w:r w:rsidRPr="006F3836">
              <w:rPr>
                <w:rFonts w:ascii="Arial" w:hAnsi="Arial" w:cs="Arial"/>
                <w:sz w:val="20"/>
                <w:szCs w:val="20"/>
              </w:rPr>
              <w:t xml:space="preserve">, </w:t>
            </w:r>
            <w:r w:rsidRPr="006F3836">
              <w:rPr>
                <w:rFonts w:ascii="Arial" w:hAnsi="Arial" w:cs="Arial"/>
                <w:i/>
                <w:sz w:val="20"/>
                <w:szCs w:val="20"/>
              </w:rPr>
              <w:t>98(5),</w:t>
            </w:r>
            <w:r w:rsidRPr="006F3836">
              <w:rPr>
                <w:rFonts w:ascii="Arial" w:hAnsi="Arial" w:cs="Arial"/>
                <w:sz w:val="20"/>
                <w:szCs w:val="20"/>
              </w:rPr>
              <w:t xml:space="preserve"> 1619–1625.</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bCs/>
                <w:iCs/>
                <w:sz w:val="20"/>
                <w:szCs w:val="20"/>
              </w:rPr>
              <w:lastRenderedPageBreak/>
              <w:t xml:space="preserve"> </w:t>
            </w:r>
            <w:r w:rsidRPr="006F3836">
              <w:rPr>
                <w:rFonts w:ascii="Arial" w:hAnsi="Arial" w:cs="Arial"/>
                <w:sz w:val="20"/>
                <w:szCs w:val="20"/>
              </w:rPr>
              <w:t xml:space="preserve">Ogilvie, D., Foster, C., </w:t>
            </w:r>
            <w:proofErr w:type="spellStart"/>
            <w:r w:rsidRPr="006F3836">
              <w:rPr>
                <w:rFonts w:ascii="Arial" w:hAnsi="Arial" w:cs="Arial"/>
                <w:sz w:val="20"/>
                <w:szCs w:val="20"/>
              </w:rPr>
              <w:t>Rothnie</w:t>
            </w:r>
            <w:proofErr w:type="spellEnd"/>
            <w:r w:rsidRPr="006F3836">
              <w:rPr>
                <w:rFonts w:ascii="Arial" w:hAnsi="Arial" w:cs="Arial"/>
                <w:sz w:val="20"/>
                <w:szCs w:val="20"/>
              </w:rPr>
              <w:t xml:space="preserve">, H., </w:t>
            </w:r>
            <w:proofErr w:type="spellStart"/>
            <w:r w:rsidRPr="006F3836">
              <w:rPr>
                <w:rFonts w:ascii="Arial" w:hAnsi="Arial" w:cs="Arial"/>
                <w:sz w:val="20"/>
                <w:szCs w:val="20"/>
              </w:rPr>
              <w:t>Cavill</w:t>
            </w:r>
            <w:proofErr w:type="spellEnd"/>
            <w:r w:rsidRPr="006F3836">
              <w:rPr>
                <w:rFonts w:ascii="Arial" w:hAnsi="Arial" w:cs="Arial"/>
                <w:sz w:val="20"/>
                <w:szCs w:val="20"/>
              </w:rPr>
              <w:t>, N., Hamilton, V., &amp; Fitzsimons, C.F. (2007). Scottish Physical Activity Research Collaboration (</w:t>
            </w:r>
            <w:proofErr w:type="spellStart"/>
            <w:r w:rsidRPr="006F3836">
              <w:rPr>
                <w:rFonts w:ascii="Arial" w:hAnsi="Arial" w:cs="Arial"/>
                <w:sz w:val="20"/>
                <w:szCs w:val="20"/>
              </w:rPr>
              <w:t>SPARColl</w:t>
            </w:r>
            <w:proofErr w:type="spellEnd"/>
            <w:r w:rsidRPr="006F3836">
              <w:rPr>
                <w:rFonts w:ascii="Arial" w:hAnsi="Arial" w:cs="Arial"/>
                <w:sz w:val="20"/>
                <w:szCs w:val="20"/>
              </w:rPr>
              <w:t xml:space="preserve">): Interventions to promote walking: systematic review. </w:t>
            </w:r>
            <w:r w:rsidRPr="006F3836">
              <w:rPr>
                <w:rFonts w:ascii="Arial" w:hAnsi="Arial" w:cs="Arial"/>
                <w:i/>
                <w:sz w:val="20"/>
                <w:szCs w:val="20"/>
              </w:rPr>
              <w:t>British Medical Journal</w:t>
            </w:r>
            <w:r w:rsidRPr="006F3836">
              <w:rPr>
                <w:rFonts w:ascii="Arial" w:hAnsi="Arial" w:cs="Arial"/>
                <w:sz w:val="20"/>
                <w:szCs w:val="20"/>
              </w:rPr>
              <w:t xml:space="preserve">, </w:t>
            </w:r>
            <w:r w:rsidRPr="006F3836">
              <w:rPr>
                <w:rFonts w:ascii="Arial" w:hAnsi="Arial" w:cs="Arial"/>
                <w:i/>
                <w:sz w:val="20"/>
                <w:szCs w:val="20"/>
              </w:rPr>
              <w:t xml:space="preserve">334, </w:t>
            </w:r>
            <w:r w:rsidRPr="006F3836">
              <w:rPr>
                <w:rFonts w:ascii="Arial" w:hAnsi="Arial" w:cs="Arial"/>
                <w:sz w:val="20"/>
                <w:szCs w:val="20"/>
              </w:rPr>
              <w:t>1204–1207.</w:t>
            </w:r>
          </w:p>
        </w:tc>
      </w:tr>
      <w:tr w:rsidR="006F3836" w:rsidRPr="006F3836" w:rsidTr="00A44DDA">
        <w:tc>
          <w:tcPr>
            <w:tcW w:w="6398" w:type="dxa"/>
          </w:tcPr>
          <w:p w:rsidR="006F3836" w:rsidRPr="006F3836" w:rsidRDefault="006F3836" w:rsidP="00A44DDA">
            <w:pPr>
              <w:ind w:left="180" w:hanging="180"/>
              <w:rPr>
                <w:rFonts w:ascii="Arial" w:hAnsi="Arial" w:cs="Arial"/>
                <w:bCs/>
                <w:color w:val="FF0000"/>
                <w:sz w:val="20"/>
                <w:szCs w:val="20"/>
              </w:rPr>
            </w:pPr>
            <w:proofErr w:type="spellStart"/>
            <w:r w:rsidRPr="006F3836">
              <w:rPr>
                <w:rFonts w:ascii="Arial" w:hAnsi="Arial" w:cs="Arial"/>
                <w:bCs/>
                <w:sz w:val="20"/>
                <w:szCs w:val="20"/>
              </w:rPr>
              <w:t>Okeahialan</w:t>
            </w:r>
            <w:proofErr w:type="spellEnd"/>
            <w:r w:rsidRPr="006F3836">
              <w:rPr>
                <w:rFonts w:ascii="Arial" w:hAnsi="Arial" w:cs="Arial"/>
                <w:bCs/>
                <w:sz w:val="20"/>
                <w:szCs w:val="20"/>
              </w:rPr>
              <w:t xml:space="preserve"> BN, </w:t>
            </w:r>
            <w:proofErr w:type="spellStart"/>
            <w:r w:rsidRPr="006F3836">
              <w:rPr>
                <w:rFonts w:ascii="Arial" w:hAnsi="Arial" w:cs="Arial"/>
                <w:bCs/>
                <w:sz w:val="20"/>
                <w:szCs w:val="20"/>
              </w:rPr>
              <w:t>Ogbonna</w:t>
            </w:r>
            <w:proofErr w:type="spellEnd"/>
            <w:r w:rsidRPr="006F3836">
              <w:rPr>
                <w:rFonts w:ascii="Arial" w:hAnsi="Arial" w:cs="Arial"/>
                <w:bCs/>
                <w:sz w:val="20"/>
                <w:szCs w:val="20"/>
              </w:rPr>
              <w:t xml:space="preserve"> C, </w:t>
            </w:r>
            <w:proofErr w:type="spellStart"/>
            <w:r w:rsidRPr="006F3836">
              <w:rPr>
                <w:rFonts w:ascii="Arial" w:hAnsi="Arial" w:cs="Arial"/>
                <w:bCs/>
                <w:sz w:val="20"/>
                <w:szCs w:val="20"/>
              </w:rPr>
              <w:t>Otokwula</w:t>
            </w:r>
            <w:proofErr w:type="spellEnd"/>
            <w:r w:rsidRPr="006F3836">
              <w:rPr>
                <w:rFonts w:ascii="Arial" w:hAnsi="Arial" w:cs="Arial"/>
                <w:bCs/>
                <w:sz w:val="20"/>
                <w:szCs w:val="20"/>
              </w:rPr>
              <w:t xml:space="preserve"> AE, Joseph DE, </w:t>
            </w:r>
            <w:proofErr w:type="spellStart"/>
            <w:r w:rsidRPr="006F3836">
              <w:rPr>
                <w:rFonts w:ascii="Arial" w:hAnsi="Arial" w:cs="Arial"/>
                <w:bCs/>
                <w:sz w:val="20"/>
                <w:szCs w:val="20"/>
              </w:rPr>
              <w:t>Chuhwak</w:t>
            </w:r>
            <w:proofErr w:type="spellEnd"/>
            <w:r w:rsidRPr="006F3836">
              <w:rPr>
                <w:rFonts w:ascii="Arial" w:hAnsi="Arial" w:cs="Arial"/>
                <w:bCs/>
                <w:sz w:val="20"/>
                <w:szCs w:val="20"/>
              </w:rPr>
              <w:t xml:space="preserve"> EK, </w:t>
            </w:r>
            <w:proofErr w:type="spellStart"/>
            <w:r w:rsidRPr="006F3836">
              <w:rPr>
                <w:rFonts w:ascii="Arial" w:hAnsi="Arial" w:cs="Arial"/>
                <w:bCs/>
                <w:sz w:val="20"/>
                <w:szCs w:val="20"/>
              </w:rPr>
              <w:t>Isiguzoro</w:t>
            </w:r>
            <w:proofErr w:type="spellEnd"/>
            <w:r w:rsidRPr="006F3836">
              <w:rPr>
                <w:rFonts w:ascii="Arial" w:hAnsi="Arial" w:cs="Arial"/>
                <w:bCs/>
                <w:sz w:val="20"/>
                <w:szCs w:val="20"/>
              </w:rPr>
              <w:t xml:space="preserve"> IO. (2012). Cardiovascular Epidemiological Transition in a Rural Habitat of Nigeria: </w:t>
            </w:r>
            <w:proofErr w:type="gramStart"/>
            <w:r w:rsidRPr="006F3836">
              <w:rPr>
                <w:rFonts w:ascii="Arial" w:hAnsi="Arial" w:cs="Arial"/>
                <w:bCs/>
                <w:sz w:val="20"/>
                <w:szCs w:val="20"/>
              </w:rPr>
              <w:t>the</w:t>
            </w:r>
            <w:proofErr w:type="gramEnd"/>
            <w:r w:rsidRPr="006F3836">
              <w:rPr>
                <w:rFonts w:ascii="Arial" w:hAnsi="Arial" w:cs="Arial"/>
                <w:bCs/>
                <w:sz w:val="20"/>
                <w:szCs w:val="20"/>
              </w:rPr>
              <w:t xml:space="preserve"> Case of </w:t>
            </w:r>
            <w:proofErr w:type="spellStart"/>
            <w:r w:rsidRPr="006F3836">
              <w:rPr>
                <w:rFonts w:ascii="Arial" w:hAnsi="Arial" w:cs="Arial"/>
                <w:bCs/>
                <w:sz w:val="20"/>
                <w:szCs w:val="20"/>
              </w:rPr>
              <w:t>Mangu</w:t>
            </w:r>
            <w:proofErr w:type="spellEnd"/>
            <w:r w:rsidRPr="006F3836">
              <w:rPr>
                <w:rFonts w:ascii="Arial" w:hAnsi="Arial" w:cs="Arial"/>
                <w:bCs/>
                <w:sz w:val="20"/>
                <w:szCs w:val="20"/>
              </w:rPr>
              <w:t xml:space="preserve"> Local Government Area. </w:t>
            </w:r>
            <w:r w:rsidRPr="006F3836">
              <w:rPr>
                <w:rFonts w:ascii="Arial" w:hAnsi="Arial" w:cs="Arial"/>
                <w:bCs/>
                <w:i/>
                <w:sz w:val="20"/>
                <w:szCs w:val="20"/>
              </w:rPr>
              <w:t xml:space="preserve">West </w:t>
            </w:r>
            <w:proofErr w:type="spellStart"/>
            <w:r w:rsidRPr="006F3836">
              <w:rPr>
                <w:rFonts w:ascii="Arial" w:hAnsi="Arial" w:cs="Arial"/>
                <w:bCs/>
                <w:i/>
                <w:sz w:val="20"/>
                <w:szCs w:val="20"/>
              </w:rPr>
              <w:t>Afr</w:t>
            </w:r>
            <w:proofErr w:type="spellEnd"/>
            <w:r w:rsidRPr="006F3836">
              <w:rPr>
                <w:rFonts w:ascii="Arial" w:hAnsi="Arial" w:cs="Arial"/>
                <w:bCs/>
                <w:i/>
                <w:sz w:val="20"/>
                <w:szCs w:val="20"/>
              </w:rPr>
              <w:t xml:space="preserve"> J Med, 31, </w:t>
            </w:r>
            <w:r w:rsidRPr="006F3836">
              <w:rPr>
                <w:rFonts w:ascii="Arial" w:hAnsi="Arial" w:cs="Arial"/>
                <w:bCs/>
                <w:sz w:val="20"/>
                <w:szCs w:val="20"/>
              </w:rPr>
              <w:t>14-18.</w:t>
            </w:r>
            <w:r w:rsidRPr="006F3836">
              <w:rPr>
                <w:rFonts w:ascii="Arial" w:hAnsi="Arial" w:cs="Arial"/>
                <w:bCs/>
                <w:color w:val="FF0000"/>
                <w:sz w:val="20"/>
                <w:szCs w:val="20"/>
              </w:rPr>
              <w:t xml:space="preserve"> </w:t>
            </w:r>
          </w:p>
        </w:tc>
      </w:tr>
      <w:tr w:rsidR="006F3836" w:rsidRPr="006F3836" w:rsidTr="00A44DDA">
        <w:tc>
          <w:tcPr>
            <w:tcW w:w="6398" w:type="dxa"/>
          </w:tcPr>
          <w:p w:rsidR="006F3836" w:rsidRPr="006F3836" w:rsidRDefault="006F3836" w:rsidP="00A44DDA">
            <w:pPr>
              <w:ind w:left="180" w:hanging="180"/>
              <w:rPr>
                <w:rFonts w:ascii="Arial" w:hAnsi="Arial" w:cs="Arial"/>
                <w:bCs/>
                <w:color w:val="FF0000"/>
                <w:sz w:val="20"/>
                <w:szCs w:val="20"/>
              </w:rPr>
            </w:pPr>
            <w:proofErr w:type="spellStart"/>
            <w:r w:rsidRPr="006F3836">
              <w:rPr>
                <w:rFonts w:ascii="Arial" w:hAnsi="Arial" w:cs="Arial"/>
                <w:sz w:val="20"/>
                <w:szCs w:val="20"/>
              </w:rPr>
              <w:t>Olayinka</w:t>
            </w:r>
            <w:proofErr w:type="spellEnd"/>
            <w:r w:rsidRPr="006F3836">
              <w:rPr>
                <w:rFonts w:ascii="Arial" w:hAnsi="Arial" w:cs="Arial"/>
                <w:sz w:val="20"/>
                <w:szCs w:val="20"/>
              </w:rPr>
              <w:t xml:space="preserve"> K, </w:t>
            </w:r>
            <w:proofErr w:type="spellStart"/>
            <w:r w:rsidRPr="006F3836">
              <w:rPr>
                <w:rFonts w:ascii="Arial" w:hAnsi="Arial" w:cs="Arial"/>
                <w:sz w:val="20"/>
                <w:szCs w:val="20"/>
              </w:rPr>
              <w:t>Soyibo</w:t>
            </w:r>
            <w:proofErr w:type="spellEnd"/>
            <w:r w:rsidRPr="006F3836">
              <w:rPr>
                <w:rFonts w:ascii="Arial" w:hAnsi="Arial" w:cs="Arial"/>
                <w:sz w:val="20"/>
                <w:szCs w:val="20"/>
              </w:rPr>
              <w:t xml:space="preserve"> A, </w:t>
            </w:r>
            <w:proofErr w:type="spellStart"/>
            <w:r w:rsidRPr="006F3836">
              <w:rPr>
                <w:rFonts w:ascii="Arial" w:hAnsi="Arial" w:cs="Arial"/>
                <w:sz w:val="20"/>
                <w:szCs w:val="20"/>
              </w:rPr>
              <w:t>Atinmo</w:t>
            </w:r>
            <w:proofErr w:type="spellEnd"/>
            <w:r w:rsidRPr="006F3836">
              <w:rPr>
                <w:rFonts w:ascii="Arial" w:hAnsi="Arial" w:cs="Arial"/>
                <w:sz w:val="20"/>
                <w:szCs w:val="20"/>
              </w:rPr>
              <w:t xml:space="preserve"> T. (2015). Impact </w:t>
            </w:r>
            <w:proofErr w:type="gramStart"/>
            <w:r w:rsidRPr="006F3836">
              <w:rPr>
                <w:rFonts w:ascii="Arial" w:hAnsi="Arial" w:cs="Arial"/>
                <w:sz w:val="20"/>
                <w:szCs w:val="20"/>
              </w:rPr>
              <w:t>Of</w:t>
            </w:r>
            <w:proofErr w:type="gramEnd"/>
            <w:r w:rsidRPr="006F3836">
              <w:rPr>
                <w:rFonts w:ascii="Arial" w:hAnsi="Arial" w:cs="Arial"/>
                <w:sz w:val="20"/>
                <w:szCs w:val="20"/>
              </w:rPr>
              <w:t xml:space="preserve"> Globalization on Food Consuming, </w:t>
            </w:r>
            <w:proofErr w:type="spellStart"/>
            <w:r w:rsidRPr="006F3836">
              <w:rPr>
                <w:rFonts w:ascii="Arial" w:hAnsi="Arial" w:cs="Arial"/>
                <w:sz w:val="20"/>
                <w:szCs w:val="20"/>
              </w:rPr>
              <w:t>Helath</w:t>
            </w:r>
            <w:proofErr w:type="spellEnd"/>
            <w:r w:rsidRPr="006F3836">
              <w:rPr>
                <w:rFonts w:ascii="Arial" w:hAnsi="Arial" w:cs="Arial"/>
                <w:sz w:val="20"/>
                <w:szCs w:val="20"/>
              </w:rPr>
              <w:t xml:space="preserve"> &amp; Nutrition in Nigeria. In Globalization of Food Systems in Developing Countries: Impact on Food Security &amp; Nutrition. Food &amp; Nutrition Paper 83. Food &amp; Agriculture Organization of the United Nations</w:t>
            </w:r>
            <w:proofErr w:type="gramStart"/>
            <w:r w:rsidRPr="006F3836">
              <w:rPr>
                <w:rFonts w:ascii="Arial" w:hAnsi="Arial" w:cs="Arial"/>
                <w:sz w:val="20"/>
                <w:szCs w:val="20"/>
              </w:rPr>
              <w:t>. .</w:t>
            </w:r>
            <w:proofErr w:type="gramEnd"/>
            <w:r w:rsidRPr="006F3836">
              <w:rPr>
                <w:rFonts w:ascii="Arial" w:hAnsi="Arial" w:cs="Arial"/>
                <w:sz w:val="20"/>
                <w:szCs w:val="20"/>
              </w:rPr>
              <w:t xml:space="preserve"> </w:t>
            </w:r>
            <w:hyperlink r:id="rId11" w:history="1">
              <w:r w:rsidRPr="006F3836">
                <w:rPr>
                  <w:rStyle w:val="Hyperlink"/>
                  <w:rFonts w:ascii="Arial" w:hAnsi="Arial" w:cs="Arial"/>
                  <w:sz w:val="20"/>
                  <w:szCs w:val="20"/>
                </w:rPr>
                <w:t>http://ftp.fao.org/docrep/fao/007/y5736e/y5736e00.pdf</w:t>
              </w:r>
            </w:hyperlink>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sz w:val="20"/>
                <w:szCs w:val="20"/>
              </w:rPr>
              <w:t xml:space="preserve">Richard </w:t>
            </w:r>
            <w:proofErr w:type="spellStart"/>
            <w:r w:rsidRPr="006F3836">
              <w:rPr>
                <w:rFonts w:ascii="Arial" w:hAnsi="Arial" w:cs="Arial"/>
                <w:sz w:val="20"/>
                <w:szCs w:val="20"/>
              </w:rPr>
              <w:t>Macmanus</w:t>
            </w:r>
            <w:proofErr w:type="spellEnd"/>
            <w:r w:rsidRPr="006F3836">
              <w:rPr>
                <w:rFonts w:ascii="Arial" w:hAnsi="Arial" w:cs="Arial"/>
                <w:sz w:val="20"/>
                <w:szCs w:val="20"/>
              </w:rPr>
              <w:t xml:space="preserve">. (2004). Trackers: How Technology is Helping Us Monitor &amp; Improve Our Health. Chapter 2. </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lang w:val="en-GB"/>
              </w:rPr>
            </w:pPr>
            <w:r w:rsidRPr="006F3836">
              <w:rPr>
                <w:rFonts w:ascii="Arial" w:hAnsi="Arial" w:cs="Arial"/>
                <w:sz w:val="20"/>
                <w:szCs w:val="20"/>
                <w:lang w:val="en-GB"/>
              </w:rPr>
              <w:t xml:space="preserve">Shearman, J., </w:t>
            </w:r>
            <w:proofErr w:type="spellStart"/>
            <w:r w:rsidRPr="006F3836">
              <w:rPr>
                <w:rFonts w:ascii="Arial" w:hAnsi="Arial" w:cs="Arial"/>
                <w:sz w:val="20"/>
                <w:szCs w:val="20"/>
                <w:lang w:val="en-GB"/>
              </w:rPr>
              <w:t>Micklewright</w:t>
            </w:r>
            <w:proofErr w:type="spellEnd"/>
            <w:r w:rsidRPr="006F3836">
              <w:rPr>
                <w:rFonts w:ascii="Arial" w:hAnsi="Arial" w:cs="Arial"/>
                <w:sz w:val="20"/>
                <w:szCs w:val="20"/>
                <w:lang w:val="en-GB"/>
              </w:rPr>
              <w:t xml:space="preserve">, D., </w:t>
            </w:r>
            <w:proofErr w:type="spellStart"/>
            <w:r w:rsidRPr="006F3836">
              <w:rPr>
                <w:rFonts w:ascii="Arial" w:hAnsi="Arial" w:cs="Arial"/>
                <w:sz w:val="20"/>
                <w:szCs w:val="20"/>
                <w:lang w:val="en-GB"/>
              </w:rPr>
              <w:t>Hardcastle</w:t>
            </w:r>
            <w:proofErr w:type="spellEnd"/>
            <w:r w:rsidRPr="006F3836">
              <w:rPr>
                <w:rFonts w:ascii="Arial" w:hAnsi="Arial" w:cs="Arial"/>
                <w:sz w:val="20"/>
                <w:szCs w:val="20"/>
                <w:lang w:val="en-GB"/>
              </w:rPr>
              <w:t xml:space="preserve">, J., Hamlin, M., &amp; Draper, N. (2010). The effect of physical activity on serum lipids, lipoprotein and </w:t>
            </w:r>
            <w:proofErr w:type="spellStart"/>
            <w:r w:rsidRPr="006F3836">
              <w:rPr>
                <w:rFonts w:ascii="Arial" w:hAnsi="Arial" w:cs="Arial"/>
                <w:sz w:val="20"/>
                <w:szCs w:val="20"/>
                <w:lang w:val="en-GB"/>
              </w:rPr>
              <w:t>Apolipoproteins</w:t>
            </w:r>
            <w:proofErr w:type="spellEnd"/>
            <w:r w:rsidRPr="006F3836">
              <w:rPr>
                <w:rFonts w:ascii="Arial" w:hAnsi="Arial" w:cs="Arial"/>
                <w:sz w:val="20"/>
                <w:szCs w:val="20"/>
                <w:lang w:val="en-GB"/>
              </w:rPr>
              <w:t xml:space="preserve">. </w:t>
            </w:r>
            <w:r w:rsidRPr="006F3836">
              <w:rPr>
                <w:rFonts w:ascii="Arial" w:hAnsi="Arial" w:cs="Arial"/>
                <w:i/>
                <w:sz w:val="20"/>
                <w:szCs w:val="20"/>
                <w:lang w:val="en-GB"/>
              </w:rPr>
              <w:t>Arch of Exercise Health Disease, 1(2),</w:t>
            </w:r>
            <w:r w:rsidRPr="006F3836">
              <w:rPr>
                <w:rFonts w:ascii="Arial" w:hAnsi="Arial" w:cs="Arial"/>
                <w:sz w:val="20"/>
                <w:szCs w:val="20"/>
                <w:lang w:val="en-GB"/>
              </w:rPr>
              <w:t xml:space="preserve"> 43-49.</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bCs/>
                <w:iCs/>
                <w:sz w:val="20"/>
                <w:szCs w:val="20"/>
              </w:rPr>
              <w:t xml:space="preserve">Stone, N.J., </w:t>
            </w:r>
            <w:proofErr w:type="spellStart"/>
            <w:r w:rsidRPr="006F3836">
              <w:rPr>
                <w:rFonts w:ascii="Arial" w:hAnsi="Arial" w:cs="Arial"/>
                <w:bCs/>
                <w:iCs/>
                <w:sz w:val="20"/>
                <w:szCs w:val="20"/>
              </w:rPr>
              <w:t>Bilek</w:t>
            </w:r>
            <w:proofErr w:type="spellEnd"/>
            <w:r w:rsidRPr="006F3836">
              <w:rPr>
                <w:rFonts w:ascii="Arial" w:hAnsi="Arial" w:cs="Arial"/>
                <w:bCs/>
                <w:iCs/>
                <w:sz w:val="20"/>
                <w:szCs w:val="20"/>
              </w:rPr>
              <w:t xml:space="preserve">, S., &amp; Rosenbaum, S. (2005). Recent National Cholesterol Education Program Adult Treatment Panel III update: adjustments and options. </w:t>
            </w:r>
            <w:r w:rsidRPr="006F3836">
              <w:rPr>
                <w:rFonts w:ascii="Arial" w:hAnsi="Arial" w:cs="Arial"/>
                <w:bCs/>
                <w:i/>
                <w:iCs/>
                <w:sz w:val="20"/>
                <w:szCs w:val="20"/>
              </w:rPr>
              <w:t xml:space="preserve">Am J </w:t>
            </w:r>
            <w:proofErr w:type="spellStart"/>
            <w:r w:rsidRPr="006F3836">
              <w:rPr>
                <w:rFonts w:ascii="Arial" w:hAnsi="Arial" w:cs="Arial"/>
                <w:bCs/>
                <w:i/>
                <w:iCs/>
                <w:sz w:val="20"/>
                <w:szCs w:val="20"/>
              </w:rPr>
              <w:t>Cardiol</w:t>
            </w:r>
            <w:proofErr w:type="spellEnd"/>
            <w:r w:rsidRPr="006F3836">
              <w:rPr>
                <w:rFonts w:ascii="Arial" w:hAnsi="Arial" w:cs="Arial"/>
                <w:bCs/>
                <w:i/>
                <w:iCs/>
                <w:sz w:val="20"/>
                <w:szCs w:val="20"/>
              </w:rPr>
              <w:t>,</w:t>
            </w:r>
            <w:r w:rsidRPr="006F3836">
              <w:rPr>
                <w:rFonts w:ascii="Arial" w:hAnsi="Arial" w:cs="Arial"/>
                <w:bCs/>
                <w:iCs/>
                <w:sz w:val="20"/>
                <w:szCs w:val="20"/>
              </w:rPr>
              <w:t xml:space="preserve"> </w:t>
            </w:r>
            <w:r w:rsidRPr="006F3836">
              <w:rPr>
                <w:rFonts w:ascii="Arial" w:hAnsi="Arial" w:cs="Arial"/>
                <w:bCs/>
                <w:i/>
                <w:iCs/>
                <w:sz w:val="20"/>
                <w:szCs w:val="20"/>
              </w:rPr>
              <w:t>96,</w:t>
            </w:r>
            <w:r w:rsidRPr="006F3836">
              <w:rPr>
                <w:rFonts w:ascii="Arial" w:hAnsi="Arial" w:cs="Arial"/>
                <w:bCs/>
                <w:iCs/>
                <w:sz w:val="20"/>
                <w:szCs w:val="20"/>
              </w:rPr>
              <w:t xml:space="preserve"> 53E–59E</w:t>
            </w:r>
            <w:r w:rsidRPr="006F3836">
              <w:rPr>
                <w:rFonts w:ascii="Arial" w:hAnsi="Arial" w:cs="Arial"/>
                <w:sz w:val="20"/>
                <w:szCs w:val="20"/>
              </w:rPr>
              <w:t>.</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lang w:val="en-GB"/>
              </w:rPr>
            </w:pPr>
            <w:proofErr w:type="spellStart"/>
            <w:r w:rsidRPr="006F3836">
              <w:rPr>
                <w:rFonts w:ascii="Arial" w:hAnsi="Arial" w:cs="Arial"/>
                <w:sz w:val="20"/>
                <w:szCs w:val="20"/>
                <w:lang w:val="en-GB"/>
              </w:rPr>
              <w:t>Takazawa</w:t>
            </w:r>
            <w:proofErr w:type="spellEnd"/>
            <w:r w:rsidRPr="006F3836">
              <w:rPr>
                <w:rFonts w:ascii="Arial" w:hAnsi="Arial" w:cs="Arial"/>
                <w:sz w:val="20"/>
                <w:szCs w:val="20"/>
                <w:lang w:val="en-GB"/>
              </w:rPr>
              <w:t xml:space="preserve"> </w:t>
            </w:r>
            <w:proofErr w:type="gramStart"/>
            <w:r w:rsidRPr="006F3836">
              <w:rPr>
                <w:rFonts w:ascii="Arial" w:hAnsi="Arial" w:cs="Arial"/>
                <w:sz w:val="20"/>
                <w:szCs w:val="20"/>
                <w:lang w:val="en-GB"/>
              </w:rPr>
              <w:t>K ,Tanaka</w:t>
            </w:r>
            <w:proofErr w:type="gramEnd"/>
            <w:r w:rsidRPr="006F3836">
              <w:rPr>
                <w:rFonts w:ascii="Arial" w:hAnsi="Arial" w:cs="Arial"/>
                <w:sz w:val="20"/>
                <w:szCs w:val="20"/>
                <w:lang w:val="en-GB"/>
              </w:rPr>
              <w:t xml:space="preserve"> N, Fujita M, Matsuoka O, Saiki T, </w:t>
            </w:r>
            <w:proofErr w:type="spellStart"/>
            <w:r w:rsidRPr="006F3836">
              <w:rPr>
                <w:rFonts w:ascii="Arial" w:hAnsi="Arial" w:cs="Arial"/>
                <w:sz w:val="20"/>
                <w:szCs w:val="20"/>
                <w:lang w:val="en-GB"/>
              </w:rPr>
              <w:t>Aikawa</w:t>
            </w:r>
            <w:proofErr w:type="spellEnd"/>
            <w:r w:rsidRPr="006F3836">
              <w:rPr>
                <w:rFonts w:ascii="Arial" w:hAnsi="Arial" w:cs="Arial"/>
                <w:sz w:val="20"/>
                <w:szCs w:val="20"/>
                <w:lang w:val="en-GB"/>
              </w:rPr>
              <w:t xml:space="preserve"> M, Tamura S &amp; </w:t>
            </w:r>
            <w:proofErr w:type="spellStart"/>
            <w:r w:rsidRPr="006F3836">
              <w:rPr>
                <w:rFonts w:ascii="Arial" w:hAnsi="Arial" w:cs="Arial"/>
                <w:sz w:val="20"/>
                <w:szCs w:val="20"/>
                <w:lang w:val="en-GB"/>
              </w:rPr>
              <w:t>Ibukiyama</w:t>
            </w:r>
            <w:proofErr w:type="spellEnd"/>
            <w:r w:rsidRPr="006F3836">
              <w:rPr>
                <w:rFonts w:ascii="Arial" w:hAnsi="Arial" w:cs="Arial"/>
                <w:sz w:val="20"/>
                <w:szCs w:val="20"/>
                <w:lang w:val="en-GB"/>
              </w:rPr>
              <w:t xml:space="preserve"> C. (1998). Assessment of Vasoactive Agents &amp; Vascular Ageing by the Second Derivative of Photoplethysmogram Waveform. </w:t>
            </w:r>
            <w:r w:rsidRPr="006F3836">
              <w:rPr>
                <w:rFonts w:ascii="Arial" w:hAnsi="Arial" w:cs="Arial"/>
                <w:i/>
                <w:sz w:val="20"/>
                <w:szCs w:val="20"/>
                <w:lang w:val="en-GB"/>
              </w:rPr>
              <w:t>Hypertension, 32,</w:t>
            </w:r>
            <w:r w:rsidRPr="006F3836">
              <w:rPr>
                <w:rFonts w:ascii="Arial" w:hAnsi="Arial" w:cs="Arial"/>
                <w:sz w:val="20"/>
                <w:szCs w:val="20"/>
                <w:lang w:val="en-GB"/>
              </w:rPr>
              <w:t>365-370.</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r w:rsidRPr="006F3836">
              <w:rPr>
                <w:rFonts w:ascii="Arial" w:hAnsi="Arial" w:cs="Arial"/>
                <w:bCs/>
                <w:iCs/>
                <w:sz w:val="20"/>
                <w:szCs w:val="20"/>
              </w:rPr>
              <w:t xml:space="preserve">Tan, C.E., Ma, S., </w:t>
            </w:r>
            <w:proofErr w:type="spellStart"/>
            <w:r w:rsidRPr="006F3836">
              <w:rPr>
                <w:rFonts w:ascii="Arial" w:hAnsi="Arial" w:cs="Arial"/>
                <w:bCs/>
                <w:iCs/>
                <w:sz w:val="20"/>
                <w:szCs w:val="20"/>
              </w:rPr>
              <w:t>Wai</w:t>
            </w:r>
            <w:proofErr w:type="spellEnd"/>
            <w:r w:rsidRPr="006F3836">
              <w:rPr>
                <w:rFonts w:ascii="Arial" w:hAnsi="Arial" w:cs="Arial"/>
                <w:bCs/>
                <w:iCs/>
                <w:sz w:val="20"/>
                <w:szCs w:val="20"/>
              </w:rPr>
              <w:t xml:space="preserve">, D., Chew, S.K., &amp; Tai, E.S. (2004). Can we apply the National Cholesterol Education Program Adult Treatment Panel definition of the metabolic syndrome to Asians? </w:t>
            </w:r>
            <w:r w:rsidRPr="006F3836">
              <w:rPr>
                <w:rFonts w:ascii="Arial" w:hAnsi="Arial" w:cs="Arial"/>
                <w:bCs/>
                <w:i/>
                <w:iCs/>
                <w:sz w:val="20"/>
                <w:szCs w:val="20"/>
              </w:rPr>
              <w:t>Diabetes</w:t>
            </w:r>
            <w:r w:rsidRPr="006F3836">
              <w:rPr>
                <w:rFonts w:ascii="Arial" w:hAnsi="Arial" w:cs="Arial"/>
                <w:bCs/>
                <w:iCs/>
                <w:sz w:val="20"/>
                <w:szCs w:val="20"/>
              </w:rPr>
              <w:t xml:space="preserve"> </w:t>
            </w:r>
            <w:r w:rsidRPr="006F3836">
              <w:rPr>
                <w:rFonts w:ascii="Arial" w:hAnsi="Arial" w:cs="Arial"/>
                <w:bCs/>
                <w:i/>
                <w:iCs/>
                <w:sz w:val="20"/>
                <w:szCs w:val="20"/>
              </w:rPr>
              <w:t>Care,</w:t>
            </w:r>
            <w:r w:rsidRPr="006F3836">
              <w:rPr>
                <w:rFonts w:ascii="Arial" w:hAnsi="Arial" w:cs="Arial"/>
                <w:bCs/>
                <w:iCs/>
                <w:sz w:val="20"/>
                <w:szCs w:val="20"/>
              </w:rPr>
              <w:t xml:space="preserve"> </w:t>
            </w:r>
            <w:r w:rsidRPr="006F3836">
              <w:rPr>
                <w:rFonts w:ascii="Arial" w:hAnsi="Arial" w:cs="Arial"/>
                <w:bCs/>
                <w:i/>
                <w:iCs/>
                <w:sz w:val="20"/>
                <w:szCs w:val="20"/>
              </w:rPr>
              <w:t>27,</w:t>
            </w:r>
            <w:r w:rsidRPr="006F3836">
              <w:rPr>
                <w:rFonts w:ascii="Arial" w:hAnsi="Arial" w:cs="Arial"/>
                <w:bCs/>
                <w:iCs/>
                <w:sz w:val="20"/>
                <w:szCs w:val="20"/>
              </w:rPr>
              <w:t xml:space="preserve"> 1182-1186.</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sz w:val="20"/>
                <w:szCs w:val="20"/>
              </w:rPr>
              <w:t xml:space="preserve">Thomas, L., &amp; Williams, M. (2006). Promoting physical activity in the workplace: using pedometers to increase daily activity levels. </w:t>
            </w:r>
            <w:r w:rsidRPr="006F3836">
              <w:rPr>
                <w:rFonts w:ascii="Arial" w:hAnsi="Arial" w:cs="Arial"/>
                <w:i/>
                <w:sz w:val="20"/>
                <w:szCs w:val="20"/>
              </w:rPr>
              <w:t xml:space="preserve">Health Prom. J. </w:t>
            </w:r>
            <w:proofErr w:type="spellStart"/>
            <w:r w:rsidRPr="006F3836">
              <w:rPr>
                <w:rFonts w:ascii="Arial" w:hAnsi="Arial" w:cs="Arial"/>
                <w:i/>
                <w:sz w:val="20"/>
                <w:szCs w:val="20"/>
              </w:rPr>
              <w:t>Austr</w:t>
            </w:r>
            <w:proofErr w:type="spellEnd"/>
            <w:r w:rsidRPr="006F3836">
              <w:rPr>
                <w:rFonts w:ascii="Arial" w:hAnsi="Arial" w:cs="Arial"/>
                <w:i/>
                <w:sz w:val="20"/>
                <w:szCs w:val="20"/>
              </w:rPr>
              <w:t>.</w:t>
            </w:r>
            <w:r w:rsidRPr="006F3836">
              <w:rPr>
                <w:rFonts w:ascii="Arial" w:hAnsi="Arial" w:cs="Arial"/>
                <w:sz w:val="20"/>
                <w:szCs w:val="20"/>
              </w:rPr>
              <w:t xml:space="preserve"> </w:t>
            </w:r>
            <w:r w:rsidRPr="006F3836">
              <w:rPr>
                <w:rFonts w:ascii="Arial" w:hAnsi="Arial" w:cs="Arial"/>
                <w:i/>
                <w:sz w:val="20"/>
                <w:szCs w:val="20"/>
              </w:rPr>
              <w:t xml:space="preserve">17, </w:t>
            </w:r>
            <w:r w:rsidRPr="006F3836">
              <w:rPr>
                <w:rFonts w:ascii="Arial" w:hAnsi="Arial" w:cs="Arial"/>
                <w:sz w:val="20"/>
                <w:szCs w:val="20"/>
              </w:rPr>
              <w:t>97–102.</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r w:rsidRPr="006F3836">
              <w:rPr>
                <w:rFonts w:ascii="Arial" w:hAnsi="Arial" w:cs="Arial"/>
                <w:bCs/>
                <w:sz w:val="20"/>
                <w:szCs w:val="20"/>
              </w:rPr>
              <w:t xml:space="preserve">Tudor-Locke, C., &amp; Bassett, </w:t>
            </w:r>
            <w:proofErr w:type="gramStart"/>
            <w:r w:rsidRPr="006F3836">
              <w:rPr>
                <w:rFonts w:ascii="Arial" w:hAnsi="Arial" w:cs="Arial"/>
                <w:bCs/>
                <w:sz w:val="20"/>
                <w:szCs w:val="20"/>
              </w:rPr>
              <w:t>D,R.</w:t>
            </w:r>
            <w:proofErr w:type="gramEnd"/>
            <w:r w:rsidRPr="006F3836">
              <w:rPr>
                <w:rFonts w:ascii="Arial" w:hAnsi="Arial" w:cs="Arial"/>
                <w:bCs/>
                <w:sz w:val="20"/>
                <w:szCs w:val="20"/>
              </w:rPr>
              <w:t xml:space="preserve"> Jr. (2004). How many steps/day are enough? Preliminary pedometer indices for public health. </w:t>
            </w:r>
            <w:r w:rsidRPr="006F3836">
              <w:rPr>
                <w:rFonts w:ascii="Arial" w:hAnsi="Arial" w:cs="Arial"/>
                <w:bCs/>
                <w:i/>
                <w:iCs/>
                <w:sz w:val="20"/>
                <w:szCs w:val="20"/>
              </w:rPr>
              <w:t>Sports Med,</w:t>
            </w:r>
            <w:r w:rsidRPr="006F3836">
              <w:rPr>
                <w:rFonts w:ascii="Arial" w:hAnsi="Arial" w:cs="Arial"/>
                <w:bCs/>
                <w:sz w:val="20"/>
                <w:szCs w:val="20"/>
              </w:rPr>
              <w:t xml:space="preserve"> </w:t>
            </w:r>
            <w:r w:rsidRPr="006F3836">
              <w:rPr>
                <w:rFonts w:ascii="Arial" w:hAnsi="Arial" w:cs="Arial"/>
                <w:bCs/>
                <w:i/>
                <w:sz w:val="20"/>
                <w:szCs w:val="20"/>
              </w:rPr>
              <w:t xml:space="preserve">34, </w:t>
            </w:r>
            <w:r w:rsidRPr="006F3836">
              <w:rPr>
                <w:rFonts w:ascii="Arial" w:hAnsi="Arial" w:cs="Arial"/>
                <w:bCs/>
                <w:sz w:val="20"/>
                <w:szCs w:val="20"/>
              </w:rPr>
              <w:t>1-8.</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r w:rsidRPr="006F3836">
              <w:rPr>
                <w:rFonts w:ascii="Arial" w:hAnsi="Arial" w:cs="Arial"/>
                <w:bCs/>
                <w:sz w:val="20"/>
                <w:szCs w:val="20"/>
              </w:rPr>
              <w:t xml:space="preserve">Tudor-Locke, C., Ainsworth BE, Thompson CE &amp; Matthews CE. (2002). Comparison of Pedometer &amp; Accelerometer Measures of Free-Living Physical Activity. </w:t>
            </w:r>
            <w:r w:rsidRPr="006F3836">
              <w:rPr>
                <w:rFonts w:ascii="Arial" w:hAnsi="Arial" w:cs="Arial"/>
                <w:bCs/>
                <w:i/>
                <w:iCs/>
                <w:sz w:val="20"/>
                <w:szCs w:val="20"/>
              </w:rPr>
              <w:t>Sports Med,</w:t>
            </w:r>
            <w:r w:rsidRPr="006F3836">
              <w:rPr>
                <w:rFonts w:ascii="Arial" w:hAnsi="Arial" w:cs="Arial"/>
                <w:bCs/>
                <w:sz w:val="20"/>
                <w:szCs w:val="20"/>
              </w:rPr>
              <w:t xml:space="preserve"> </w:t>
            </w:r>
            <w:r w:rsidRPr="006F3836">
              <w:rPr>
                <w:rFonts w:ascii="Arial" w:hAnsi="Arial" w:cs="Arial"/>
                <w:bCs/>
                <w:i/>
                <w:sz w:val="20"/>
                <w:szCs w:val="20"/>
              </w:rPr>
              <w:t xml:space="preserve">34, </w:t>
            </w:r>
            <w:r w:rsidRPr="006F3836">
              <w:rPr>
                <w:rFonts w:ascii="Arial" w:hAnsi="Arial" w:cs="Arial"/>
                <w:bCs/>
                <w:sz w:val="20"/>
                <w:szCs w:val="20"/>
              </w:rPr>
              <w:t>2045-2051.</w:t>
            </w:r>
          </w:p>
        </w:tc>
      </w:tr>
      <w:tr w:rsidR="006F3836" w:rsidRPr="006F3836" w:rsidTr="00A44DDA">
        <w:tc>
          <w:tcPr>
            <w:tcW w:w="6398" w:type="dxa"/>
          </w:tcPr>
          <w:p w:rsidR="006F3836" w:rsidRPr="006F3836" w:rsidRDefault="006F3836" w:rsidP="00A44DDA">
            <w:pPr>
              <w:ind w:left="180" w:hanging="180"/>
              <w:rPr>
                <w:rFonts w:ascii="Arial" w:hAnsi="Arial" w:cs="Arial"/>
                <w:bCs/>
                <w:sz w:val="20"/>
                <w:szCs w:val="20"/>
              </w:rPr>
            </w:pPr>
            <w:r w:rsidRPr="006F3836">
              <w:rPr>
                <w:rFonts w:ascii="Arial" w:hAnsi="Arial" w:cs="Arial"/>
                <w:bCs/>
                <w:sz w:val="20"/>
                <w:szCs w:val="20"/>
              </w:rPr>
              <w:t xml:space="preserve">Tudor-Locke, C., Bell RC, Myers AM, Harris SB, Lauzon N &amp; Rodger NW. (2002). Pedometer-Determined Ambulatory Activity in Individuals with Type 2 Diabetes. </w:t>
            </w:r>
            <w:r w:rsidRPr="006F3836">
              <w:rPr>
                <w:rFonts w:ascii="Arial" w:hAnsi="Arial" w:cs="Arial"/>
                <w:bCs/>
                <w:i/>
                <w:iCs/>
                <w:sz w:val="20"/>
                <w:szCs w:val="20"/>
              </w:rPr>
              <w:t xml:space="preserve">Diabetes Res </w:t>
            </w:r>
            <w:proofErr w:type="spellStart"/>
            <w:r w:rsidRPr="006F3836">
              <w:rPr>
                <w:rFonts w:ascii="Arial" w:hAnsi="Arial" w:cs="Arial"/>
                <w:bCs/>
                <w:i/>
                <w:iCs/>
                <w:sz w:val="20"/>
                <w:szCs w:val="20"/>
              </w:rPr>
              <w:t>Clin</w:t>
            </w:r>
            <w:proofErr w:type="spellEnd"/>
            <w:r w:rsidRPr="006F3836">
              <w:rPr>
                <w:rFonts w:ascii="Arial" w:hAnsi="Arial" w:cs="Arial"/>
                <w:bCs/>
                <w:i/>
                <w:iCs/>
                <w:sz w:val="20"/>
                <w:szCs w:val="20"/>
              </w:rPr>
              <w:t xml:space="preserve"> </w:t>
            </w:r>
            <w:proofErr w:type="spellStart"/>
            <w:r w:rsidRPr="006F3836">
              <w:rPr>
                <w:rFonts w:ascii="Arial" w:hAnsi="Arial" w:cs="Arial"/>
                <w:bCs/>
                <w:i/>
                <w:iCs/>
                <w:sz w:val="20"/>
                <w:szCs w:val="20"/>
              </w:rPr>
              <w:t>Pract</w:t>
            </w:r>
            <w:proofErr w:type="spellEnd"/>
            <w:r w:rsidRPr="006F3836">
              <w:rPr>
                <w:rFonts w:ascii="Arial" w:hAnsi="Arial" w:cs="Arial"/>
                <w:bCs/>
                <w:i/>
                <w:iCs/>
                <w:sz w:val="20"/>
                <w:szCs w:val="20"/>
              </w:rPr>
              <w:t>,</w:t>
            </w:r>
            <w:r w:rsidRPr="006F3836">
              <w:rPr>
                <w:rFonts w:ascii="Arial" w:hAnsi="Arial" w:cs="Arial"/>
                <w:bCs/>
                <w:sz w:val="20"/>
                <w:szCs w:val="20"/>
              </w:rPr>
              <w:t xml:space="preserve"> </w:t>
            </w:r>
            <w:r w:rsidRPr="006F3836">
              <w:rPr>
                <w:rFonts w:ascii="Arial" w:hAnsi="Arial" w:cs="Arial"/>
                <w:bCs/>
                <w:i/>
                <w:sz w:val="20"/>
                <w:szCs w:val="20"/>
              </w:rPr>
              <w:t xml:space="preserve">55, </w:t>
            </w:r>
            <w:r w:rsidRPr="006F3836">
              <w:rPr>
                <w:rFonts w:ascii="Arial" w:hAnsi="Arial" w:cs="Arial"/>
                <w:bCs/>
                <w:sz w:val="20"/>
                <w:szCs w:val="20"/>
              </w:rPr>
              <w:t>191-199.</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r w:rsidRPr="006F3836">
              <w:rPr>
                <w:rFonts w:ascii="Arial" w:hAnsi="Arial" w:cs="Arial"/>
                <w:bCs/>
                <w:iCs/>
                <w:sz w:val="20"/>
                <w:szCs w:val="20"/>
              </w:rPr>
              <w:t xml:space="preserve">Tudor-Locke, C.E., &amp; Myers, A.M. (2001). Challenges and Opportunities for Measuring Physical Activity in Sedentary Adults. </w:t>
            </w:r>
            <w:r w:rsidRPr="006F3836">
              <w:rPr>
                <w:rFonts w:ascii="Arial" w:hAnsi="Arial" w:cs="Arial"/>
                <w:bCs/>
                <w:i/>
                <w:iCs/>
                <w:sz w:val="20"/>
                <w:szCs w:val="20"/>
              </w:rPr>
              <w:t>Sports Med. 31(2),</w:t>
            </w:r>
            <w:r w:rsidRPr="006F3836">
              <w:rPr>
                <w:rFonts w:ascii="Arial" w:hAnsi="Arial" w:cs="Arial"/>
                <w:bCs/>
                <w:iCs/>
                <w:sz w:val="20"/>
                <w:szCs w:val="20"/>
              </w:rPr>
              <w:t xml:space="preserve"> 91-100.</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lang w:val="en-GB"/>
              </w:rPr>
            </w:pPr>
            <w:r w:rsidRPr="006F3836">
              <w:rPr>
                <w:rFonts w:ascii="Arial" w:hAnsi="Arial" w:cs="Arial"/>
                <w:sz w:val="20"/>
                <w:szCs w:val="20"/>
                <w:lang w:val="en-GB"/>
              </w:rPr>
              <w:lastRenderedPageBreak/>
              <w:t>Wan Ahmad, W.A., &amp; Sim, K.H. (2010). Annual Report of the NCVD-ACS Registry, Year 2007 &amp; 2008. Kuala Lumpur, Malaysia: National Cardiovascular Disease Database.</w:t>
            </w:r>
          </w:p>
        </w:tc>
      </w:tr>
      <w:tr w:rsidR="006F3836" w:rsidRPr="006F3836" w:rsidTr="00A44DDA">
        <w:tc>
          <w:tcPr>
            <w:tcW w:w="6398" w:type="dxa"/>
          </w:tcPr>
          <w:p w:rsidR="006F3836" w:rsidRPr="006F3836" w:rsidRDefault="006F3836" w:rsidP="00A44DDA">
            <w:pPr>
              <w:ind w:left="180" w:hanging="180"/>
              <w:rPr>
                <w:rFonts w:ascii="Arial" w:hAnsi="Arial" w:cs="Arial"/>
                <w:sz w:val="20"/>
                <w:szCs w:val="20"/>
              </w:rPr>
            </w:pPr>
            <w:r w:rsidRPr="006F3836">
              <w:rPr>
                <w:rFonts w:ascii="Arial" w:hAnsi="Arial" w:cs="Arial"/>
                <w:sz w:val="20"/>
                <w:szCs w:val="20"/>
                <w:lang w:val="en-GB"/>
              </w:rPr>
              <w:t xml:space="preserve">World Health </w:t>
            </w:r>
            <w:proofErr w:type="spellStart"/>
            <w:r w:rsidRPr="006F3836">
              <w:rPr>
                <w:rFonts w:ascii="Arial" w:hAnsi="Arial" w:cs="Arial"/>
                <w:sz w:val="20"/>
                <w:szCs w:val="20"/>
                <w:lang w:val="en-GB"/>
              </w:rPr>
              <w:t>Oragnization</w:t>
            </w:r>
            <w:proofErr w:type="spellEnd"/>
            <w:r w:rsidRPr="006F3836">
              <w:rPr>
                <w:rFonts w:ascii="Arial" w:hAnsi="Arial" w:cs="Arial"/>
                <w:sz w:val="20"/>
                <w:szCs w:val="20"/>
                <w:lang w:val="en-GB"/>
              </w:rPr>
              <w:t xml:space="preserve"> WHO Global </w:t>
            </w:r>
            <w:proofErr w:type="spellStart"/>
            <w:r w:rsidRPr="006F3836">
              <w:rPr>
                <w:rFonts w:ascii="Arial" w:hAnsi="Arial" w:cs="Arial"/>
                <w:sz w:val="20"/>
                <w:szCs w:val="20"/>
                <w:lang w:val="en-GB"/>
              </w:rPr>
              <w:t>Infrobase</w:t>
            </w:r>
            <w:proofErr w:type="spellEnd"/>
            <w:r w:rsidRPr="006F3836">
              <w:rPr>
                <w:rFonts w:ascii="Arial" w:hAnsi="Arial" w:cs="Arial"/>
                <w:sz w:val="20"/>
                <w:szCs w:val="20"/>
                <w:lang w:val="en-GB"/>
              </w:rPr>
              <w:t xml:space="preserve">. Data </w:t>
            </w:r>
            <w:proofErr w:type="gramStart"/>
            <w:r w:rsidRPr="006F3836">
              <w:rPr>
                <w:rFonts w:ascii="Arial" w:hAnsi="Arial" w:cs="Arial"/>
                <w:sz w:val="20"/>
                <w:szCs w:val="20"/>
                <w:lang w:val="en-GB"/>
              </w:rPr>
              <w:t>For</w:t>
            </w:r>
            <w:proofErr w:type="gramEnd"/>
            <w:r w:rsidRPr="006F3836">
              <w:rPr>
                <w:rFonts w:ascii="Arial" w:hAnsi="Arial" w:cs="Arial"/>
                <w:sz w:val="20"/>
                <w:szCs w:val="20"/>
                <w:lang w:val="en-GB"/>
              </w:rPr>
              <w:t xml:space="preserve"> Saving </w:t>
            </w:r>
            <w:proofErr w:type="spellStart"/>
            <w:r w:rsidRPr="006F3836">
              <w:rPr>
                <w:rFonts w:ascii="Arial" w:hAnsi="Arial" w:cs="Arial"/>
                <w:sz w:val="20"/>
                <w:szCs w:val="20"/>
                <w:lang w:val="en-GB"/>
              </w:rPr>
              <w:t>Lifes</w:t>
            </w:r>
            <w:proofErr w:type="spellEnd"/>
            <w:r w:rsidRPr="006F3836">
              <w:rPr>
                <w:rFonts w:ascii="Arial" w:hAnsi="Arial" w:cs="Arial"/>
                <w:sz w:val="20"/>
                <w:szCs w:val="20"/>
                <w:lang w:val="en-GB"/>
              </w:rPr>
              <w:t>. World Health Organization: 2010</w:t>
            </w:r>
            <w:proofErr w:type="gramStart"/>
            <w:r w:rsidRPr="006F3836">
              <w:rPr>
                <w:rFonts w:ascii="Arial" w:hAnsi="Arial" w:cs="Arial"/>
                <w:sz w:val="20"/>
                <w:szCs w:val="20"/>
                <w:lang w:val="en-GB"/>
              </w:rPr>
              <w:t xml:space="preserve">. </w:t>
            </w:r>
            <w:r w:rsidRPr="006F3836">
              <w:rPr>
                <w:rFonts w:ascii="Arial" w:hAnsi="Arial" w:cs="Arial"/>
                <w:sz w:val="20"/>
                <w:szCs w:val="20"/>
              </w:rPr>
              <w:t>.</w:t>
            </w:r>
            <w:proofErr w:type="gramEnd"/>
            <w:r w:rsidRPr="006F3836">
              <w:rPr>
                <w:rFonts w:ascii="Arial" w:hAnsi="Arial" w:cs="Arial"/>
                <w:sz w:val="20"/>
                <w:szCs w:val="20"/>
              </w:rPr>
              <w:t xml:space="preserve"> </w:t>
            </w:r>
            <w:hyperlink r:id="rId12" w:history="1">
              <w:r w:rsidRPr="006F3836">
                <w:rPr>
                  <w:rStyle w:val="Hyperlink"/>
                  <w:rFonts w:ascii="Arial" w:hAnsi="Arial" w:cs="Arial"/>
                  <w:sz w:val="20"/>
                  <w:szCs w:val="20"/>
                </w:rPr>
                <w:t>https://apps.who.int/infobase/Indicators.aspx</w:t>
              </w:r>
            </w:hyperlink>
            <w:r w:rsidRPr="006F3836">
              <w:rPr>
                <w:rFonts w:ascii="Arial" w:hAnsi="Arial" w:cs="Arial"/>
                <w:sz w:val="20"/>
                <w:szCs w:val="20"/>
              </w:rPr>
              <w:t>. August 02, 2015.</w:t>
            </w:r>
          </w:p>
        </w:tc>
      </w:tr>
      <w:tr w:rsidR="006F3836" w:rsidRPr="006F3836" w:rsidTr="00A44DDA">
        <w:tc>
          <w:tcPr>
            <w:tcW w:w="6398" w:type="dxa"/>
          </w:tcPr>
          <w:p w:rsidR="006F3836" w:rsidRPr="006F3836" w:rsidRDefault="006F3836" w:rsidP="00A44DDA">
            <w:pPr>
              <w:ind w:left="180" w:hanging="180"/>
              <w:rPr>
                <w:rFonts w:ascii="Arial" w:hAnsi="Arial" w:cs="Arial"/>
                <w:bCs/>
                <w:iCs/>
                <w:sz w:val="20"/>
                <w:szCs w:val="20"/>
              </w:rPr>
            </w:pPr>
            <w:r w:rsidRPr="006F3836">
              <w:rPr>
                <w:rFonts w:ascii="Arial" w:hAnsi="Arial" w:cs="Arial"/>
                <w:sz w:val="20"/>
                <w:szCs w:val="20"/>
              </w:rPr>
              <w:t xml:space="preserve"> </w:t>
            </w:r>
            <w:proofErr w:type="spellStart"/>
            <w:r w:rsidRPr="006F3836">
              <w:rPr>
                <w:rFonts w:ascii="Arial" w:hAnsi="Arial" w:cs="Arial"/>
                <w:sz w:val="20"/>
                <w:szCs w:val="20"/>
              </w:rPr>
              <w:t>Yach</w:t>
            </w:r>
            <w:proofErr w:type="spellEnd"/>
            <w:r w:rsidRPr="006F3836">
              <w:rPr>
                <w:rFonts w:ascii="Arial" w:hAnsi="Arial" w:cs="Arial"/>
                <w:sz w:val="20"/>
                <w:szCs w:val="20"/>
              </w:rPr>
              <w:t xml:space="preserve">, D; Hawkes, C; Gould, CL; </w:t>
            </w:r>
            <w:proofErr w:type="spellStart"/>
            <w:r w:rsidRPr="006F3836">
              <w:rPr>
                <w:rFonts w:ascii="Arial" w:hAnsi="Arial" w:cs="Arial"/>
                <w:sz w:val="20"/>
                <w:szCs w:val="20"/>
              </w:rPr>
              <w:t>Hofman</w:t>
            </w:r>
            <w:proofErr w:type="spellEnd"/>
            <w:r w:rsidRPr="006F3836">
              <w:rPr>
                <w:rFonts w:ascii="Arial" w:hAnsi="Arial" w:cs="Arial"/>
                <w:sz w:val="20"/>
                <w:szCs w:val="20"/>
              </w:rPr>
              <w:t xml:space="preserve">, KJ. (2004) The Global Burden of Chronic Diseases: Overcoming Impediments to Prevention &amp; Control. </w:t>
            </w:r>
            <w:r w:rsidRPr="006F3836">
              <w:rPr>
                <w:rFonts w:ascii="Arial" w:hAnsi="Arial" w:cs="Arial"/>
                <w:i/>
                <w:sz w:val="20"/>
                <w:szCs w:val="20"/>
              </w:rPr>
              <w:t xml:space="preserve">JAMA, 291, </w:t>
            </w:r>
            <w:r w:rsidRPr="006F3836">
              <w:rPr>
                <w:rFonts w:ascii="Arial" w:hAnsi="Arial" w:cs="Arial"/>
                <w:sz w:val="20"/>
                <w:szCs w:val="20"/>
              </w:rPr>
              <w:t>2616-2622.</w:t>
            </w:r>
          </w:p>
        </w:tc>
      </w:tr>
    </w:tbl>
    <w:p w:rsidR="000F003D" w:rsidRPr="007D3B40" w:rsidRDefault="000F003D" w:rsidP="00A44DDA">
      <w:pPr>
        <w:ind w:left="180" w:hanging="180"/>
        <w:rPr>
          <w:lang w:val="en-GB"/>
        </w:rPr>
      </w:pPr>
    </w:p>
    <w:p w:rsidR="000F003D" w:rsidRPr="00B268FA" w:rsidRDefault="000F003D" w:rsidP="00E4387A">
      <w:pPr>
        <w:spacing w:after="0" w:line="240" w:lineRule="auto"/>
        <w:jc w:val="both"/>
        <w:rPr>
          <w:rFonts w:ascii="Arial" w:hAnsi="Arial" w:cs="Arial"/>
          <w:sz w:val="20"/>
          <w:szCs w:val="20"/>
        </w:rPr>
      </w:pPr>
    </w:p>
    <w:sectPr w:rsidR="000F003D" w:rsidRPr="00B268FA" w:rsidSect="00257DB5">
      <w:headerReference w:type="default" r:id="rId13"/>
      <w:pgSz w:w="9648" w:h="13680"/>
      <w:pgMar w:top="1440" w:right="1152" w:bottom="1440" w:left="172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0F9" w:rsidRDefault="009E30F9" w:rsidP="00257DB5">
      <w:pPr>
        <w:spacing w:after="0" w:line="240" w:lineRule="auto"/>
      </w:pPr>
      <w:r>
        <w:separator/>
      </w:r>
    </w:p>
  </w:endnote>
  <w:endnote w:type="continuationSeparator" w:id="0">
    <w:p w:rsidR="009E30F9" w:rsidRDefault="009E30F9" w:rsidP="0025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0F9" w:rsidRDefault="009E30F9" w:rsidP="00257DB5">
      <w:pPr>
        <w:spacing w:after="0" w:line="240" w:lineRule="auto"/>
      </w:pPr>
      <w:r>
        <w:separator/>
      </w:r>
    </w:p>
  </w:footnote>
  <w:footnote w:type="continuationSeparator" w:id="0">
    <w:p w:rsidR="009E30F9" w:rsidRDefault="009E30F9" w:rsidP="00257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DB5" w:rsidRDefault="00257DB5" w:rsidP="00257DB5">
    <w:pPr>
      <w:pStyle w:val="Header"/>
      <w:jc w:val="right"/>
    </w:pPr>
    <w:r>
      <w:t xml:space="preserve">Knowledge Transfer </w:t>
    </w:r>
    <w:proofErr w:type="spellStart"/>
    <w:r>
      <w:t>Programme</w:t>
    </w:r>
    <w:proofErr w:type="spellEnd"/>
  </w:p>
  <w:p w:rsidR="00257DB5" w:rsidRDefault="00257DB5" w:rsidP="00257DB5">
    <w:pPr>
      <w:pStyle w:val="Header"/>
      <w:pBdr>
        <w:bottom w:val="single" w:sz="4" w:space="1" w:color="auto"/>
      </w:pBdr>
      <w:jc w:val="right"/>
    </w:pPr>
    <w:r>
      <w:t>International Conference On Knowledge Transfer 2015</w:t>
    </w:r>
  </w:p>
  <w:p w:rsidR="00257DB5" w:rsidRDefault="00257D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B5"/>
    <w:rsid w:val="000F003D"/>
    <w:rsid w:val="00257DB5"/>
    <w:rsid w:val="003E51AB"/>
    <w:rsid w:val="00401821"/>
    <w:rsid w:val="004D4AC5"/>
    <w:rsid w:val="005D0546"/>
    <w:rsid w:val="006F3836"/>
    <w:rsid w:val="00885F9E"/>
    <w:rsid w:val="009E30F9"/>
    <w:rsid w:val="00A44DDA"/>
    <w:rsid w:val="00B268FA"/>
    <w:rsid w:val="00E4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27F3"/>
  <w15:chartTrackingRefBased/>
  <w15:docId w15:val="{4108B4F0-0C1F-4B44-B5AF-1594F0D1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003D"/>
    <w:pPr>
      <w:keepNext/>
      <w:spacing w:after="0" w:line="240" w:lineRule="auto"/>
      <w:jc w:val="both"/>
      <w:outlineLvl w:val="0"/>
    </w:pPr>
    <w:rPr>
      <w:rFonts w:ascii="Times New Roman" w:eastAsia="Times New Roman" w:hAnsi="Times New Roman" w:cs="Times New Roman"/>
      <w:b/>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B5"/>
  </w:style>
  <w:style w:type="paragraph" w:styleId="Footer">
    <w:name w:val="footer"/>
    <w:basedOn w:val="Normal"/>
    <w:link w:val="FooterChar"/>
    <w:uiPriority w:val="99"/>
    <w:unhideWhenUsed/>
    <w:rsid w:val="0025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B5"/>
  </w:style>
  <w:style w:type="paragraph" w:styleId="Title">
    <w:name w:val="Title"/>
    <w:basedOn w:val="Normal"/>
    <w:link w:val="TitleChar"/>
    <w:qFormat/>
    <w:rsid w:val="00257DB5"/>
    <w:pPr>
      <w:spacing w:before="480"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257DB5"/>
    <w:rPr>
      <w:rFonts w:ascii="Times New Roman" w:eastAsia="Times New Roman" w:hAnsi="Times New Roman" w:cs="Times New Roman"/>
      <w:b/>
      <w:sz w:val="28"/>
      <w:szCs w:val="20"/>
    </w:rPr>
  </w:style>
  <w:style w:type="character" w:customStyle="1" w:styleId="apple-converted-space">
    <w:name w:val="apple-converted-space"/>
    <w:basedOn w:val="DefaultParagraphFont"/>
    <w:rsid w:val="003E51AB"/>
  </w:style>
  <w:style w:type="character" w:customStyle="1" w:styleId="Heading1Char">
    <w:name w:val="Heading 1 Char"/>
    <w:basedOn w:val="DefaultParagraphFont"/>
    <w:link w:val="Heading1"/>
    <w:rsid w:val="000F003D"/>
    <w:rPr>
      <w:rFonts w:ascii="Times New Roman" w:eastAsia="Times New Roman" w:hAnsi="Times New Roman" w:cs="Times New Roman"/>
      <w:b/>
      <w:kern w:val="28"/>
      <w:sz w:val="24"/>
      <w:szCs w:val="20"/>
    </w:rPr>
  </w:style>
  <w:style w:type="character" w:styleId="Hyperlink">
    <w:name w:val="Hyperlink"/>
    <w:rsid w:val="000F003D"/>
    <w:rPr>
      <w:color w:val="0000FF"/>
      <w:u w:val="single"/>
    </w:rPr>
  </w:style>
  <w:style w:type="table" w:styleId="TableGrid">
    <w:name w:val="Table Grid"/>
    <w:basedOn w:val="TableNormal"/>
    <w:uiPriority w:val="39"/>
    <w:rsid w:val="006F3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32058">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
        <w:div w:id="1639140894">
          <w:marLeft w:val="0"/>
          <w:marRight w:val="0"/>
          <w:marTop w:val="0"/>
          <w:marBottom w:val="0"/>
          <w:divBdr>
            <w:top w:val="none" w:sz="0" w:space="0" w:color="auto"/>
            <w:left w:val="none" w:sz="0" w:space="0" w:color="auto"/>
            <w:bottom w:val="none" w:sz="0" w:space="0" w:color="auto"/>
            <w:right w:val="none" w:sz="0" w:space="0" w:color="auto"/>
          </w:divBdr>
        </w:div>
        <w:div w:id="1731686955">
          <w:marLeft w:val="0"/>
          <w:marRight w:val="0"/>
          <w:marTop w:val="0"/>
          <w:marBottom w:val="0"/>
          <w:divBdr>
            <w:top w:val="none" w:sz="0" w:space="0" w:color="auto"/>
            <w:left w:val="none" w:sz="0" w:space="0" w:color="auto"/>
            <w:bottom w:val="none" w:sz="0" w:space="0" w:color="auto"/>
            <w:right w:val="none" w:sz="0" w:space="0" w:color="auto"/>
          </w:divBdr>
        </w:div>
        <w:div w:id="76902863">
          <w:marLeft w:val="0"/>
          <w:marRight w:val="0"/>
          <w:marTop w:val="0"/>
          <w:marBottom w:val="0"/>
          <w:divBdr>
            <w:top w:val="none" w:sz="0" w:space="0" w:color="auto"/>
            <w:left w:val="none" w:sz="0" w:space="0" w:color="auto"/>
            <w:bottom w:val="none" w:sz="0" w:space="0" w:color="auto"/>
            <w:right w:val="none" w:sz="0" w:space="0" w:color="auto"/>
          </w:divBdr>
        </w:div>
        <w:div w:id="717778315">
          <w:marLeft w:val="0"/>
          <w:marRight w:val="0"/>
          <w:marTop w:val="0"/>
          <w:marBottom w:val="0"/>
          <w:divBdr>
            <w:top w:val="none" w:sz="0" w:space="0" w:color="auto"/>
            <w:left w:val="none" w:sz="0" w:space="0" w:color="auto"/>
            <w:bottom w:val="none" w:sz="0" w:space="0" w:color="auto"/>
            <w:right w:val="none" w:sz="0" w:space="0" w:color="auto"/>
          </w:divBdr>
        </w:div>
        <w:div w:id="622465118">
          <w:marLeft w:val="0"/>
          <w:marRight w:val="0"/>
          <w:marTop w:val="0"/>
          <w:marBottom w:val="0"/>
          <w:divBdr>
            <w:top w:val="none" w:sz="0" w:space="0" w:color="auto"/>
            <w:left w:val="none" w:sz="0" w:space="0" w:color="auto"/>
            <w:bottom w:val="none" w:sz="0" w:space="0" w:color="auto"/>
            <w:right w:val="none" w:sz="0" w:space="0" w:color="auto"/>
          </w:divBdr>
        </w:div>
        <w:div w:id="1732385166">
          <w:marLeft w:val="0"/>
          <w:marRight w:val="0"/>
          <w:marTop w:val="0"/>
          <w:marBottom w:val="0"/>
          <w:divBdr>
            <w:top w:val="none" w:sz="0" w:space="0" w:color="auto"/>
            <w:left w:val="none" w:sz="0" w:space="0" w:color="auto"/>
            <w:bottom w:val="none" w:sz="0" w:space="0" w:color="auto"/>
            <w:right w:val="none" w:sz="0" w:space="0" w:color="auto"/>
          </w:divBdr>
        </w:div>
        <w:div w:id="1643192797">
          <w:marLeft w:val="0"/>
          <w:marRight w:val="0"/>
          <w:marTop w:val="0"/>
          <w:marBottom w:val="0"/>
          <w:divBdr>
            <w:top w:val="none" w:sz="0" w:space="0" w:color="auto"/>
            <w:left w:val="none" w:sz="0" w:space="0" w:color="auto"/>
            <w:bottom w:val="none" w:sz="0" w:space="0" w:color="auto"/>
            <w:right w:val="none" w:sz="0" w:space="0" w:color="auto"/>
          </w:divBdr>
        </w:div>
        <w:div w:id="1023895048">
          <w:marLeft w:val="0"/>
          <w:marRight w:val="0"/>
          <w:marTop w:val="0"/>
          <w:marBottom w:val="0"/>
          <w:divBdr>
            <w:top w:val="none" w:sz="0" w:space="0" w:color="auto"/>
            <w:left w:val="none" w:sz="0" w:space="0" w:color="auto"/>
            <w:bottom w:val="none" w:sz="0" w:space="0" w:color="auto"/>
            <w:right w:val="none" w:sz="0" w:space="0" w:color="auto"/>
          </w:divBdr>
        </w:div>
        <w:div w:id="1635020313">
          <w:marLeft w:val="0"/>
          <w:marRight w:val="0"/>
          <w:marTop w:val="0"/>
          <w:marBottom w:val="0"/>
          <w:divBdr>
            <w:top w:val="none" w:sz="0" w:space="0" w:color="auto"/>
            <w:left w:val="none" w:sz="0" w:space="0" w:color="auto"/>
            <w:bottom w:val="none" w:sz="0" w:space="0" w:color="auto"/>
            <w:right w:val="none" w:sz="0" w:space="0" w:color="auto"/>
          </w:divBdr>
        </w:div>
        <w:div w:id="1780103402">
          <w:marLeft w:val="0"/>
          <w:marRight w:val="0"/>
          <w:marTop w:val="0"/>
          <w:marBottom w:val="0"/>
          <w:divBdr>
            <w:top w:val="none" w:sz="0" w:space="0" w:color="auto"/>
            <w:left w:val="none" w:sz="0" w:space="0" w:color="auto"/>
            <w:bottom w:val="none" w:sz="0" w:space="0" w:color="auto"/>
            <w:right w:val="none" w:sz="0" w:space="0" w:color="auto"/>
          </w:divBdr>
        </w:div>
        <w:div w:id="308289540">
          <w:marLeft w:val="0"/>
          <w:marRight w:val="0"/>
          <w:marTop w:val="0"/>
          <w:marBottom w:val="0"/>
          <w:divBdr>
            <w:top w:val="none" w:sz="0" w:space="0" w:color="auto"/>
            <w:left w:val="none" w:sz="0" w:space="0" w:color="auto"/>
            <w:bottom w:val="none" w:sz="0" w:space="0" w:color="auto"/>
            <w:right w:val="none" w:sz="0" w:space="0" w:color="auto"/>
          </w:divBdr>
        </w:div>
        <w:div w:id="1341272769">
          <w:marLeft w:val="0"/>
          <w:marRight w:val="0"/>
          <w:marTop w:val="0"/>
          <w:marBottom w:val="0"/>
          <w:divBdr>
            <w:top w:val="none" w:sz="0" w:space="0" w:color="auto"/>
            <w:left w:val="none" w:sz="0" w:space="0" w:color="auto"/>
            <w:bottom w:val="none" w:sz="0" w:space="0" w:color="auto"/>
            <w:right w:val="none" w:sz="0" w:space="0" w:color="auto"/>
          </w:divBdr>
        </w:div>
        <w:div w:id="985165079">
          <w:marLeft w:val="0"/>
          <w:marRight w:val="0"/>
          <w:marTop w:val="0"/>
          <w:marBottom w:val="0"/>
          <w:divBdr>
            <w:top w:val="none" w:sz="0" w:space="0" w:color="auto"/>
            <w:left w:val="none" w:sz="0" w:space="0" w:color="auto"/>
            <w:bottom w:val="none" w:sz="0" w:space="0" w:color="auto"/>
            <w:right w:val="none" w:sz="0" w:space="0" w:color="auto"/>
          </w:divBdr>
        </w:div>
        <w:div w:id="914586651">
          <w:marLeft w:val="0"/>
          <w:marRight w:val="0"/>
          <w:marTop w:val="0"/>
          <w:marBottom w:val="0"/>
          <w:divBdr>
            <w:top w:val="none" w:sz="0" w:space="0" w:color="auto"/>
            <w:left w:val="none" w:sz="0" w:space="0" w:color="auto"/>
            <w:bottom w:val="none" w:sz="0" w:space="0" w:color="auto"/>
            <w:right w:val="none" w:sz="0" w:space="0" w:color="auto"/>
          </w:divBdr>
        </w:div>
        <w:div w:id="984240972">
          <w:marLeft w:val="0"/>
          <w:marRight w:val="0"/>
          <w:marTop w:val="0"/>
          <w:marBottom w:val="0"/>
          <w:divBdr>
            <w:top w:val="none" w:sz="0" w:space="0" w:color="auto"/>
            <w:left w:val="none" w:sz="0" w:space="0" w:color="auto"/>
            <w:bottom w:val="none" w:sz="0" w:space="0" w:color="auto"/>
            <w:right w:val="none" w:sz="0" w:space="0" w:color="auto"/>
          </w:divBdr>
        </w:div>
        <w:div w:id="759374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pps.who.int/infobase/Indicator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ftp.fao.org/docrep/fao/007/y5736e/y5736e00.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dx.doi.org/10.1155/2015/929782" TargetMode="External"/><Relationship Id="rId4" Type="http://schemas.openxmlformats.org/officeDocument/2006/relationships/footnotes" Target="footnotes.xml"/><Relationship Id="rId9" Type="http://schemas.openxmlformats.org/officeDocument/2006/relationships/hyperlink" Target="http://dx.doi.org/10.1016/j.jesf.2015.05.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20</Pages>
  <Words>5749</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UKM</dc:creator>
  <cp:keywords/>
  <dc:description/>
  <cp:lastModifiedBy>UKM</cp:lastModifiedBy>
  <cp:revision>5</cp:revision>
  <dcterms:created xsi:type="dcterms:W3CDTF">2016-11-19T11:23:00Z</dcterms:created>
  <dcterms:modified xsi:type="dcterms:W3CDTF">2016-11-19T12:22:00Z</dcterms:modified>
</cp:coreProperties>
</file>