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 w:after="0"/>
      </w:pPr>
    </w:p>
    <w:p>
      <w:pPr>
        <w:spacing w:before="0" w:after="120" w:line="280"/>
        <w:jc w:val="center"/>
      </w:pPr>
      <w:r>
        <w:rPr>
          <w:rFonts w:ascii="Arial" w:cs="Arial" w:eastAsia="Arial" w:hAnsi="Arial"/>
          <w:b/>
          <w:bCs/>
          <w:color w:val="9BA3AF"/>
          <w:sz w:val="16"/>
          <w:szCs w:val="16"/>
        </w:rPr>
        <w:t xml:space="preserve">CONFIDENTIAL INVESTMENT MEMORANDUM</w:t>
      </w:r>
    </w:p>
    <w:p>
      <w:pPr>
        <w:spacing w:before="0" w:after="60"/>
        <w:jc w:val="center"/>
      </w:pPr>
      <w:r>
        <w:rPr>
          <w:rFonts w:ascii="Georgia" w:cs="Georgia" w:eastAsia="Georgia" w:hAnsi="Georgia"/>
          <w:b/>
          <w:bCs/>
          <w:color w:val="0D1B2A"/>
          <w:sz w:val="52"/>
          <w:szCs w:val="52"/>
        </w:rPr>
        <w:t xml:space="preserve">RAWagon Systems, LLC</w:t>
      </w:r>
    </w:p>
    <w:p>
      <w:pPr>
        <w:spacing w:before="0" w:after="20" w:line="280"/>
        <w:jc w:val="center"/>
      </w:pPr>
      <w:r>
        <w:rPr>
          <w:rFonts w:ascii="Georgia" w:cs="Georgia" w:eastAsia="Georgia" w:hAnsi="Georgia"/>
          <w:i/>
          <w:iCs/>
          <w:color w:val="D4A853"/>
          <w:sz w:val="28"/>
          <w:szCs w:val="28"/>
        </w:rPr>
        <w:t xml:space="preserve">Network-Layer Fintech Infrastructure</w:t>
      </w:r>
    </w:p>
    <w:p>
      <w:pPr>
        <w:spacing w:before="0" w:after="240" w:line="280"/>
        <w:jc w:val="center"/>
      </w:pPr>
      <w:r>
        <w:rPr>
          <w:rFonts w:ascii="Georgia" w:cs="Georgia" w:eastAsia="Georgia" w:hAnsi="Georgia"/>
          <w:i/>
          <w:iCs/>
          <w:color w:val="9BA3AF"/>
          <w:sz w:val="22"/>
          <w:szCs w:val="22"/>
        </w:rPr>
        <w:t xml:space="preserve">Decentralized Payment Rails · Sovereign Identity · Business Intelligence</w:t>
      </w:r>
    </w:p>
    <w:p>
      <w:pPr>
        <w:pBdr>
          <w:bottom w:val="single" w:color="D4A853" w:sz="8" w:space="1"/>
        </w:pBdr>
        <w:spacing w:before="0" w:after="100"/>
      </w:pPr>
    </w:p>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D1B2A" w:sz="6"/>
              <w:left w:val="single" w:color="0D1B2A" w:sz="6"/>
              <w:bottom w:val="single" w:color="0D1B2A" w:sz="6"/>
              <w:right w:val="single" w:color="0D1B2A" w:sz="6"/>
            </w:tcBorders>
            <w:shd w:fill="0D1B2A" w:val="clear"/>
            <w:tcMar>
              <w:top w:type="dxa" w:w="90"/>
              <w:left w:type="dxa" w:w="110"/>
              <w:bottom w:type="dxa" w:w="90"/>
              <w:right w:type="dxa" w:w="110"/>
            </w:tcMar>
            <w:vAlign w:val="center"/>
          </w:tcPr>
          <w:p>
            <w:pPr>
              <w:spacing w:before="0" w:after="80" w:line="280"/>
              <w:jc w:val="center"/>
            </w:pPr>
            <w:r>
              <w:rPr>
                <w:rFonts w:ascii="Arial" w:cs="Arial" w:eastAsia="Arial" w:hAnsi="Arial"/>
                <w:b/>
                <w:bCs/>
                <w:color w:val="FFFFFF"/>
                <w:sz w:val="20"/>
                <w:szCs w:val="20"/>
              </w:rPr>
              <w:t xml:space="preserve">OFFERING SUMMARY</w:t>
            </w:r>
          </w:p>
        </w:tc>
        <w:tc>
          <w:tcPr>
            <w:tcW w:type="dxa" w:w="4680"/>
            <w:tcBorders>
              <w:top w:val="single" w:color="0D1B2A" w:sz="6"/>
              <w:left w:val="single" w:color="0D1B2A" w:sz="6"/>
              <w:bottom w:val="single" w:color="0D1B2A" w:sz="6"/>
              <w:right w:val="single" w:color="0D1B2A" w:sz="6"/>
            </w:tcBorders>
            <w:shd w:fill="0D1B2A" w:val="clear"/>
            <w:tcMar>
              <w:top w:type="dxa" w:w="90"/>
              <w:left w:type="dxa" w:w="110"/>
              <w:bottom w:type="dxa" w:w="90"/>
              <w:right w:type="dxa" w:w="110"/>
            </w:tcMar>
            <w:vAlign w:val="center"/>
          </w:tcPr>
          <w:p>
            <w:pPr>
              <w:spacing w:before="0" w:after="80" w:line="280"/>
              <w:jc w:val="center"/>
            </w:pPr>
            <w:r>
              <w:rPr>
                <w:rFonts w:ascii="Arial" w:cs="Arial" w:eastAsia="Arial" w:hAnsi="Arial"/>
                <w:b/>
                <w:bCs/>
                <w:color w:val="FFFFFF"/>
                <w:sz w:val="20"/>
                <w:szCs w:val="20"/>
              </w:rPr>
              <w:t xml:space="preserve">KEY METRICS</w:t>
            </w:r>
          </w:p>
        </w:tc>
      </w:tr>
      <w:tr>
        <w:tc>
          <w:tcPr>
            <w:tcW w:type="dxa" w:w="4680"/>
            <w:tcBorders>
              <w:top w:val="single" w:color="1E2F47" w:sz="6"/>
              <w:left w:val="single" w:color="1E2F47" w:sz="6"/>
              <w:bottom w:val="single" w:color="1E2F47" w:sz="6"/>
              <w:right w:val="single" w:color="1E2F47" w:sz="6"/>
            </w:tcBorders>
            <w:shd w:fill="152238" w:val="clear"/>
            <w:tcMar>
              <w:top w:type="dxa" w:w="120"/>
              <w:left w:type="dxa" w:w="160"/>
              <w:bottom w:type="dxa" w:w="120"/>
              <w:right w:type="dxa" w:w="160"/>
            </w:tcMar>
          </w:tcPr>
          <w:p>
            <w:pPr>
              <w:spacing w:before="0" w:after="50" w:line="280"/>
              <w:jc w:val="left"/>
            </w:pPr>
            <w:r>
              <w:rPr>
                <w:rFonts w:ascii="Arial" w:cs="Arial" w:eastAsia="Arial" w:hAnsi="Arial"/>
                <w:b/>
                <w:bCs/>
                <w:color w:val="D4A853"/>
                <w:sz w:val="18"/>
                <w:szCs w:val="18"/>
              </w:rPr>
              <w:t xml:space="preserve">Round:</w:t>
            </w:r>
            <w:r>
              <w:rPr>
                <w:rFonts w:ascii="Arial" w:cs="Arial" w:eastAsia="Arial" w:hAnsi="Arial"/>
                <w:color w:val="BBCCDD"/>
                <w:sz w:val="18"/>
                <w:szCs w:val="18"/>
              </w:rPr>
              <w:t xml:space="preserve">  Series Seed / Pre-Series A</w:t>
            </w:r>
          </w:p>
          <w:p>
            <w:pPr>
              <w:spacing w:before="0" w:after="50" w:line="280"/>
              <w:jc w:val="left"/>
            </w:pPr>
            <w:r>
              <w:rPr>
                <w:rFonts w:ascii="Arial" w:cs="Arial" w:eastAsia="Arial" w:hAnsi="Arial"/>
                <w:b/>
                <w:bCs/>
                <w:color w:val="D4A853"/>
                <w:sz w:val="18"/>
                <w:szCs w:val="18"/>
              </w:rPr>
              <w:t xml:space="preserve">Target raise:</w:t>
            </w:r>
            <w:r>
              <w:rPr>
                <w:rFonts w:ascii="Arial" w:cs="Arial" w:eastAsia="Arial" w:hAnsi="Arial"/>
                <w:color w:val="BBCCDD"/>
                <w:sz w:val="18"/>
                <w:szCs w:val="18"/>
              </w:rPr>
              <w:t xml:space="preserve">  $3,500,000</w:t>
            </w:r>
          </w:p>
          <w:p>
            <w:pPr>
              <w:spacing w:before="0" w:after="50" w:line="280"/>
              <w:jc w:val="left"/>
            </w:pPr>
            <w:r>
              <w:rPr>
                <w:rFonts w:ascii="Arial" w:cs="Arial" w:eastAsia="Arial" w:hAnsi="Arial"/>
                <w:b/>
                <w:bCs/>
                <w:color w:val="D4A853"/>
                <w:sz w:val="18"/>
                <w:szCs w:val="18"/>
              </w:rPr>
              <w:t xml:space="preserve">Pre-money valuation:</w:t>
            </w:r>
            <w:r>
              <w:rPr>
                <w:rFonts w:ascii="Arial" w:cs="Arial" w:eastAsia="Arial" w:hAnsi="Arial"/>
                <w:color w:val="BBCCDD"/>
                <w:sz w:val="18"/>
                <w:szCs w:val="18"/>
              </w:rPr>
              <w:t xml:space="preserve">  $18,000,000</w:t>
            </w:r>
          </w:p>
          <w:p>
            <w:pPr>
              <w:spacing w:before="0" w:after="50" w:line="280"/>
              <w:jc w:val="left"/>
            </w:pPr>
            <w:r>
              <w:rPr>
                <w:rFonts w:ascii="Arial" w:cs="Arial" w:eastAsia="Arial" w:hAnsi="Arial"/>
                <w:b/>
                <w:bCs/>
                <w:color w:val="D4A853"/>
                <w:sz w:val="18"/>
                <w:szCs w:val="18"/>
              </w:rPr>
              <w:t xml:space="preserve">Instrument:</w:t>
            </w:r>
            <w:r>
              <w:rPr>
                <w:rFonts w:ascii="Arial" w:cs="Arial" w:eastAsia="Arial" w:hAnsi="Arial"/>
                <w:color w:val="BBCCDD"/>
                <w:sz w:val="18"/>
                <w:szCs w:val="18"/>
              </w:rPr>
              <w:t xml:space="preserve">  SAFE (Simple Agreement for Future Equity)</w:t>
            </w:r>
          </w:p>
          <w:p>
            <w:pPr>
              <w:spacing w:before="0" w:after="50" w:line="280"/>
              <w:jc w:val="left"/>
            </w:pPr>
            <w:r>
              <w:rPr>
                <w:rFonts w:ascii="Arial" w:cs="Arial" w:eastAsia="Arial" w:hAnsi="Arial"/>
                <w:b/>
                <w:bCs/>
                <w:color w:val="D4A853"/>
                <w:sz w:val="18"/>
                <w:szCs w:val="18"/>
              </w:rPr>
              <w:t xml:space="preserve">Minimum ticket:</w:t>
            </w:r>
            <w:r>
              <w:rPr>
                <w:rFonts w:ascii="Arial" w:cs="Arial" w:eastAsia="Arial" w:hAnsi="Arial"/>
                <w:color w:val="BBCCDD"/>
                <w:sz w:val="18"/>
                <w:szCs w:val="18"/>
              </w:rPr>
              <w:t xml:space="preserve">  $50,000</w:t>
            </w:r>
          </w:p>
          <w:p>
            <w:pPr>
              <w:spacing w:before="0" w:after="50" w:line="280"/>
              <w:jc w:val="left"/>
            </w:pPr>
            <w:r>
              <w:rPr>
                <w:rFonts w:ascii="Arial" w:cs="Arial" w:eastAsia="Arial" w:hAnsi="Arial"/>
                <w:b/>
                <w:bCs/>
                <w:color w:val="D4A853"/>
                <w:sz w:val="18"/>
                <w:szCs w:val="18"/>
              </w:rPr>
              <w:t xml:space="preserve">Use of proceeds:</w:t>
            </w:r>
            <w:r>
              <w:rPr>
                <w:rFonts w:ascii="Arial" w:cs="Arial" w:eastAsia="Arial" w:hAnsi="Arial"/>
                <w:color w:val="BBCCDD"/>
                <w:sz w:val="18"/>
                <w:szCs w:val="18"/>
              </w:rPr>
              <w:t xml:space="preserve">  Engineering (45%), BD/Sales (25%), Legal/IP (15%), Ops (15%)</w:t>
            </w:r>
          </w:p>
          <w:p>
            <w:pPr>
              <w:spacing w:before="0" w:after="80" w:line="280"/>
              <w:jc w:val="left"/>
            </w:pPr>
            <w:r>
              <w:rPr>
                <w:rFonts w:ascii="Arial" w:cs="Arial" w:eastAsia="Arial" w:hAnsi="Arial"/>
                <w:b/>
                <w:bCs/>
                <w:color w:val="D4A853"/>
                <w:sz w:val="18"/>
                <w:szCs w:val="18"/>
              </w:rPr>
              <w:t xml:space="preserve">Close date:</w:t>
            </w:r>
            <w:r>
              <w:rPr>
                <w:rFonts w:ascii="Arial" w:cs="Arial" w:eastAsia="Arial" w:hAnsi="Arial"/>
                <w:color w:val="BBCCDD"/>
                <w:sz w:val="18"/>
                <w:szCs w:val="18"/>
              </w:rPr>
              <w:t xml:space="preserve">  March 22, 2026</w:t>
            </w:r>
          </w:p>
        </w:tc>
        <w:tc>
          <w:tcPr>
            <w:tcW w:type="dxa" w:w="4680"/>
            <w:tcBorders>
              <w:top w:val="single" w:color="1E2F47" w:sz="6"/>
              <w:left w:val="single" w:color="1E2F47" w:sz="6"/>
              <w:bottom w:val="single" w:color="1E2F47" w:sz="6"/>
              <w:right w:val="single" w:color="1E2F47" w:sz="6"/>
            </w:tcBorders>
            <w:shd w:fill="152238" w:val="clear"/>
            <w:tcMar>
              <w:top w:type="dxa" w:w="120"/>
              <w:left w:type="dxa" w:w="160"/>
              <w:bottom w:type="dxa" w:w="120"/>
              <w:right w:type="dxa" w:w="160"/>
            </w:tcMar>
          </w:tcPr>
          <w:p>
            <w:pPr>
              <w:spacing w:before="0" w:after="50" w:line="280"/>
              <w:jc w:val="left"/>
            </w:pPr>
            <w:r>
              <w:rPr>
                <w:rFonts w:ascii="Arial" w:cs="Arial" w:eastAsia="Arial" w:hAnsi="Arial"/>
                <w:b/>
                <w:bCs/>
                <w:color w:val="D4A853"/>
                <w:sz w:val="18"/>
                <w:szCs w:val="18"/>
              </w:rPr>
              <w:t xml:space="preserve">Year 2 revenue (proj.):</w:t>
            </w:r>
            <w:r>
              <w:rPr>
                <w:rFonts w:ascii="Arial" w:cs="Arial" w:eastAsia="Arial" w:hAnsi="Arial"/>
                <w:color w:val="BBCCDD"/>
                <w:sz w:val="18"/>
                <w:szCs w:val="18"/>
              </w:rPr>
              <w:t xml:space="preserve">  $20.5M ARR</w:t>
            </w:r>
          </w:p>
          <w:p>
            <w:pPr>
              <w:spacing w:before="0" w:after="50" w:line="280"/>
              <w:jc w:val="left"/>
            </w:pPr>
            <w:r>
              <w:rPr>
                <w:rFonts w:ascii="Arial" w:cs="Arial" w:eastAsia="Arial" w:hAnsi="Arial"/>
                <w:b/>
                <w:bCs/>
                <w:color w:val="D4A853"/>
                <w:sz w:val="18"/>
                <w:szCs w:val="18"/>
              </w:rPr>
              <w:t xml:space="preserve">Year 2 gross margin:</w:t>
            </w:r>
            <w:r>
              <w:rPr>
                <w:rFonts w:ascii="Arial" w:cs="Arial" w:eastAsia="Arial" w:hAnsi="Arial"/>
                <w:color w:val="2D9653"/>
                <w:sz w:val="18"/>
                <w:szCs w:val="18"/>
              </w:rPr>
              <w:t xml:space="preserve">  78.6%</w:t>
            </w:r>
          </w:p>
          <w:p>
            <w:pPr>
              <w:spacing w:before="0" w:after="50" w:line="280"/>
              <w:jc w:val="left"/>
            </w:pPr>
            <w:r>
              <w:rPr>
                <w:rFonts w:ascii="Arial" w:cs="Arial" w:eastAsia="Arial" w:hAnsi="Arial"/>
                <w:b/>
                <w:bCs/>
                <w:color w:val="D4A853"/>
                <w:sz w:val="18"/>
                <w:szCs w:val="18"/>
              </w:rPr>
              <w:t xml:space="preserve">Year 4 revenue (proj.):</w:t>
            </w:r>
            <w:r>
              <w:rPr>
                <w:rFonts w:ascii="Arial" w:cs="Arial" w:eastAsia="Arial" w:hAnsi="Arial"/>
                <w:color w:val="BBCCDD"/>
                <w:sz w:val="18"/>
                <w:szCs w:val="18"/>
              </w:rPr>
              <w:t xml:space="preserve">  $205M ARR</w:t>
            </w:r>
          </w:p>
          <w:p>
            <w:pPr>
              <w:spacing w:before="0" w:after="50" w:line="280"/>
              <w:jc w:val="left"/>
            </w:pPr>
            <w:r>
              <w:rPr>
                <w:rFonts w:ascii="Arial" w:cs="Arial" w:eastAsia="Arial" w:hAnsi="Arial"/>
                <w:b/>
                <w:bCs/>
                <w:color w:val="D4A853"/>
                <w:sz w:val="18"/>
                <w:szCs w:val="18"/>
              </w:rPr>
              <w:t xml:space="preserve">Year 4 gross margin:</w:t>
            </w:r>
            <w:r>
              <w:rPr>
                <w:rFonts w:ascii="Arial" w:cs="Arial" w:eastAsia="Arial" w:hAnsi="Arial"/>
                <w:color w:val="2D9653"/>
                <w:sz w:val="18"/>
                <w:szCs w:val="18"/>
              </w:rPr>
              <w:t xml:space="preserve">  93.4%</w:t>
            </w:r>
          </w:p>
          <w:p>
            <w:pPr>
              <w:spacing w:before="0" w:after="50" w:line="280"/>
              <w:jc w:val="left"/>
            </w:pPr>
            <w:r>
              <w:rPr>
                <w:rFonts w:ascii="Arial" w:cs="Arial" w:eastAsia="Arial" w:hAnsi="Arial"/>
                <w:b/>
                <w:bCs/>
                <w:color w:val="D4A853"/>
                <w:sz w:val="18"/>
                <w:szCs w:val="18"/>
              </w:rPr>
              <w:t xml:space="preserve">Infrastructure cost/tx:</w:t>
            </w:r>
            <w:r>
              <w:rPr>
                <w:rFonts w:ascii="Arial" w:cs="Arial" w:eastAsia="Arial" w:hAnsi="Arial"/>
                <w:color w:val="2D9653"/>
                <w:sz w:val="18"/>
                <w:szCs w:val="18"/>
              </w:rPr>
              <w:t xml:space="preserve">  $0.000825 (live)</w:t>
            </w:r>
          </w:p>
          <w:p>
            <w:pPr>
              <w:spacing w:before="0" w:after="50" w:line="280"/>
              <w:jc w:val="left"/>
            </w:pPr>
            <w:r>
              <w:rPr>
                <w:rFonts w:ascii="Arial" w:cs="Arial" w:eastAsia="Arial" w:hAnsi="Arial"/>
                <w:b/>
                <w:bCs/>
                <w:color w:val="D4A853"/>
                <w:sz w:val="18"/>
                <w:szCs w:val="18"/>
              </w:rPr>
              <w:t xml:space="preserve">Primary market:</w:t>
            </w:r>
            <w:r>
              <w:rPr>
                <w:rFonts w:ascii="Arial" w:cs="Arial" w:eastAsia="Arial" w:hAnsi="Arial"/>
                <w:color w:val="BBCCDD"/>
                <w:sz w:val="18"/>
                <w:szCs w:val="18"/>
              </w:rPr>
              <w:t xml:space="preserve">  US SMB ($2.4T annual card spend)</w:t>
            </w:r>
          </w:p>
          <w:p>
            <w:pPr>
              <w:spacing w:before="0" w:after="80" w:line="280"/>
              <w:jc w:val="left"/>
            </w:pPr>
            <w:r>
              <w:rPr>
                <w:rFonts w:ascii="Arial" w:cs="Arial" w:eastAsia="Arial" w:hAnsi="Arial"/>
                <w:b/>
                <w:bCs/>
                <w:color w:val="D4A853"/>
                <w:sz w:val="18"/>
                <w:szCs w:val="18"/>
              </w:rPr>
              <w:t xml:space="preserve">TAM:</w:t>
            </w:r>
            <w:r>
              <w:rPr>
                <w:rFonts w:ascii="Arial" w:cs="Arial" w:eastAsia="Arial" w:hAnsi="Arial"/>
                <w:color w:val="BBCCDD"/>
                <w:sz w:val="18"/>
                <w:szCs w:val="18"/>
              </w:rPr>
              <w:t xml:space="preserve">  $100B+ (global payment processing)</w:t>
            </w:r>
          </w:p>
        </w:tc>
      </w:tr>
    </w:tbl>
    <w:p>
      <w:pPr>
        <w:spacing w:before="120" w:after="0"/>
      </w:pPr>
    </w:p>
    <w:p>
      <w:pPr>
        <w:spacing w:before="0" w:after="80" w:line="260"/>
        <w:jc w:val="center"/>
      </w:pPr>
      <w:r>
        <w:rPr>
          <w:rFonts w:ascii="Arial" w:cs="Arial" w:eastAsia="Arial" w:hAnsi="Arial"/>
          <w:i/>
          <w:iCs/>
          <w:color w:val="9BA3AF"/>
          <w:sz w:val="16"/>
          <w:szCs w:val="16"/>
        </w:rPr>
        <w:t xml:space="preserve">This memorandum contains forward-looking statements. All financial projections are estimates. Past performance of comparable companies does not guarantee future results. This document is intended solely for accredited investors and qualified institutional buyers.</w:t>
      </w:r>
    </w:p>
    <w:p>
      <w:pPr>
        <w:pageBreakBefore/>
        <w:spacing w:before="0" w:after="0"/>
      </w:pPr>
      <w:fldSimple w:instr="[object Object]"/>
    </w:p>
    <w:p>
      <w:pPr>
        <w:spacing w:before="200" w:after="0"/>
      </w:pPr>
    </w:p>
    <w:p>
      <w:pPr>
        <w:spacing w:before="0" w:after="50" w:line="280"/>
        <w:jc w:val="left"/>
      </w:pPr>
      <w:r>
        <w:rPr>
          <w:rFonts w:ascii="Arial" w:cs="Arial" w:eastAsia="Arial" w:hAnsi="Arial"/>
          <w:b/>
          <w:bCs/>
          <w:color w:val="2B5CE6"/>
          <w:sz w:val="15"/>
          <w:szCs w:val="15"/>
        </w:rPr>
        <w:t xml:space="preserve">SECTION 1</w:t>
      </w:r>
    </w:p>
    <w:p>
      <w:pPr>
        <w:pStyle w:val="Heading1"/>
        <w:spacing w:before="0" w:after="80"/>
      </w:pPr>
      <w:r>
        <w:rPr>
          <w:rFonts w:ascii="Georgia" w:cs="Georgia" w:eastAsia="Georgia" w:hAnsi="Georgia"/>
          <w:b/>
          <w:bCs/>
          <w:color w:val="0D1B2A"/>
          <w:sz w:val="34"/>
          <w:szCs w:val="34"/>
        </w:rPr>
        <w:t xml:space="preserve">Executive Summary</w:t>
      </w:r>
    </w:p>
    <w:p>
      <w:pPr>
        <w:pBdr>
          <w:bottom w:val="single" w:color="D4A853" w:sz="12" w:space="1"/>
        </w:pBdr>
        <w:spacing w:before="0" w:after="100"/>
      </w:pPr>
    </w:p>
    <w:p>
      <w:pPr>
        <w:spacing w:before="0" w:after="100" w:line="295"/>
        <w:jc w:val="left"/>
      </w:pPr>
      <w:r>
        <w:rPr>
          <w:rFonts w:ascii="Georgia" w:cs="Georgia" w:eastAsia="Georgia" w:hAnsi="Georgia"/>
          <w:color w:val="2D3340"/>
          <w:sz w:val="21"/>
          <w:szCs w:val="21"/>
        </w:rPr>
        <w:t xml:space="preserve">RAWagon Systems is building the network-layer infrastructure for the post-Visa economy. We are not a payment app. We are the protocol that businesses, developers, and consumers run on — the same architectural position that Visa occupied in 1975, but built on blockchain rails that cost 3,000 times less to operate and return economic value to participants instead of extracting it.</w:t>
      </w:r>
    </w:p>
    <w:p>
      <w:pPr>
        <w:spacing w:before="0" w:after="100" w:line="295"/>
        <w:jc w:val="left"/>
      </w:pPr>
      <w:r>
        <w:rPr>
          <w:rFonts w:ascii="Georgia" w:cs="Georgia" w:eastAsia="Georgia" w:hAnsi="Georgia"/>
          <w:color w:val="2D3340"/>
          <w:sz w:val="21"/>
          <w:szCs w:val="21"/>
        </w:rPr>
        <w:t xml:space="preserve">The company has developed seven distinct products that each generate standalone revenue while compounding in value when operated together as a network. The core insight is that blockchain payment infrastructure has a near-zero marginal cost per transaction — $0.000825 on Base L2 versus $0.025 on Visa — creating a structural cost advantage that cannot be competed away by any traditional processor.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5CE6" w:sz="24"/>
              <w:left w:val="single" w:color="2B5CE6" w:sz="48"/>
              <w:bottom w:val="single" w:color="2B5CE6" w:sz="6"/>
              <w:right w:val="single" w:color="2B5CE6" w:sz="6"/>
            </w:tcBorders>
            <w:shd w:fill="EEF3FB" w:val="clear"/>
            <w:tcMar>
              <w:top w:type="dxa" w:w="110"/>
              <w:left w:type="dxa" w:w="220"/>
              <w:bottom w:type="dxa" w:w="110"/>
              <w:right w:type="dxa" w:w="180"/>
            </w:tcMar>
          </w:tcPr>
          <w:p>
            <w:pPr>
              <w:spacing w:before="0" w:after="50" w:line="280"/>
              <w:jc w:val="left"/>
            </w:pPr>
            <w:r>
              <w:rPr>
                <w:rFonts w:ascii="Arial" w:cs="Arial" w:eastAsia="Arial" w:hAnsi="Arial"/>
                <w:b/>
                <w:bCs/>
                <w:color w:val="0D1B2A"/>
                <w:sz w:val="22"/>
                <w:szCs w:val="22"/>
              </w:rPr>
              <w:t xml:space="preserve">The fundamental value proposition</w:t>
            </w:r>
          </w:p>
          <w:p>
            <w:pPr>
              <w:spacing w:before="0" w:after="50" w:line="280"/>
              <w:jc w:val="left"/>
            </w:pPr>
            <w:r>
              <w:rPr>
                <w:rFonts w:ascii="Arial" w:cs="Arial" w:eastAsia="Arial" w:hAnsi="Arial"/>
                <w:color w:val="2D3340"/>
                <w:sz w:val="20"/>
                <w:szCs w:val="20"/>
              </w:rPr>
              <w:t xml:space="preserve"/>
            </w:r>
          </w:p>
          <w:p>
            <w:pPr>
              <w:spacing w:before="0" w:after="80" w:line="280"/>
              <w:jc w:val="left"/>
            </w:pPr>
            <w:r>
              <w:rPr>
                <w:rFonts w:ascii="Arial" w:cs="Arial" w:eastAsia="Arial" w:hAnsi="Arial"/>
                <w:color w:val="2D3340"/>
                <w:sz w:val="20"/>
                <w:szCs w:val="20"/>
              </w:rPr>
              <w:t xml:space="preserve">Visa charges merchants 2.5% of every transaction and keeps it. QWKS charges 10% of the savings it generates — businesses keep 90 cents of every dollar saved. At $50K/month in card volume, a business pays QWKS $1,499/year and saves $14,995/year. When QWKS becomes the standard, the model transitions from savings-based to platform + staking yield. Long-tenure businesses earn LTN staking income that exceeds their subscription fee — converting customers into network co-owners with irrational churn resistance.</w:t>
            </w:r>
          </w:p>
        </w:tc>
      </w:tr>
    </w:tbl>
    <w:p>
      <w:pPr>
        <w:pStyle w:val="Heading2"/>
        <w:spacing w:before="200" w:after="70"/>
      </w:pPr>
      <w:r>
        <w:rPr>
          <w:rFonts w:ascii="Georgia" w:cs="Georgia" w:eastAsia="Georgia" w:hAnsi="Georgia"/>
          <w:b/>
          <w:bCs/>
          <w:color w:val="0D1B2A"/>
          <w:sz w:val="26"/>
          <w:szCs w:val="26"/>
        </w:rPr>
        <w:t xml:space="preserve">Investment Thesis: Five Core 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AECEF" w:sz="6"/>
              <w:left w:val="single" w:color="EAECEF" w:sz="6"/>
              <w:bottom w:val="single" w:color="EAECEF" w:sz="6"/>
              <w:right w:val="single" w:color="EAECEF" w:sz="6"/>
            </w:tcBorders>
            <w:shd w:fill="0D1B2A" w:val="clear"/>
            <w:tcMar>
              <w:top w:type="dxa" w:w="80"/>
              <w:left w:type="dxa" w:w="110"/>
              <w:bottom w:type="dxa" w:w="80"/>
              <w:right w:type="dxa" w:w="110"/>
            </w:tcMar>
            <w:vAlign w:val="center"/>
          </w:tcPr>
          <w:p>
            <w:pPr>
              <w:spacing w:before="0" w:after="80" w:line="280"/>
              <w:jc w:val="left"/>
            </w:pPr>
            <w:r>
              <w:rPr>
                <w:rFonts w:ascii="Arial" w:cs="Arial" w:eastAsia="Arial" w:hAnsi="Arial"/>
                <w:b/>
                <w:bCs/>
                <w:color w:val="D4A853"/>
                <w:sz w:val="20"/>
                <w:szCs w:val="20"/>
              </w:rPr>
              <w:t xml:space="preserve">Cost structure inversion</w:t>
            </w:r>
          </w:p>
        </w:tc>
        <w:tc>
          <w:tcPr>
            <w:tcW w:type="dxa" w:w="716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left"/>
            </w:pPr>
            <w:r>
              <w:rPr>
                <w:rFonts w:ascii="Arial" w:cs="Arial" w:eastAsia="Arial" w:hAnsi="Arial"/>
                <w:b w:val="false"/>
                <w:bCs w:val="false"/>
                <w:color w:val="2D3340"/>
                <w:sz w:val="20"/>
                <w:szCs w:val="20"/>
              </w:rPr>
              <w:t xml:space="preserve">Blockchain infrastructure at $0.000825/transaction vs $0.25+ for traditional card processing creates a 300x cost advantage that grows as Base L2 scales. This is not a business efficiency — it is a structural economic break from the legacy system.</w:t>
            </w:r>
          </w:p>
        </w:tc>
      </w:tr>
      <w:tr>
        <w:tc>
          <w:tcPr>
            <w:tcW w:type="dxa" w:w="2200"/>
            <w:tcBorders>
              <w:top w:val="single" w:color="EAECEF" w:sz="6"/>
              <w:left w:val="single" w:color="EAECEF" w:sz="6"/>
              <w:bottom w:val="single" w:color="EAECEF" w:sz="6"/>
              <w:right w:val="single" w:color="EAECEF" w:sz="6"/>
            </w:tcBorders>
            <w:shd w:fill="152238" w:val="clear"/>
            <w:tcMar>
              <w:top w:type="dxa" w:w="80"/>
              <w:left w:type="dxa" w:w="110"/>
              <w:bottom w:type="dxa" w:w="80"/>
              <w:right w:type="dxa" w:w="110"/>
            </w:tcMar>
            <w:vAlign w:val="center"/>
          </w:tcPr>
          <w:p>
            <w:pPr>
              <w:spacing w:before="0" w:after="80" w:line="280"/>
              <w:jc w:val="left"/>
            </w:pPr>
            <w:r>
              <w:rPr>
                <w:rFonts w:ascii="Arial" w:cs="Arial" w:eastAsia="Arial" w:hAnsi="Arial"/>
                <w:b/>
                <w:bCs/>
                <w:color w:val="D4A853"/>
                <w:sz w:val="20"/>
                <w:szCs w:val="20"/>
              </w:rPr>
              <w:t xml:space="preserve">Multi-product network flywheel</w:t>
            </w:r>
          </w:p>
        </w:tc>
        <w:tc>
          <w:tcPr>
            <w:tcW w:type="dxa" w:w="716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left"/>
            </w:pPr>
            <w:r>
              <w:rPr>
                <w:rFonts w:ascii="Arial" w:cs="Arial" w:eastAsia="Arial" w:hAnsi="Arial"/>
                <w:b w:val="false"/>
                <w:bCs w:val="false"/>
                <w:color w:val="2D3340"/>
                <w:sz w:val="20"/>
                <w:szCs w:val="20"/>
              </w:rPr>
              <w:t xml:space="preserve">Seven products (QWKS, BitPawn, AllCard, AutoIQ, GoldSnap, Droppa, ProfitPilot) each generate standalone revenue. Each new customer is a potential customer of all seven. LTN token rewards accumulate across products, creating compounding retention.</w:t>
            </w:r>
          </w:p>
        </w:tc>
      </w:tr>
      <w:tr>
        <w:tc>
          <w:tcPr>
            <w:tcW w:type="dxa" w:w="2200"/>
            <w:tcBorders>
              <w:top w:val="single" w:color="EAECEF" w:sz="6"/>
              <w:left w:val="single" w:color="EAECEF" w:sz="6"/>
              <w:bottom w:val="single" w:color="EAECEF" w:sz="6"/>
              <w:right w:val="single" w:color="EAECEF" w:sz="6"/>
            </w:tcBorders>
            <w:shd w:fill="0D1B2A" w:val="clear"/>
            <w:tcMar>
              <w:top w:type="dxa" w:w="80"/>
              <w:left w:type="dxa" w:w="110"/>
              <w:bottom w:type="dxa" w:w="80"/>
              <w:right w:type="dxa" w:w="110"/>
            </w:tcMar>
            <w:vAlign w:val="center"/>
          </w:tcPr>
          <w:p>
            <w:pPr>
              <w:spacing w:before="0" w:after="80" w:line="280"/>
              <w:jc w:val="left"/>
            </w:pPr>
            <w:r>
              <w:rPr>
                <w:rFonts w:ascii="Arial" w:cs="Arial" w:eastAsia="Arial" w:hAnsi="Arial"/>
                <w:b/>
                <w:bCs/>
                <w:color w:val="D4A853"/>
                <w:sz w:val="20"/>
                <w:szCs w:val="20"/>
              </w:rPr>
              <w:t xml:space="preserve">Performance pricing with zero churn risk</w:t>
            </w:r>
          </w:p>
        </w:tc>
        <w:tc>
          <w:tcPr>
            <w:tcW w:type="dxa" w:w="716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left"/>
            </w:pPr>
            <w:r>
              <w:rPr>
                <w:rFonts w:ascii="Arial" w:cs="Arial" w:eastAsia="Arial" w:hAnsi="Arial"/>
                <w:b w:val="false"/>
                <w:bCs w:val="false"/>
                <w:color w:val="2D3340"/>
                <w:sz w:val="20"/>
                <w:szCs w:val="20"/>
              </w:rPr>
              <w:t xml:space="preserve">10% of savings means the product only charges when it demonstrably delivers. This removes all objection from the sales process. It also means every customer is profitable by definition — you only earn when they earn more than your cost.</w:t>
            </w:r>
          </w:p>
        </w:tc>
      </w:tr>
      <w:tr>
        <w:tc>
          <w:tcPr>
            <w:tcW w:type="dxa" w:w="2200"/>
            <w:tcBorders>
              <w:top w:val="single" w:color="EAECEF" w:sz="6"/>
              <w:left w:val="single" w:color="EAECEF" w:sz="6"/>
              <w:bottom w:val="single" w:color="EAECEF" w:sz="6"/>
              <w:right w:val="single" w:color="EAECEF" w:sz="6"/>
            </w:tcBorders>
            <w:shd w:fill="152238" w:val="clear"/>
            <w:tcMar>
              <w:top w:type="dxa" w:w="80"/>
              <w:left w:type="dxa" w:w="110"/>
              <w:bottom w:type="dxa" w:w="80"/>
              <w:right w:type="dxa" w:w="110"/>
            </w:tcMar>
            <w:vAlign w:val="center"/>
          </w:tcPr>
          <w:p>
            <w:pPr>
              <w:spacing w:before="0" w:after="80" w:line="280"/>
              <w:jc w:val="left"/>
            </w:pPr>
            <w:r>
              <w:rPr>
                <w:rFonts w:ascii="Arial" w:cs="Arial" w:eastAsia="Arial" w:hAnsi="Arial"/>
                <w:b/>
                <w:bCs/>
                <w:color w:val="D4A853"/>
                <w:sz w:val="20"/>
                <w:szCs w:val="20"/>
              </w:rPr>
              <w:t xml:space="preserve">Transition from SaaS to infrastructure</w:t>
            </w:r>
          </w:p>
        </w:tc>
        <w:tc>
          <w:tcPr>
            <w:tcW w:type="dxa" w:w="716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left"/>
            </w:pPr>
            <w:r>
              <w:rPr>
                <w:rFonts w:ascii="Arial" w:cs="Arial" w:eastAsia="Arial" w:hAnsi="Arial"/>
                <w:b w:val="false"/>
                <w:bCs w:val="false"/>
                <w:color w:val="2D3340"/>
                <w:sz w:val="20"/>
                <w:szCs w:val="20"/>
              </w:rPr>
              <w:t xml:space="preserve">Year 1-3: savings-based pricing. Year 3-7: platform + data products. Year 7+: customers are network stakeholders earning staking yield. Each phase increases retention. By Year 7, churning costs the customer their LTN income stream.</w:t>
            </w:r>
          </w:p>
        </w:tc>
      </w:tr>
      <w:tr>
        <w:tc>
          <w:tcPr>
            <w:tcW w:type="dxa" w:w="2200"/>
            <w:tcBorders>
              <w:top w:val="single" w:color="EAECEF" w:sz="6"/>
              <w:left w:val="single" w:color="EAECEF" w:sz="6"/>
              <w:bottom w:val="single" w:color="EAECEF" w:sz="6"/>
              <w:right w:val="single" w:color="EAECEF" w:sz="6"/>
            </w:tcBorders>
            <w:shd w:fill="0D1B2A" w:val="clear"/>
            <w:tcMar>
              <w:top w:type="dxa" w:w="80"/>
              <w:left w:type="dxa" w:w="110"/>
              <w:bottom w:type="dxa" w:w="80"/>
              <w:right w:type="dxa" w:w="110"/>
            </w:tcMar>
            <w:vAlign w:val="center"/>
          </w:tcPr>
          <w:p>
            <w:pPr>
              <w:spacing w:before="0" w:after="80" w:line="280"/>
              <w:jc w:val="left"/>
            </w:pPr>
            <w:r>
              <w:rPr>
                <w:rFonts w:ascii="Arial" w:cs="Arial" w:eastAsia="Arial" w:hAnsi="Arial"/>
                <w:b/>
                <w:bCs/>
                <w:color w:val="D4A853"/>
                <w:sz w:val="20"/>
                <w:szCs w:val="20"/>
              </w:rPr>
              <w:t xml:space="preserve">Patent-protected technology moat</w:t>
            </w:r>
          </w:p>
        </w:tc>
        <w:tc>
          <w:tcPr>
            <w:tcW w:type="dxa" w:w="716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left"/>
            </w:pPr>
            <w:r>
              <w:rPr>
                <w:rFonts w:ascii="Arial" w:cs="Arial" w:eastAsia="Arial" w:hAnsi="Arial"/>
                <w:b w:val="false"/>
                <w:bCs w:val="false"/>
                <w:color w:val="2D3340"/>
                <w:sz w:val="20"/>
                <w:szCs w:val="20"/>
              </w:rPr>
              <w:t xml:space="preserve">Five core innovations are patent-pending (see Provisional Patent Application, this filing). The shifting PAN system, behavioral biometric key derivation, ZK-proof smart contract commerce, performance-linked fee routing, and lifecycle ownership transition are all novel and protectable.</w:t>
            </w:r>
          </w:p>
        </w:tc>
      </w:tr>
    </w:tbl>
    <w:p>
      <w:pPr>
        <w:pageBreakBefore/>
        <w:spacing w:before="0" w:after="0"/>
      </w:pPr>
      <w:fldSimple w:instr="[object Object]"/>
    </w:p>
    <w:p>
      <w:pPr>
        <w:spacing w:before="200" w:after="0"/>
      </w:pPr>
    </w:p>
    <w:p>
      <w:pPr>
        <w:spacing w:before="0" w:after="50" w:line="280"/>
        <w:jc w:val="left"/>
      </w:pPr>
      <w:r>
        <w:rPr>
          <w:rFonts w:ascii="Arial" w:cs="Arial" w:eastAsia="Arial" w:hAnsi="Arial"/>
          <w:b/>
          <w:bCs/>
          <w:color w:val="2B5CE6"/>
          <w:sz w:val="15"/>
          <w:szCs w:val="15"/>
        </w:rPr>
        <w:t xml:space="preserve">SECTION 2</w:t>
      </w:r>
    </w:p>
    <w:p>
      <w:pPr>
        <w:pStyle w:val="Heading1"/>
        <w:spacing w:before="0" w:after="80"/>
      </w:pPr>
      <w:r>
        <w:rPr>
          <w:rFonts w:ascii="Georgia" w:cs="Georgia" w:eastAsia="Georgia" w:hAnsi="Georgia"/>
          <w:b/>
          <w:bCs/>
          <w:color w:val="0D1B2A"/>
          <w:sz w:val="34"/>
          <w:szCs w:val="34"/>
        </w:rPr>
        <w:t xml:space="preserve">Market Opportunity</w:t>
      </w:r>
    </w:p>
    <w:p>
      <w:pPr>
        <w:pBdr>
          <w:bottom w:val="single" w:color="D4A853" w:sz="12" w:space="1"/>
        </w:pBd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D1B2A" w:sz="6"/>
              <w:left w:val="single" w:color="0D1B2A" w:sz="6"/>
              <w:bottom w:val="single" w:color="0D1B2A" w:sz="6"/>
              <w:right w:val="single" w:color="0D1B2A" w:sz="6"/>
            </w:tcBorders>
            <w:shd w:fill="0D1B2A" w:val="clear"/>
            <w:tcMar>
              <w:top w:type="dxa" w:w="90"/>
              <w:left w:type="dxa" w:w="110"/>
              <w:bottom w:type="dxa" w:w="90"/>
              <w:right w:type="dxa" w:w="110"/>
            </w:tcMar>
            <w:vAlign w:val="center"/>
          </w:tcPr>
          <w:p>
            <w:pPr>
              <w:spacing w:before="0" w:after="80" w:line="280"/>
              <w:jc w:val="center"/>
            </w:pPr>
            <w:r>
              <w:rPr>
                <w:rFonts w:ascii="Arial" w:cs="Arial" w:eastAsia="Arial" w:hAnsi="Arial"/>
                <w:b/>
                <w:bCs/>
                <w:color w:val="FFFFFF"/>
                <w:sz w:val="20"/>
                <w:szCs w:val="20"/>
              </w:rPr>
              <w:t xml:space="preserve">Total Addressable
Market (TAM)</w:t>
            </w:r>
          </w:p>
        </w:tc>
        <w:tc>
          <w:tcPr>
            <w:tcW w:type="dxa" w:w="2340"/>
            <w:tcBorders>
              <w:top w:val="single" w:color="152238" w:sz="6"/>
              <w:left w:val="single" w:color="152238" w:sz="6"/>
              <w:bottom w:val="single" w:color="152238" w:sz="6"/>
              <w:right w:val="single" w:color="152238" w:sz="6"/>
            </w:tcBorders>
            <w:shd w:fill="152238" w:val="clear"/>
            <w:tcMar>
              <w:top w:type="dxa" w:w="90"/>
              <w:left w:type="dxa" w:w="110"/>
              <w:bottom w:type="dxa" w:w="90"/>
              <w:right w:type="dxa" w:w="110"/>
            </w:tcMar>
            <w:vAlign w:val="center"/>
          </w:tcPr>
          <w:p>
            <w:pPr>
              <w:spacing w:before="0" w:after="80" w:line="280"/>
              <w:jc w:val="center"/>
            </w:pPr>
            <w:r>
              <w:rPr>
                <w:rFonts w:ascii="Arial" w:cs="Arial" w:eastAsia="Arial" w:hAnsi="Arial"/>
                <w:b/>
                <w:bCs/>
                <w:color w:val="FFFFFF"/>
                <w:sz w:val="20"/>
                <w:szCs w:val="20"/>
              </w:rPr>
              <w:t xml:space="preserve">Serviceable Addressable
Market (SAM)</w:t>
            </w:r>
          </w:p>
        </w:tc>
        <w:tc>
          <w:tcPr>
            <w:tcW w:type="dxa" w:w="2340"/>
            <w:tcBorders>
              <w:top w:val="single" w:color="2B5CE6" w:sz="6"/>
              <w:left w:val="single" w:color="2B5CE6" w:sz="6"/>
              <w:bottom w:val="single" w:color="2B5CE6" w:sz="6"/>
              <w:right w:val="single" w:color="2B5CE6" w:sz="6"/>
            </w:tcBorders>
            <w:shd w:fill="2B5CE6" w:val="clear"/>
            <w:tcMar>
              <w:top w:type="dxa" w:w="90"/>
              <w:left w:type="dxa" w:w="110"/>
              <w:bottom w:type="dxa" w:w="90"/>
              <w:right w:type="dxa" w:w="110"/>
            </w:tcMar>
            <w:vAlign w:val="center"/>
          </w:tcPr>
          <w:p>
            <w:pPr>
              <w:spacing w:before="0" w:after="80" w:line="280"/>
              <w:jc w:val="center"/>
            </w:pPr>
            <w:r>
              <w:rPr>
                <w:rFonts w:ascii="Arial" w:cs="Arial" w:eastAsia="Arial" w:hAnsi="Arial"/>
                <w:b/>
                <w:bCs/>
                <w:color w:val="FFFFFF"/>
                <w:sz w:val="20"/>
                <w:szCs w:val="20"/>
              </w:rPr>
              <w:t xml:space="preserve">Serviceable Obtainable
Market (SOM) — Yr 3</w:t>
            </w:r>
          </w:p>
        </w:tc>
        <w:tc>
          <w:tcPr>
            <w:tcW w:type="dxa" w:w="2340"/>
            <w:tcBorders>
              <w:top w:val="single" w:color="2D9653" w:sz="6"/>
              <w:left w:val="single" w:color="2D9653" w:sz="6"/>
              <w:bottom w:val="single" w:color="2D9653" w:sz="6"/>
              <w:right w:val="single" w:color="2D9653" w:sz="6"/>
            </w:tcBorders>
            <w:shd w:fill="2D9653" w:val="clear"/>
            <w:tcMar>
              <w:top w:type="dxa" w:w="90"/>
              <w:left w:type="dxa" w:w="110"/>
              <w:bottom w:type="dxa" w:w="90"/>
              <w:right w:type="dxa" w:w="110"/>
            </w:tcMar>
            <w:vAlign w:val="center"/>
          </w:tcPr>
          <w:p>
            <w:pPr>
              <w:spacing w:before="0" w:after="80" w:line="280"/>
              <w:jc w:val="center"/>
            </w:pPr>
            <w:r>
              <w:rPr>
                <w:rFonts w:ascii="Arial" w:cs="Arial" w:eastAsia="Arial" w:hAnsi="Arial"/>
                <w:b/>
                <w:bCs/>
                <w:color w:val="FFFFFF"/>
                <w:sz w:val="20"/>
                <w:szCs w:val="20"/>
              </w:rPr>
              <w:t xml:space="preserve">SOM Revenue at
10% of Savings</w:t>
            </w:r>
          </w:p>
        </w:tc>
      </w:tr>
      <w:tr>
        <w:tc>
          <w:tcPr>
            <w:tcW w:type="dxa" w:w="2340"/>
            <w:tcBorders>
              <w:top w:val="single" w:color="EAECEF" w:sz="6"/>
              <w:left w:val="single" w:color="EAECEF" w:sz="6"/>
              <w:bottom w:val="single" w:color="EAECEF" w:sz="6"/>
              <w:right w:val="single" w:color="EAECEF" w:sz="6"/>
            </w:tcBorders>
            <w:shd w:fill="FDF6E3" w:val="clear"/>
            <w:tcMar>
              <w:top w:type="dxa" w:w="80"/>
              <w:left w:type="dxa" w:w="110"/>
              <w:bottom w:type="dxa" w:w="80"/>
              <w:right w:type="dxa" w:w="110"/>
            </w:tcMar>
            <w:vAlign w:val="center"/>
          </w:tcPr>
          <w:p>
            <w:pPr>
              <w:spacing w:before="0" w:after="80" w:line="280"/>
              <w:jc w:val="center"/>
            </w:pPr>
            <w:r>
              <w:rPr>
                <w:rFonts w:ascii="Arial" w:cs="Arial" w:eastAsia="Arial" w:hAnsi="Arial"/>
                <w:b/>
                <w:bCs/>
                <w:color w:val="B8860B"/>
                <w:sz w:val="22"/>
                <w:szCs w:val="22"/>
              </w:rPr>
              <w:t xml:space="preserve">$100B/year
Global payment
processing fees</w:t>
            </w:r>
          </w:p>
        </w:tc>
        <w:tc>
          <w:tcPr>
            <w:tcW w:type="dxa" w:w="234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center"/>
            </w:pPr>
            <w:r>
              <w:rPr>
                <w:rFonts w:ascii="Arial" w:cs="Arial" w:eastAsia="Arial" w:hAnsi="Arial"/>
                <w:b/>
                <w:bCs/>
                <w:color w:val="0D1B2A"/>
                <w:sz w:val="22"/>
                <w:szCs w:val="22"/>
              </w:rPr>
              <w:t xml:space="preserve">$22B/year
US SMB card
processing fees</w:t>
            </w:r>
          </w:p>
        </w:tc>
        <w:tc>
          <w:tcPr>
            <w:tcW w:type="dxa" w:w="2340"/>
            <w:tcBorders>
              <w:top w:val="single" w:color="EAECEF" w:sz="6"/>
              <w:left w:val="single" w:color="EAECEF" w:sz="6"/>
              <w:bottom w:val="single" w:color="EAECEF" w:sz="6"/>
              <w:right w:val="single" w:color="EAECEF" w:sz="6"/>
            </w:tcBorders>
            <w:shd w:fill="EEF3FB" w:val="clear"/>
            <w:tcMar>
              <w:top w:type="dxa" w:w="80"/>
              <w:left w:type="dxa" w:w="110"/>
              <w:bottom w:type="dxa" w:w="80"/>
              <w:right w:type="dxa" w:w="110"/>
            </w:tcMar>
            <w:vAlign w:val="center"/>
          </w:tcPr>
          <w:p>
            <w:pPr>
              <w:spacing w:before="0" w:after="80" w:line="280"/>
              <w:jc w:val="center"/>
            </w:pPr>
            <w:r>
              <w:rPr>
                <w:rFonts w:ascii="Arial" w:cs="Arial" w:eastAsia="Arial" w:hAnsi="Arial"/>
                <w:b/>
                <w:bCs/>
                <w:color w:val="2B5CE6"/>
                <w:sz w:val="22"/>
                <w:szCs w:val="22"/>
              </w:rPr>
              <w:t xml:space="preserve">$2.2B/year
1% of US SMB
cardprocessing</w:t>
            </w:r>
          </w:p>
        </w:tc>
        <w:tc>
          <w:tcPr>
            <w:tcW w:type="dxa" w:w="2340"/>
            <w:tcBorders>
              <w:top w:val="single" w:color="EAECEF" w:sz="6"/>
              <w:left w:val="single" w:color="EAECEF" w:sz="6"/>
              <w:bottom w:val="single" w:color="EAECEF" w:sz="6"/>
              <w:right w:val="single" w:color="EAECEF" w:sz="6"/>
            </w:tcBorders>
            <w:shd w:fill="E8F5EE" w:val="clear"/>
            <w:tcMar>
              <w:top w:type="dxa" w:w="80"/>
              <w:left w:type="dxa" w:w="110"/>
              <w:bottom w:type="dxa" w:w="80"/>
              <w:right w:type="dxa" w:w="110"/>
            </w:tcMar>
            <w:vAlign w:val="center"/>
          </w:tcPr>
          <w:p>
            <w:pPr>
              <w:spacing w:before="0" w:after="80" w:line="280"/>
              <w:jc w:val="center"/>
            </w:pPr>
            <w:r>
              <w:rPr>
                <w:rFonts w:ascii="Arial" w:cs="Arial" w:eastAsia="Arial" w:hAnsi="Arial"/>
                <w:b/>
                <w:bCs/>
                <w:color w:val="1A5C38"/>
                <w:sz w:val="22"/>
                <w:szCs w:val="22"/>
              </w:rPr>
              <w:t xml:space="preserve">$220M/year
10% of savings
on 1% market</w:t>
            </w:r>
          </w:p>
        </w:tc>
      </w:tr>
    </w:tbl>
    <w:p>
      <w:pPr>
        <w:spacing w:before="100" w:after="0"/>
      </w:pPr>
    </w:p>
    <w:p>
      <w:pPr>
        <w:spacing w:before="0" w:after="80" w:line="290"/>
        <w:jc w:val="left"/>
      </w:pPr>
      <w:r>
        <w:rPr>
          <w:rFonts w:ascii="Georgia" w:cs="Georgia" w:eastAsia="Georgia" w:hAnsi="Georgia"/>
          <w:color w:val="2D3340"/>
          <w:sz w:val="21"/>
          <w:szCs w:val="21"/>
        </w:rPr>
        <w:t xml:space="preserve">The US small and medium business market processes approximately $2.4 trillion in card transactions annually, paying an estimated $60 billion in processing fees to Visa, Mastercard, and their affiliated processors. This does not include ACH fees, wire transfer fees, international FX costs, or the hidden costs of physical record storage and paper receipts that QWKS also eliminates.</w:t>
      </w:r>
    </w:p>
    <w:p>
      <w:pPr>
        <w:spacing w:before="0" w:after="80" w:line="290"/>
        <w:jc w:val="left"/>
      </w:pPr>
      <w:r>
        <w:rPr>
          <w:rFonts w:ascii="Georgia" w:cs="Georgia" w:eastAsia="Georgia" w:hAnsi="Georgia"/>
          <w:color w:val="2D3340"/>
          <w:sz w:val="21"/>
          <w:szCs w:val="21"/>
        </w:rPr>
        <w:t xml:space="preserve">Secondary markets add significant TAM expansion: the US B2B payment market processes $25 trillion annually; government identity infrastructure represents a $50B+ opportunity; behavioral biometric licensing addresses a $10B security market. The conservative SOM used in financial projections captures less than 0.01% of the combined TAM.</w:t>
      </w:r>
    </w:p>
    <w:p>
      <w:pPr>
        <w:pageBreakBefore/>
        <w:spacing w:before="0" w:after="0"/>
      </w:pPr>
      <w:fldSimple w:instr="[object Object]"/>
    </w:p>
    <w:p>
      <w:pPr>
        <w:spacing w:before="200" w:after="0"/>
      </w:pPr>
    </w:p>
    <w:p>
      <w:pPr>
        <w:spacing w:before="0" w:after="50" w:line="280"/>
        <w:jc w:val="left"/>
      </w:pPr>
      <w:r>
        <w:rPr>
          <w:rFonts w:ascii="Arial" w:cs="Arial" w:eastAsia="Arial" w:hAnsi="Arial"/>
          <w:b/>
          <w:bCs/>
          <w:color w:val="2B5CE6"/>
          <w:sz w:val="15"/>
          <w:szCs w:val="15"/>
        </w:rPr>
        <w:t xml:space="preserve">SECTION 3</w:t>
      </w:r>
    </w:p>
    <w:p>
      <w:pPr>
        <w:pStyle w:val="Heading1"/>
        <w:spacing w:before="0" w:after="80"/>
      </w:pPr>
      <w:r>
        <w:rPr>
          <w:rFonts w:ascii="Georgia" w:cs="Georgia" w:eastAsia="Georgia" w:hAnsi="Georgia"/>
          <w:b/>
          <w:bCs/>
          <w:color w:val="0D1B2A"/>
          <w:sz w:val="34"/>
          <w:szCs w:val="34"/>
        </w:rPr>
        <w:t xml:space="preserve">Business Model &amp; Unit Economics</w:t>
      </w:r>
    </w:p>
    <w:p>
      <w:pPr>
        <w:pBdr>
          <w:bottom w:val="single" w:color="D4A853" w:sz="12" w:space="1"/>
        </w:pBdr>
        <w:spacing w:before="0" w:after="100"/>
      </w:pPr>
    </w:p>
    <w:p>
      <w:pPr>
        <w:spacing w:before="0" w:after="100" w:line="290"/>
        <w:jc w:val="left"/>
      </w:pPr>
      <w:r>
        <w:rPr>
          <w:rFonts w:ascii="Georgia" w:cs="Georgia" w:eastAsia="Georgia" w:hAnsi="Georgia"/>
          <w:color w:val="2D3340"/>
          <w:sz w:val="21"/>
          <w:szCs w:val="21"/>
        </w:rPr>
        <w:t xml:space="preserve">RAWagon operates a multi-product network model. Each product has independent unit economics and can stand alone. The network effect compounds value when customers use multiple products simultaneously, driven by LTN token accumulation across interactions.</w:t>
      </w:r>
    </w:p>
    <w:p>
      <w:pPr>
        <w:pStyle w:val="Heading2"/>
        <w:spacing w:before="200" w:after="70"/>
      </w:pPr>
      <w:r>
        <w:rPr>
          <w:rFonts w:ascii="Georgia" w:cs="Georgia" w:eastAsia="Georgia" w:hAnsi="Georgia"/>
          <w:b/>
          <w:bCs/>
          <w:color w:val="0D1B2A"/>
          <w:sz w:val="26"/>
          <w:szCs w:val="26"/>
        </w:rPr>
        <w:t xml:space="preserve">Product Revenue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3160"/>
      </w:tblGrid>
      <w:tr>
        <w:tc>
          <w:tcPr>
            <w:tcW w:type="dxa" w:w="2000"/>
            <w:tcBorders>
              <w:top w:val="single" w:color="0D1B2A" w:sz="6"/>
              <w:left w:val="single" w:color="0D1B2A" w:sz="6"/>
              <w:bottom w:val="single" w:color="0D1B2A" w:sz="6"/>
              <w:right w:val="single" w:color="0D1B2A" w:sz="6"/>
            </w:tcBorders>
            <w:shd w:fill="0D1B2A" w:val="clear"/>
            <w:tcMar>
              <w:top w:type="dxa" w:w="90"/>
              <w:left w:type="dxa" w:w="110"/>
              <w:bottom w:type="dxa" w:w="90"/>
              <w:right w:type="dxa" w:w="110"/>
            </w:tcMar>
            <w:vAlign w:val="center"/>
          </w:tcPr>
          <w:p>
            <w:pPr>
              <w:spacing w:before="0" w:after="80" w:line="280"/>
              <w:jc w:val="center"/>
            </w:pPr>
            <w:r>
              <w:rPr>
                <w:rFonts w:ascii="Arial" w:cs="Arial" w:eastAsia="Arial" w:hAnsi="Arial"/>
                <w:b/>
                <w:bCs/>
                <w:color w:val="FFFFFF"/>
                <w:sz w:val="20"/>
                <w:szCs w:val="20"/>
              </w:rPr>
              <w:t xml:space="preserve">Product</w:t>
            </w:r>
          </w:p>
        </w:tc>
        <w:tc>
          <w:tcPr>
            <w:tcW w:type="dxa" w:w="2000"/>
            <w:tcBorders>
              <w:top w:val="single" w:color="0D1B2A" w:sz="6"/>
              <w:left w:val="single" w:color="0D1B2A" w:sz="6"/>
              <w:bottom w:val="single" w:color="0D1B2A" w:sz="6"/>
              <w:right w:val="single" w:color="0D1B2A" w:sz="6"/>
            </w:tcBorders>
            <w:shd w:fill="0D1B2A" w:val="clear"/>
            <w:tcMar>
              <w:top w:type="dxa" w:w="90"/>
              <w:left w:type="dxa" w:w="110"/>
              <w:bottom w:type="dxa" w:w="90"/>
              <w:right w:type="dxa" w:w="110"/>
            </w:tcMar>
            <w:vAlign w:val="center"/>
          </w:tcPr>
          <w:p>
            <w:pPr>
              <w:spacing w:before="0" w:after="80" w:line="280"/>
              <w:jc w:val="center"/>
            </w:pPr>
            <w:r>
              <w:rPr>
                <w:rFonts w:ascii="Arial" w:cs="Arial" w:eastAsia="Arial" w:hAnsi="Arial"/>
                <w:b/>
                <w:bCs/>
                <w:color w:val="FFFFFF"/>
                <w:sz w:val="20"/>
                <w:szCs w:val="20"/>
              </w:rPr>
              <w:t xml:space="preserve">Pricing Model</w:t>
            </w:r>
          </w:p>
        </w:tc>
        <w:tc>
          <w:tcPr>
            <w:tcW w:type="dxa" w:w="2200"/>
            <w:tcBorders>
              <w:top w:val="single" w:color="0D1B2A" w:sz="6"/>
              <w:left w:val="single" w:color="0D1B2A" w:sz="6"/>
              <w:bottom w:val="single" w:color="0D1B2A" w:sz="6"/>
              <w:right w:val="single" w:color="0D1B2A" w:sz="6"/>
            </w:tcBorders>
            <w:shd w:fill="0D1B2A" w:val="clear"/>
            <w:tcMar>
              <w:top w:type="dxa" w:w="90"/>
              <w:left w:type="dxa" w:w="110"/>
              <w:bottom w:type="dxa" w:w="90"/>
              <w:right w:type="dxa" w:w="110"/>
            </w:tcMar>
            <w:vAlign w:val="center"/>
          </w:tcPr>
          <w:p>
            <w:pPr>
              <w:spacing w:before="0" w:after="80" w:line="280"/>
              <w:jc w:val="center"/>
            </w:pPr>
            <w:r>
              <w:rPr>
                <w:rFonts w:ascii="Arial" w:cs="Arial" w:eastAsia="Arial" w:hAnsi="Arial"/>
                <w:b/>
                <w:bCs/>
                <w:color w:val="FFFFFF"/>
                <w:sz w:val="20"/>
                <w:szCs w:val="20"/>
              </w:rPr>
              <w:t xml:space="preserve">Year 2 Scale</w:t>
            </w:r>
          </w:p>
        </w:tc>
        <w:tc>
          <w:tcPr>
            <w:tcW w:type="dxa" w:w="3160"/>
            <w:tcBorders>
              <w:top w:val="single" w:color="0D1B2A" w:sz="6"/>
              <w:left w:val="single" w:color="0D1B2A" w:sz="6"/>
              <w:bottom w:val="single" w:color="0D1B2A" w:sz="6"/>
              <w:right w:val="single" w:color="0D1B2A" w:sz="6"/>
            </w:tcBorders>
            <w:shd w:fill="0D1B2A" w:val="clear"/>
            <w:tcMar>
              <w:top w:type="dxa" w:w="90"/>
              <w:left w:type="dxa" w:w="110"/>
              <w:bottom w:type="dxa" w:w="90"/>
              <w:right w:type="dxa" w:w="110"/>
            </w:tcMar>
            <w:vAlign w:val="center"/>
          </w:tcPr>
          <w:p>
            <w:pPr>
              <w:spacing w:before="0" w:after="80" w:line="280"/>
              <w:jc w:val="center"/>
            </w:pPr>
            <w:r>
              <w:rPr>
                <w:rFonts w:ascii="Arial" w:cs="Arial" w:eastAsia="Arial" w:hAnsi="Arial"/>
                <w:b/>
                <w:bCs/>
                <w:color w:val="FFFFFF"/>
                <w:sz w:val="20"/>
                <w:szCs w:val="20"/>
              </w:rPr>
              <w:t xml:space="preserve">Revenue Mechanism</w:t>
            </w:r>
          </w:p>
        </w:tc>
      </w:tr>
      <w:tr>
        <w:tc>
          <w:tcPr>
            <w:tcW w:type="dxa" w:w="200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left"/>
            </w:pPr>
            <w:r>
              <w:rPr>
                <w:rFonts w:ascii="Arial" w:cs="Arial" w:eastAsia="Arial" w:hAnsi="Arial"/>
                <w:b/>
                <w:bCs/>
                <w:color w:val="0D1B2A"/>
                <w:sz w:val="20"/>
                <w:szCs w:val="20"/>
              </w:rPr>
              <w:t xml:space="preserve">QWKS Protocol</w:t>
            </w:r>
          </w:p>
        </w:tc>
        <w:tc>
          <w:tcPr>
            <w:tcW w:type="dxa" w:w="200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left"/>
            </w:pPr>
            <w:r>
              <w:rPr>
                <w:rFonts w:ascii="Arial" w:cs="Arial" w:eastAsia="Arial" w:hAnsi="Arial"/>
                <w:b w:val="false"/>
                <w:bCs w:val="false"/>
                <w:color w:val="2B5CE6"/>
                <w:sz w:val="20"/>
                <w:szCs w:val="20"/>
              </w:rPr>
              <w:t xml:space="preserve">10% of savings vs Visa</w:t>
            </w:r>
          </w:p>
        </w:tc>
        <w:tc>
          <w:tcPr>
            <w:tcW w:type="dxa" w:w="220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5C6470"/>
                <w:sz w:val="20"/>
                <w:szCs w:val="20"/>
              </w:rPr>
              <w:t xml:space="preserve">5,000 businesses</w:t>
            </w:r>
          </w:p>
        </w:tc>
        <w:tc>
          <w:tcPr>
            <w:tcW w:type="dxa" w:w="316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left"/>
            </w:pPr>
            <w:r>
              <w:rPr>
                <w:rFonts w:ascii="Arial" w:cs="Arial" w:eastAsia="Arial" w:hAnsi="Arial"/>
                <w:b w:val="false"/>
                <w:bCs w:val="false"/>
                <w:color w:val="2D3340"/>
                <w:sz w:val="20"/>
                <w:szCs w:val="20"/>
              </w:rPr>
              <w:t xml:space="preserve">Performance fee — only charges on verified savings delivered</w:t>
            </w:r>
          </w:p>
        </w:tc>
      </w:tr>
      <w:tr>
        <w:tc>
          <w:tcPr>
            <w:tcW w:type="dxa" w:w="200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left"/>
            </w:pPr>
            <w:r>
              <w:rPr>
                <w:rFonts w:ascii="Arial" w:cs="Arial" w:eastAsia="Arial" w:hAnsi="Arial"/>
                <w:b/>
                <w:bCs/>
                <w:color w:val="0D1B2A"/>
                <w:sz w:val="20"/>
                <w:szCs w:val="20"/>
              </w:rPr>
              <w:t xml:space="preserve">BitPawn</w:t>
            </w:r>
          </w:p>
        </w:tc>
        <w:tc>
          <w:tcPr>
            <w:tcW w:type="dxa" w:w="200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left"/>
            </w:pPr>
            <w:r>
              <w:rPr>
                <w:rFonts w:ascii="Arial" w:cs="Arial" w:eastAsia="Arial" w:hAnsi="Arial"/>
                <w:b w:val="false"/>
                <w:bCs w:val="false"/>
                <w:color w:val="2B5CE6"/>
                <w:sz w:val="20"/>
                <w:szCs w:val="20"/>
              </w:rPr>
              <w:t xml:space="preserve">$99/mo + 0.5% pawn vol</w:t>
            </w:r>
          </w:p>
        </w:tc>
        <w:tc>
          <w:tcPr>
            <w:tcW w:type="dxa" w:w="220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5C6470"/>
                <w:sz w:val="20"/>
                <w:szCs w:val="20"/>
              </w:rPr>
              <w:t xml:space="preserve">800 shops</w:t>
            </w:r>
          </w:p>
        </w:tc>
        <w:tc>
          <w:tcPr>
            <w:tcW w:type="dxa" w:w="316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left"/>
            </w:pPr>
            <w:r>
              <w:rPr>
                <w:rFonts w:ascii="Arial" w:cs="Arial" w:eastAsia="Arial" w:hAnsi="Arial"/>
                <w:b w:val="false"/>
                <w:bCs w:val="false"/>
                <w:color w:val="2D3340"/>
                <w:sz w:val="20"/>
                <w:szCs w:val="20"/>
              </w:rPr>
              <w:t xml:space="preserve">SaaS + transaction rake on precious metals volume</w:t>
            </w:r>
          </w:p>
        </w:tc>
      </w:tr>
      <w:tr>
        <w:tc>
          <w:tcPr>
            <w:tcW w:type="dxa" w:w="200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left"/>
            </w:pPr>
            <w:r>
              <w:rPr>
                <w:rFonts w:ascii="Arial" w:cs="Arial" w:eastAsia="Arial" w:hAnsi="Arial"/>
                <w:b/>
                <w:bCs/>
                <w:color w:val="0D1B2A"/>
                <w:sz w:val="20"/>
                <w:szCs w:val="20"/>
              </w:rPr>
              <w:t xml:space="preserve">Droppa</w:t>
            </w:r>
          </w:p>
        </w:tc>
        <w:tc>
          <w:tcPr>
            <w:tcW w:type="dxa" w:w="200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left"/>
            </w:pPr>
            <w:r>
              <w:rPr>
                <w:rFonts w:ascii="Arial" w:cs="Arial" w:eastAsia="Arial" w:hAnsi="Arial"/>
                <w:b w:val="false"/>
                <w:bCs w:val="false"/>
                <w:color w:val="2B5CE6"/>
                <w:sz w:val="20"/>
                <w:szCs w:val="20"/>
              </w:rPr>
              <w:t xml:space="preserve">1% of break GMV</w:t>
            </w:r>
          </w:p>
        </w:tc>
        <w:tc>
          <w:tcPr>
            <w:tcW w:type="dxa" w:w="220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5C6470"/>
                <w:sz w:val="20"/>
                <w:szCs w:val="20"/>
              </w:rPr>
              <w:t xml:space="preserve">3,000 sellers</w:t>
            </w:r>
          </w:p>
        </w:tc>
        <w:tc>
          <w:tcPr>
            <w:tcW w:type="dxa" w:w="316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left"/>
            </w:pPr>
            <w:r>
              <w:rPr>
                <w:rFonts w:ascii="Arial" w:cs="Arial" w:eastAsia="Arial" w:hAnsi="Arial"/>
                <w:b w:val="false"/>
                <w:bCs w:val="false"/>
                <w:color w:val="2D3340"/>
                <w:sz w:val="20"/>
                <w:szCs w:val="20"/>
              </w:rPr>
              <w:t xml:space="preserve">Marketplace rake — scales with seller volume</w:t>
            </w:r>
          </w:p>
        </w:tc>
      </w:tr>
      <w:tr>
        <w:tc>
          <w:tcPr>
            <w:tcW w:type="dxa" w:w="200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left"/>
            </w:pPr>
            <w:r>
              <w:rPr>
                <w:rFonts w:ascii="Arial" w:cs="Arial" w:eastAsia="Arial" w:hAnsi="Arial"/>
                <w:b/>
                <w:bCs/>
                <w:color w:val="0D1B2A"/>
                <w:sz w:val="20"/>
                <w:szCs w:val="20"/>
              </w:rPr>
              <w:t xml:space="preserve">AutoIQ / IQTitle</w:t>
            </w:r>
          </w:p>
        </w:tc>
        <w:tc>
          <w:tcPr>
            <w:tcW w:type="dxa" w:w="200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left"/>
            </w:pPr>
            <w:r>
              <w:rPr>
                <w:rFonts w:ascii="Arial" w:cs="Arial" w:eastAsia="Arial" w:hAnsi="Arial"/>
                <w:b w:val="false"/>
                <w:bCs w:val="false"/>
                <w:color w:val="2B5CE6"/>
                <w:sz w:val="20"/>
                <w:szCs w:val="20"/>
              </w:rPr>
              <w:t xml:space="preserve">0.3% of vehicle value</w:t>
            </w:r>
          </w:p>
        </w:tc>
        <w:tc>
          <w:tcPr>
            <w:tcW w:type="dxa" w:w="220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5C6470"/>
                <w:sz w:val="20"/>
                <w:szCs w:val="20"/>
              </w:rPr>
              <w:t xml:space="preserve">2,000 titles</w:t>
            </w:r>
          </w:p>
        </w:tc>
        <w:tc>
          <w:tcPr>
            <w:tcW w:type="dxa" w:w="316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left"/>
            </w:pPr>
            <w:r>
              <w:rPr>
                <w:rFonts w:ascii="Arial" w:cs="Arial" w:eastAsia="Arial" w:hAnsi="Arial"/>
                <w:b w:val="false"/>
                <w:bCs w:val="false"/>
                <w:color w:val="2D3340"/>
                <w:sz w:val="20"/>
                <w:szCs w:val="20"/>
              </w:rPr>
              <w:t xml:space="preserve">Per-event fee on title transfers; NFT minting on Base L2</w:t>
            </w:r>
          </w:p>
        </w:tc>
      </w:tr>
      <w:tr>
        <w:tc>
          <w:tcPr>
            <w:tcW w:type="dxa" w:w="200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left"/>
            </w:pPr>
            <w:r>
              <w:rPr>
                <w:rFonts w:ascii="Arial" w:cs="Arial" w:eastAsia="Arial" w:hAnsi="Arial"/>
                <w:b/>
                <w:bCs/>
                <w:color w:val="0D1B2A"/>
                <w:sz w:val="20"/>
                <w:szCs w:val="20"/>
              </w:rPr>
              <w:t xml:space="preserve">1.nce AllCard</w:t>
            </w:r>
          </w:p>
        </w:tc>
        <w:tc>
          <w:tcPr>
            <w:tcW w:type="dxa" w:w="200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left"/>
            </w:pPr>
            <w:r>
              <w:rPr>
                <w:rFonts w:ascii="Arial" w:cs="Arial" w:eastAsia="Arial" w:hAnsi="Arial"/>
                <w:b w:val="false"/>
                <w:bCs w:val="false"/>
                <w:color w:val="2B5CE6"/>
                <w:sz w:val="20"/>
                <w:szCs w:val="20"/>
              </w:rPr>
              <w:t xml:space="preserve">Gas markup + $4.99/mo</w:t>
            </w:r>
          </w:p>
        </w:tc>
        <w:tc>
          <w:tcPr>
            <w:tcW w:type="dxa" w:w="220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5C6470"/>
                <w:sz w:val="20"/>
                <w:szCs w:val="20"/>
              </w:rPr>
              <w:t xml:space="preserve">50,000 users</w:t>
            </w:r>
          </w:p>
        </w:tc>
        <w:tc>
          <w:tcPr>
            <w:tcW w:type="dxa" w:w="316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left"/>
            </w:pPr>
            <w:r>
              <w:rPr>
                <w:rFonts w:ascii="Arial" w:cs="Arial" w:eastAsia="Arial" w:hAnsi="Arial"/>
                <w:b w:val="false"/>
                <w:bCs w:val="false"/>
                <w:color w:val="2D3340"/>
                <w:sz w:val="20"/>
                <w:szCs w:val="20"/>
              </w:rPr>
              <w:t xml:space="preserve">Infrastructure margin + premium identity tier</w:t>
            </w:r>
          </w:p>
        </w:tc>
      </w:tr>
      <w:tr>
        <w:tc>
          <w:tcPr>
            <w:tcW w:type="dxa" w:w="200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left"/>
            </w:pPr>
            <w:r>
              <w:rPr>
                <w:rFonts w:ascii="Arial" w:cs="Arial" w:eastAsia="Arial" w:hAnsi="Arial"/>
                <w:b/>
                <w:bCs/>
                <w:color w:val="0D1B2A"/>
                <w:sz w:val="20"/>
                <w:szCs w:val="20"/>
              </w:rPr>
              <w:t xml:space="preserve">GoldSnap / GTX</w:t>
            </w:r>
          </w:p>
        </w:tc>
        <w:tc>
          <w:tcPr>
            <w:tcW w:type="dxa" w:w="200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left"/>
            </w:pPr>
            <w:r>
              <w:rPr>
                <w:rFonts w:ascii="Arial" w:cs="Arial" w:eastAsia="Arial" w:hAnsi="Arial"/>
                <w:b w:val="false"/>
                <w:bCs w:val="false"/>
                <w:color w:val="2B5CE6"/>
                <w:sz w:val="20"/>
                <w:szCs w:val="20"/>
              </w:rPr>
              <w:t xml:space="preserve">0.25% mint fee</w:t>
            </w:r>
          </w:p>
        </w:tc>
        <w:tc>
          <w:tcPr>
            <w:tcW w:type="dxa" w:w="220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5C6470"/>
                <w:sz w:val="20"/>
                <w:szCs w:val="20"/>
              </w:rPr>
              <w:t xml:space="preserve">1,500 minters</w:t>
            </w:r>
          </w:p>
        </w:tc>
        <w:tc>
          <w:tcPr>
            <w:tcW w:type="dxa" w:w="316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left"/>
            </w:pPr>
            <w:r>
              <w:rPr>
                <w:rFonts w:ascii="Arial" w:cs="Arial" w:eastAsia="Arial" w:hAnsi="Arial"/>
                <w:b w:val="false"/>
                <w:bCs w:val="false"/>
                <w:color w:val="2D3340"/>
                <w:sz w:val="20"/>
                <w:szCs w:val="20"/>
              </w:rPr>
              <w:t xml:space="preserve">Commodity token mint fee + collateral yield on reserve</w:t>
            </w:r>
          </w:p>
        </w:tc>
      </w:tr>
      <w:tr>
        <w:tc>
          <w:tcPr>
            <w:tcW w:type="dxa" w:w="200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left"/>
            </w:pPr>
            <w:r>
              <w:rPr>
                <w:rFonts w:ascii="Arial" w:cs="Arial" w:eastAsia="Arial" w:hAnsi="Arial"/>
                <w:b/>
                <w:bCs/>
                <w:color w:val="0D1B2A"/>
                <w:sz w:val="20"/>
                <w:szCs w:val="20"/>
              </w:rPr>
              <w:t xml:space="preserve">ProfitPilot</w:t>
            </w:r>
          </w:p>
        </w:tc>
        <w:tc>
          <w:tcPr>
            <w:tcW w:type="dxa" w:w="200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left"/>
            </w:pPr>
            <w:r>
              <w:rPr>
                <w:rFonts w:ascii="Arial" w:cs="Arial" w:eastAsia="Arial" w:hAnsi="Arial"/>
                <w:b w:val="false"/>
                <w:bCs w:val="false"/>
                <w:color w:val="2B5CE6"/>
                <w:sz w:val="20"/>
                <w:szCs w:val="20"/>
              </w:rPr>
              <w:t xml:space="preserve">$99/mo SaaS</w:t>
            </w:r>
          </w:p>
        </w:tc>
        <w:tc>
          <w:tcPr>
            <w:tcW w:type="dxa" w:w="220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5C6470"/>
                <w:sz w:val="20"/>
                <w:szCs w:val="20"/>
              </w:rPr>
              <w:t xml:space="preserve">2,500 subs</w:t>
            </w:r>
          </w:p>
        </w:tc>
        <w:tc>
          <w:tcPr>
            <w:tcW w:type="dxa" w:w="316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left"/>
            </w:pPr>
            <w:r>
              <w:rPr>
                <w:rFonts w:ascii="Arial" w:cs="Arial" w:eastAsia="Arial" w:hAnsi="Arial"/>
                <w:b w:val="false"/>
                <w:bCs w:val="false"/>
                <w:color w:val="2D3340"/>
                <w:sz w:val="20"/>
                <w:szCs w:val="20"/>
              </w:rPr>
              <w:t xml:space="preserve">Pure SaaS analytics — data product on top of network</w:t>
            </w:r>
          </w:p>
        </w:tc>
      </w:tr>
    </w:tbl>
    <w:p>
      <w:pPr>
        <w:spacing w:before="120" w:after="0"/>
      </w:pPr>
    </w:p>
    <w:p>
      <w:pPr>
        <w:pStyle w:val="Heading2"/>
        <w:spacing w:before="200" w:after="70"/>
      </w:pPr>
      <w:r>
        <w:rPr>
          <w:rFonts w:ascii="Georgia" w:cs="Georgia" w:eastAsia="Georgia" w:hAnsi="Georgia"/>
          <w:b/>
          <w:bCs/>
          <w:color w:val="0D1B2A"/>
          <w:sz w:val="26"/>
          <w:szCs w:val="26"/>
        </w:rPr>
        <w:t xml:space="preserve">Contribution Margin Per Customer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400"/>
        <w:gridCol w:w="1400"/>
        <w:gridCol w:w="1560"/>
      </w:tblGrid>
      <w:tr>
        <w:tc>
          <w:tcPr>
            <w:tcW w:type="dxa" w:w="2000"/>
            <w:tcBorders>
              <w:top w:val="single" w:color="0D1B2A" w:sz="6"/>
              <w:left w:val="single" w:color="0D1B2A" w:sz="6"/>
              <w:bottom w:val="single" w:color="0D1B2A" w:sz="6"/>
              <w:right w:val="single" w:color="0D1B2A" w:sz="6"/>
            </w:tcBorders>
            <w:shd w:fill="0D1B2A" w:val="clear"/>
            <w:tcMar>
              <w:top w:type="dxa" w:w="90"/>
              <w:left w:type="dxa" w:w="110"/>
              <w:bottom w:type="dxa" w:w="90"/>
              <w:right w:type="dxa" w:w="110"/>
            </w:tcMar>
            <w:vAlign w:val="center"/>
          </w:tcPr>
          <w:p>
            <w:pPr>
              <w:spacing w:before="0" w:after="80" w:line="280"/>
              <w:jc w:val="center"/>
            </w:pPr>
            <w:r>
              <w:rPr>
                <w:rFonts w:ascii="Arial" w:cs="Arial" w:eastAsia="Arial" w:hAnsi="Arial"/>
                <w:b/>
                <w:bCs/>
                <w:color w:val="FFFFFF"/>
                <w:sz w:val="20"/>
                <w:szCs w:val="20"/>
              </w:rPr>
              <w:t xml:space="preserve">Customer Type</w:t>
            </w:r>
          </w:p>
        </w:tc>
        <w:tc>
          <w:tcPr>
            <w:tcW w:type="dxa" w:w="1400"/>
            <w:tcBorders>
              <w:top w:val="single" w:color="0D1B2A" w:sz="6"/>
              <w:left w:val="single" w:color="0D1B2A" w:sz="6"/>
              <w:bottom w:val="single" w:color="0D1B2A" w:sz="6"/>
              <w:right w:val="single" w:color="0D1B2A" w:sz="6"/>
            </w:tcBorders>
            <w:shd w:fill="0D1B2A" w:val="clear"/>
            <w:tcMar>
              <w:top w:type="dxa" w:w="90"/>
              <w:left w:type="dxa" w:w="110"/>
              <w:bottom w:type="dxa" w:w="90"/>
              <w:right w:type="dxa" w:w="110"/>
            </w:tcMar>
            <w:vAlign w:val="center"/>
          </w:tcPr>
          <w:p>
            <w:pPr>
              <w:spacing w:before="0" w:after="80" w:line="280"/>
              <w:jc w:val="center"/>
            </w:pPr>
            <w:r>
              <w:rPr>
                <w:rFonts w:ascii="Arial" w:cs="Arial" w:eastAsia="Arial" w:hAnsi="Arial"/>
                <w:b/>
                <w:bCs/>
                <w:color w:val="FFFFFF"/>
                <w:sz w:val="20"/>
                <w:szCs w:val="20"/>
              </w:rPr>
              <w:t xml:space="preserve">QWKS Fee/yr</w:t>
            </w:r>
          </w:p>
        </w:tc>
        <w:tc>
          <w:tcPr>
            <w:tcW w:type="dxa" w:w="1400"/>
            <w:tcBorders>
              <w:top w:val="single" w:color="0D1B2A" w:sz="6"/>
              <w:left w:val="single" w:color="0D1B2A" w:sz="6"/>
              <w:bottom w:val="single" w:color="0D1B2A" w:sz="6"/>
              <w:right w:val="single" w:color="0D1B2A" w:sz="6"/>
            </w:tcBorders>
            <w:shd w:fill="0D1B2A" w:val="clear"/>
            <w:tcMar>
              <w:top w:type="dxa" w:w="90"/>
              <w:left w:type="dxa" w:w="110"/>
              <w:bottom w:type="dxa" w:w="90"/>
              <w:right w:type="dxa" w:w="110"/>
            </w:tcMar>
            <w:vAlign w:val="center"/>
          </w:tcPr>
          <w:p>
            <w:pPr>
              <w:spacing w:before="0" w:after="80" w:line="280"/>
              <w:jc w:val="center"/>
            </w:pPr>
            <w:r>
              <w:rPr>
                <w:rFonts w:ascii="Arial" w:cs="Arial" w:eastAsia="Arial" w:hAnsi="Arial"/>
                <w:b/>
                <w:bCs/>
                <w:color w:val="FFFFFF"/>
                <w:sz w:val="20"/>
                <w:szCs w:val="20"/>
              </w:rPr>
              <w:t xml:space="preserve">Infra Cost/yr</w:t>
            </w:r>
          </w:p>
        </w:tc>
        <w:tc>
          <w:tcPr>
            <w:tcW w:type="dxa" w:w="1400"/>
            <w:tcBorders>
              <w:top w:val="single" w:color="0D1B2A" w:sz="6"/>
              <w:left w:val="single" w:color="0D1B2A" w:sz="6"/>
              <w:bottom w:val="single" w:color="0D1B2A" w:sz="6"/>
              <w:right w:val="single" w:color="0D1B2A" w:sz="6"/>
            </w:tcBorders>
            <w:shd w:fill="0D1B2A" w:val="clear"/>
            <w:tcMar>
              <w:top w:type="dxa" w:w="90"/>
              <w:left w:type="dxa" w:w="110"/>
              <w:bottom w:type="dxa" w:w="90"/>
              <w:right w:type="dxa" w:w="110"/>
            </w:tcMar>
            <w:vAlign w:val="center"/>
          </w:tcPr>
          <w:p>
            <w:pPr>
              <w:spacing w:before="0" w:after="80" w:line="280"/>
              <w:jc w:val="center"/>
            </w:pPr>
            <w:r>
              <w:rPr>
                <w:rFonts w:ascii="Arial" w:cs="Arial" w:eastAsia="Arial" w:hAnsi="Arial"/>
                <w:b/>
                <w:bCs/>
                <w:color w:val="FFFFFF"/>
                <w:sz w:val="20"/>
                <w:szCs w:val="20"/>
              </w:rPr>
              <w:t xml:space="preserve">Contribution</w:t>
            </w:r>
          </w:p>
        </w:tc>
        <w:tc>
          <w:tcPr>
            <w:tcW w:type="dxa" w:w="1400"/>
            <w:tcBorders>
              <w:top w:val="single" w:color="0D1B2A" w:sz="6"/>
              <w:left w:val="single" w:color="0D1B2A" w:sz="6"/>
              <w:bottom w:val="single" w:color="0D1B2A" w:sz="6"/>
              <w:right w:val="single" w:color="0D1B2A" w:sz="6"/>
            </w:tcBorders>
            <w:shd w:fill="0D1B2A" w:val="clear"/>
            <w:tcMar>
              <w:top w:type="dxa" w:w="90"/>
              <w:left w:type="dxa" w:w="110"/>
              <w:bottom w:type="dxa" w:w="90"/>
              <w:right w:type="dxa" w:w="110"/>
            </w:tcMar>
            <w:vAlign w:val="center"/>
          </w:tcPr>
          <w:p>
            <w:pPr>
              <w:spacing w:before="0" w:after="80" w:line="280"/>
              <w:jc w:val="center"/>
            </w:pPr>
            <w:r>
              <w:rPr>
                <w:rFonts w:ascii="Arial" w:cs="Arial" w:eastAsia="Arial" w:hAnsi="Arial"/>
                <w:b/>
                <w:bCs/>
                <w:color w:val="FFFFFF"/>
                <w:sz w:val="20"/>
                <w:szCs w:val="20"/>
              </w:rPr>
              <w:t xml:space="preserve">CM %</w:t>
            </w:r>
          </w:p>
        </w:tc>
        <w:tc>
          <w:tcPr>
            <w:tcW w:type="dxa" w:w="1560"/>
            <w:tcBorders>
              <w:top w:val="single" w:color="0D1B2A" w:sz="6"/>
              <w:left w:val="single" w:color="0D1B2A" w:sz="6"/>
              <w:bottom w:val="single" w:color="0D1B2A" w:sz="6"/>
              <w:right w:val="single" w:color="0D1B2A" w:sz="6"/>
            </w:tcBorders>
            <w:shd w:fill="0D1B2A" w:val="clear"/>
            <w:tcMar>
              <w:top w:type="dxa" w:w="90"/>
              <w:left w:type="dxa" w:w="110"/>
              <w:bottom w:type="dxa" w:w="90"/>
              <w:right w:type="dxa" w:w="110"/>
            </w:tcMar>
            <w:vAlign w:val="center"/>
          </w:tcPr>
          <w:p>
            <w:pPr>
              <w:spacing w:before="0" w:after="80" w:line="280"/>
              <w:jc w:val="center"/>
            </w:pPr>
            <w:r>
              <w:rPr>
                <w:rFonts w:ascii="Arial" w:cs="Arial" w:eastAsia="Arial" w:hAnsi="Arial"/>
                <w:b/>
                <w:bCs/>
                <w:color w:val="FFFFFF"/>
                <w:sz w:val="20"/>
                <w:szCs w:val="20"/>
              </w:rPr>
              <w:t xml:space="preserve">LTV (5yr)</w:t>
            </w:r>
          </w:p>
        </w:tc>
      </w:tr>
      <w:tr>
        <w:tc>
          <w:tcPr>
            <w:tcW w:type="dxa" w:w="200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left"/>
            </w:pPr>
            <w:r>
              <w:rPr>
                <w:rFonts w:ascii="Arial" w:cs="Arial" w:eastAsia="Arial" w:hAnsi="Arial"/>
                <w:b/>
                <w:bCs/>
                <w:color w:val="2D3340"/>
                <w:sz w:val="20"/>
                <w:szCs w:val="20"/>
              </w:rPr>
              <w:t xml:space="preserve">Micro ($5K/mo)</w:t>
            </w:r>
          </w:p>
        </w:tc>
        <w:tc>
          <w:tcPr>
            <w:tcW w:type="dxa" w:w="140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8B1A1A"/>
                <w:sz w:val="20"/>
                <w:szCs w:val="20"/>
              </w:rPr>
              <w:t xml:space="preserve">$150</w:t>
            </w:r>
          </w:p>
        </w:tc>
        <w:tc>
          <w:tcPr>
            <w:tcW w:type="dxa" w:w="140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5C6470"/>
                <w:sz w:val="20"/>
                <w:szCs w:val="20"/>
              </w:rPr>
              <w:t xml:space="preserve">$1.18</w:t>
            </w:r>
          </w:p>
        </w:tc>
        <w:tc>
          <w:tcPr>
            <w:tcW w:type="dxa" w:w="1400"/>
            <w:tcBorders>
              <w:top w:val="single" w:color="EAECEF" w:sz="6"/>
              <w:left w:val="single" w:color="EAECEF" w:sz="6"/>
              <w:bottom w:val="single" w:color="EAECEF" w:sz="6"/>
              <w:right w:val="single" w:color="EAECEF" w:sz="6"/>
            </w:tcBorders>
            <w:shd w:fill="E8F5EE" w:val="clear"/>
            <w:tcMar>
              <w:top w:type="dxa" w:w="80"/>
              <w:left w:type="dxa" w:w="110"/>
              <w:bottom w:type="dxa" w:w="80"/>
              <w:right w:type="dxa" w:w="110"/>
            </w:tcMar>
            <w:vAlign w:val="center"/>
          </w:tcPr>
          <w:p>
            <w:pPr>
              <w:spacing w:before="0" w:after="80" w:line="280"/>
              <w:jc w:val="center"/>
            </w:pPr>
            <w:r>
              <w:rPr>
                <w:rFonts w:ascii="Arial" w:cs="Arial" w:eastAsia="Arial" w:hAnsi="Arial"/>
                <w:b/>
                <w:bCs/>
                <w:color w:val="1A5C38"/>
                <w:sz w:val="20"/>
                <w:szCs w:val="20"/>
              </w:rPr>
              <w:t xml:space="preserve">$148.82</w:t>
            </w:r>
          </w:p>
        </w:tc>
        <w:tc>
          <w:tcPr>
            <w:tcW w:type="dxa" w:w="1400"/>
            <w:tcBorders>
              <w:top w:val="single" w:color="EAECEF" w:sz="6"/>
              <w:left w:val="single" w:color="EAECEF" w:sz="6"/>
              <w:bottom w:val="single" w:color="EAECEF" w:sz="6"/>
              <w:right w:val="single" w:color="EAECEF" w:sz="6"/>
            </w:tcBorders>
            <w:shd w:fill="E8F5EE" w:val="clear"/>
            <w:tcMar>
              <w:top w:type="dxa" w:w="80"/>
              <w:left w:type="dxa" w:w="110"/>
              <w:bottom w:type="dxa" w:w="80"/>
              <w:right w:type="dxa" w:w="110"/>
            </w:tcMar>
            <w:vAlign w:val="center"/>
          </w:tcPr>
          <w:p>
            <w:pPr>
              <w:spacing w:before="0" w:after="80" w:line="280"/>
              <w:jc w:val="center"/>
            </w:pPr>
            <w:r>
              <w:rPr>
                <w:rFonts w:ascii="Arial" w:cs="Arial" w:eastAsia="Arial" w:hAnsi="Arial"/>
                <w:b/>
                <w:bCs/>
                <w:color w:val="1A5C38"/>
                <w:sz w:val="20"/>
                <w:szCs w:val="20"/>
              </w:rPr>
              <w:t xml:space="preserve">99.2%</w:t>
            </w:r>
          </w:p>
        </w:tc>
        <w:tc>
          <w:tcPr>
            <w:tcW w:type="dxa" w:w="1560"/>
            <w:tcBorders>
              <w:top w:val="single" w:color="EAECEF" w:sz="6"/>
              <w:left w:val="single" w:color="EAECEF" w:sz="6"/>
              <w:bottom w:val="single" w:color="EAECEF" w:sz="6"/>
              <w:right w:val="single" w:color="EAECEF" w:sz="6"/>
            </w:tcBorders>
            <w:shd w:fill="FDF6E3" w:val="clear"/>
            <w:tcMar>
              <w:top w:type="dxa" w:w="80"/>
              <w:left w:type="dxa" w:w="110"/>
              <w:bottom w:type="dxa" w:w="80"/>
              <w:right w:type="dxa" w:w="110"/>
            </w:tcMar>
            <w:vAlign w:val="center"/>
          </w:tcPr>
          <w:p>
            <w:pPr>
              <w:spacing w:before="0" w:after="80" w:line="280"/>
              <w:jc w:val="center"/>
            </w:pPr>
            <w:r>
              <w:rPr>
                <w:rFonts w:ascii="Arial" w:cs="Arial" w:eastAsia="Arial" w:hAnsi="Arial"/>
                <w:b/>
                <w:bCs/>
                <w:color w:val="B8860B"/>
                <w:sz w:val="20"/>
                <w:szCs w:val="20"/>
              </w:rPr>
              <w:t xml:space="preserve">$744</w:t>
            </w:r>
          </w:p>
        </w:tc>
      </w:tr>
      <w:tr>
        <w:tc>
          <w:tcPr>
            <w:tcW w:type="dxa" w:w="200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left"/>
            </w:pPr>
            <w:r>
              <w:rPr>
                <w:rFonts w:ascii="Arial" w:cs="Arial" w:eastAsia="Arial" w:hAnsi="Arial"/>
                <w:b/>
                <w:bCs/>
                <w:color w:val="2D3340"/>
                <w:sz w:val="20"/>
                <w:szCs w:val="20"/>
              </w:rPr>
              <w:t xml:space="preserve">Small ($25K/mo)</w:t>
            </w:r>
          </w:p>
        </w:tc>
        <w:tc>
          <w:tcPr>
            <w:tcW w:type="dxa" w:w="140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8B1A1A"/>
                <w:sz w:val="20"/>
                <w:szCs w:val="20"/>
              </w:rPr>
              <w:t xml:space="preserve">$750</w:t>
            </w:r>
          </w:p>
        </w:tc>
        <w:tc>
          <w:tcPr>
            <w:tcW w:type="dxa" w:w="140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5C6470"/>
                <w:sz w:val="20"/>
                <w:szCs w:val="20"/>
              </w:rPr>
              <w:t xml:space="preserve">$3.02</w:t>
            </w:r>
          </w:p>
        </w:tc>
        <w:tc>
          <w:tcPr>
            <w:tcW w:type="dxa" w:w="1400"/>
            <w:tcBorders>
              <w:top w:val="single" w:color="EAECEF" w:sz="6"/>
              <w:left w:val="single" w:color="EAECEF" w:sz="6"/>
              <w:bottom w:val="single" w:color="EAECEF" w:sz="6"/>
              <w:right w:val="single" w:color="EAECEF" w:sz="6"/>
            </w:tcBorders>
            <w:shd w:fill="E8F5EE" w:val="clear"/>
            <w:tcMar>
              <w:top w:type="dxa" w:w="80"/>
              <w:left w:type="dxa" w:w="110"/>
              <w:bottom w:type="dxa" w:w="80"/>
              <w:right w:type="dxa" w:w="110"/>
            </w:tcMar>
            <w:vAlign w:val="center"/>
          </w:tcPr>
          <w:p>
            <w:pPr>
              <w:spacing w:before="0" w:after="80" w:line="280"/>
              <w:jc w:val="center"/>
            </w:pPr>
            <w:r>
              <w:rPr>
                <w:rFonts w:ascii="Arial" w:cs="Arial" w:eastAsia="Arial" w:hAnsi="Arial"/>
                <w:b/>
                <w:bCs/>
                <w:color w:val="1A5C38"/>
                <w:sz w:val="20"/>
                <w:szCs w:val="20"/>
              </w:rPr>
              <w:t xml:space="preserve">$746.98</w:t>
            </w:r>
          </w:p>
        </w:tc>
        <w:tc>
          <w:tcPr>
            <w:tcW w:type="dxa" w:w="1400"/>
            <w:tcBorders>
              <w:top w:val="single" w:color="EAECEF" w:sz="6"/>
              <w:left w:val="single" w:color="EAECEF" w:sz="6"/>
              <w:bottom w:val="single" w:color="EAECEF" w:sz="6"/>
              <w:right w:val="single" w:color="EAECEF" w:sz="6"/>
            </w:tcBorders>
            <w:shd w:fill="E8F5EE" w:val="clear"/>
            <w:tcMar>
              <w:top w:type="dxa" w:w="80"/>
              <w:left w:type="dxa" w:w="110"/>
              <w:bottom w:type="dxa" w:w="80"/>
              <w:right w:type="dxa" w:w="110"/>
            </w:tcMar>
            <w:vAlign w:val="center"/>
          </w:tcPr>
          <w:p>
            <w:pPr>
              <w:spacing w:before="0" w:after="80" w:line="280"/>
              <w:jc w:val="center"/>
            </w:pPr>
            <w:r>
              <w:rPr>
                <w:rFonts w:ascii="Arial" w:cs="Arial" w:eastAsia="Arial" w:hAnsi="Arial"/>
                <w:b/>
                <w:bCs/>
                <w:color w:val="1A5C38"/>
                <w:sz w:val="20"/>
                <w:szCs w:val="20"/>
              </w:rPr>
              <w:t xml:space="preserve">99.6%</w:t>
            </w:r>
          </w:p>
        </w:tc>
        <w:tc>
          <w:tcPr>
            <w:tcW w:type="dxa" w:w="1560"/>
            <w:tcBorders>
              <w:top w:val="single" w:color="EAECEF" w:sz="6"/>
              <w:left w:val="single" w:color="EAECEF" w:sz="6"/>
              <w:bottom w:val="single" w:color="EAECEF" w:sz="6"/>
              <w:right w:val="single" w:color="EAECEF" w:sz="6"/>
            </w:tcBorders>
            <w:shd w:fill="FDF6E3" w:val="clear"/>
            <w:tcMar>
              <w:top w:type="dxa" w:w="80"/>
              <w:left w:type="dxa" w:w="110"/>
              <w:bottom w:type="dxa" w:w="80"/>
              <w:right w:type="dxa" w:w="110"/>
            </w:tcMar>
            <w:vAlign w:val="center"/>
          </w:tcPr>
          <w:p>
            <w:pPr>
              <w:spacing w:before="0" w:after="80" w:line="280"/>
              <w:jc w:val="center"/>
            </w:pPr>
            <w:r>
              <w:rPr>
                <w:rFonts w:ascii="Arial" w:cs="Arial" w:eastAsia="Arial" w:hAnsi="Arial"/>
                <w:b/>
                <w:bCs/>
                <w:color w:val="B8860B"/>
                <w:sz w:val="20"/>
                <w:szCs w:val="20"/>
              </w:rPr>
              <w:t xml:space="preserve">$3,735</w:t>
            </w:r>
          </w:p>
        </w:tc>
      </w:tr>
      <w:tr>
        <w:tc>
          <w:tcPr>
            <w:tcW w:type="dxa" w:w="200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left"/>
            </w:pPr>
            <w:r>
              <w:rPr>
                <w:rFonts w:ascii="Arial" w:cs="Arial" w:eastAsia="Arial" w:hAnsi="Arial"/>
                <w:b/>
                <w:bCs/>
                <w:color w:val="2D3340"/>
                <w:sz w:val="20"/>
                <w:szCs w:val="20"/>
              </w:rPr>
              <w:t xml:space="preserve">Mid ($50K/mo)</w:t>
            </w:r>
          </w:p>
        </w:tc>
        <w:tc>
          <w:tcPr>
            <w:tcW w:type="dxa" w:w="140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8B1A1A"/>
                <w:sz w:val="20"/>
                <w:szCs w:val="20"/>
              </w:rPr>
              <w:t xml:space="preserve">$1,499</w:t>
            </w:r>
          </w:p>
        </w:tc>
        <w:tc>
          <w:tcPr>
            <w:tcW w:type="dxa" w:w="140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5C6470"/>
                <w:sz w:val="20"/>
                <w:szCs w:val="20"/>
              </w:rPr>
              <w:t xml:space="preserve">$5.04</w:t>
            </w:r>
          </w:p>
        </w:tc>
        <w:tc>
          <w:tcPr>
            <w:tcW w:type="dxa" w:w="1400"/>
            <w:tcBorders>
              <w:top w:val="single" w:color="EAECEF" w:sz="6"/>
              <w:left w:val="single" w:color="EAECEF" w:sz="6"/>
              <w:bottom w:val="single" w:color="EAECEF" w:sz="6"/>
              <w:right w:val="single" w:color="EAECEF" w:sz="6"/>
            </w:tcBorders>
            <w:shd w:fill="E8F5EE" w:val="clear"/>
            <w:tcMar>
              <w:top w:type="dxa" w:w="80"/>
              <w:left w:type="dxa" w:w="110"/>
              <w:bottom w:type="dxa" w:w="80"/>
              <w:right w:type="dxa" w:w="110"/>
            </w:tcMar>
            <w:vAlign w:val="center"/>
          </w:tcPr>
          <w:p>
            <w:pPr>
              <w:spacing w:before="0" w:after="80" w:line="280"/>
              <w:jc w:val="center"/>
            </w:pPr>
            <w:r>
              <w:rPr>
                <w:rFonts w:ascii="Arial" w:cs="Arial" w:eastAsia="Arial" w:hAnsi="Arial"/>
                <w:b/>
                <w:bCs/>
                <w:color w:val="1A5C38"/>
                <w:sz w:val="20"/>
                <w:szCs w:val="20"/>
              </w:rPr>
              <w:t xml:space="preserve">$1,493.96</w:t>
            </w:r>
          </w:p>
        </w:tc>
        <w:tc>
          <w:tcPr>
            <w:tcW w:type="dxa" w:w="1400"/>
            <w:tcBorders>
              <w:top w:val="single" w:color="EAECEF" w:sz="6"/>
              <w:left w:val="single" w:color="EAECEF" w:sz="6"/>
              <w:bottom w:val="single" w:color="EAECEF" w:sz="6"/>
              <w:right w:val="single" w:color="EAECEF" w:sz="6"/>
            </w:tcBorders>
            <w:shd w:fill="E8F5EE" w:val="clear"/>
            <w:tcMar>
              <w:top w:type="dxa" w:w="80"/>
              <w:left w:type="dxa" w:w="110"/>
              <w:bottom w:type="dxa" w:w="80"/>
              <w:right w:type="dxa" w:w="110"/>
            </w:tcMar>
            <w:vAlign w:val="center"/>
          </w:tcPr>
          <w:p>
            <w:pPr>
              <w:spacing w:before="0" w:after="80" w:line="280"/>
              <w:jc w:val="center"/>
            </w:pPr>
            <w:r>
              <w:rPr>
                <w:rFonts w:ascii="Arial" w:cs="Arial" w:eastAsia="Arial" w:hAnsi="Arial"/>
                <w:b/>
                <w:bCs/>
                <w:color w:val="1A5C38"/>
                <w:sz w:val="20"/>
                <w:szCs w:val="20"/>
              </w:rPr>
              <w:t xml:space="preserve">99.7%</w:t>
            </w:r>
          </w:p>
        </w:tc>
        <w:tc>
          <w:tcPr>
            <w:tcW w:type="dxa" w:w="1560"/>
            <w:tcBorders>
              <w:top w:val="single" w:color="EAECEF" w:sz="6"/>
              <w:left w:val="single" w:color="EAECEF" w:sz="6"/>
              <w:bottom w:val="single" w:color="EAECEF" w:sz="6"/>
              <w:right w:val="single" w:color="EAECEF" w:sz="6"/>
            </w:tcBorders>
            <w:shd w:fill="FDF6E3" w:val="clear"/>
            <w:tcMar>
              <w:top w:type="dxa" w:w="80"/>
              <w:left w:type="dxa" w:w="110"/>
              <w:bottom w:type="dxa" w:w="80"/>
              <w:right w:type="dxa" w:w="110"/>
            </w:tcMar>
            <w:vAlign w:val="center"/>
          </w:tcPr>
          <w:p>
            <w:pPr>
              <w:spacing w:before="0" w:after="80" w:line="280"/>
              <w:jc w:val="center"/>
            </w:pPr>
            <w:r>
              <w:rPr>
                <w:rFonts w:ascii="Arial" w:cs="Arial" w:eastAsia="Arial" w:hAnsi="Arial"/>
                <w:b/>
                <w:bCs/>
                <w:color w:val="B8860B"/>
                <w:sz w:val="20"/>
                <w:szCs w:val="20"/>
              </w:rPr>
              <w:t xml:space="preserve">$7,470</w:t>
            </w:r>
          </w:p>
        </w:tc>
      </w:tr>
      <w:tr>
        <w:tc>
          <w:tcPr>
            <w:tcW w:type="dxa" w:w="200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left"/>
            </w:pPr>
            <w:r>
              <w:rPr>
                <w:rFonts w:ascii="Arial" w:cs="Arial" w:eastAsia="Arial" w:hAnsi="Arial"/>
                <w:b/>
                <w:bCs/>
                <w:color w:val="2D3340"/>
                <w:sz w:val="20"/>
                <w:szCs w:val="20"/>
              </w:rPr>
              <w:t xml:space="preserve">Busy ($100K/mo)</w:t>
            </w:r>
          </w:p>
        </w:tc>
        <w:tc>
          <w:tcPr>
            <w:tcW w:type="dxa" w:w="140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8B1A1A"/>
                <w:sz w:val="20"/>
                <w:szCs w:val="20"/>
              </w:rPr>
              <w:t xml:space="preserve">$2,999</w:t>
            </w:r>
          </w:p>
        </w:tc>
        <w:tc>
          <w:tcPr>
            <w:tcW w:type="dxa" w:w="140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5C6470"/>
                <w:sz w:val="20"/>
                <w:szCs w:val="20"/>
              </w:rPr>
              <w:t xml:space="preserve">$10.08</w:t>
            </w:r>
          </w:p>
        </w:tc>
        <w:tc>
          <w:tcPr>
            <w:tcW w:type="dxa" w:w="1400"/>
            <w:tcBorders>
              <w:top w:val="single" w:color="EAECEF" w:sz="6"/>
              <w:left w:val="single" w:color="EAECEF" w:sz="6"/>
              <w:bottom w:val="single" w:color="EAECEF" w:sz="6"/>
              <w:right w:val="single" w:color="EAECEF" w:sz="6"/>
            </w:tcBorders>
            <w:shd w:fill="E8F5EE" w:val="clear"/>
            <w:tcMar>
              <w:top w:type="dxa" w:w="80"/>
              <w:left w:type="dxa" w:w="110"/>
              <w:bottom w:type="dxa" w:w="80"/>
              <w:right w:type="dxa" w:w="110"/>
            </w:tcMar>
            <w:vAlign w:val="center"/>
          </w:tcPr>
          <w:p>
            <w:pPr>
              <w:spacing w:before="0" w:after="80" w:line="280"/>
              <w:jc w:val="center"/>
            </w:pPr>
            <w:r>
              <w:rPr>
                <w:rFonts w:ascii="Arial" w:cs="Arial" w:eastAsia="Arial" w:hAnsi="Arial"/>
                <w:b/>
                <w:bCs/>
                <w:color w:val="1A5C38"/>
                <w:sz w:val="20"/>
                <w:szCs w:val="20"/>
              </w:rPr>
              <w:t xml:space="preserve">$2,988.92</w:t>
            </w:r>
          </w:p>
        </w:tc>
        <w:tc>
          <w:tcPr>
            <w:tcW w:type="dxa" w:w="1400"/>
            <w:tcBorders>
              <w:top w:val="single" w:color="EAECEF" w:sz="6"/>
              <w:left w:val="single" w:color="EAECEF" w:sz="6"/>
              <w:bottom w:val="single" w:color="EAECEF" w:sz="6"/>
              <w:right w:val="single" w:color="EAECEF" w:sz="6"/>
            </w:tcBorders>
            <w:shd w:fill="E8F5EE" w:val="clear"/>
            <w:tcMar>
              <w:top w:type="dxa" w:w="80"/>
              <w:left w:type="dxa" w:w="110"/>
              <w:bottom w:type="dxa" w:w="80"/>
              <w:right w:type="dxa" w:w="110"/>
            </w:tcMar>
            <w:vAlign w:val="center"/>
          </w:tcPr>
          <w:p>
            <w:pPr>
              <w:spacing w:before="0" w:after="80" w:line="280"/>
              <w:jc w:val="center"/>
            </w:pPr>
            <w:r>
              <w:rPr>
                <w:rFonts w:ascii="Arial" w:cs="Arial" w:eastAsia="Arial" w:hAnsi="Arial"/>
                <w:b/>
                <w:bCs/>
                <w:color w:val="1A5C38"/>
                <w:sz w:val="20"/>
                <w:szCs w:val="20"/>
              </w:rPr>
              <w:t xml:space="preserve">99.7%</w:t>
            </w:r>
          </w:p>
        </w:tc>
        <w:tc>
          <w:tcPr>
            <w:tcW w:type="dxa" w:w="1560"/>
            <w:tcBorders>
              <w:top w:val="single" w:color="EAECEF" w:sz="6"/>
              <w:left w:val="single" w:color="EAECEF" w:sz="6"/>
              <w:bottom w:val="single" w:color="EAECEF" w:sz="6"/>
              <w:right w:val="single" w:color="EAECEF" w:sz="6"/>
            </w:tcBorders>
            <w:shd w:fill="FDF6E3" w:val="clear"/>
            <w:tcMar>
              <w:top w:type="dxa" w:w="80"/>
              <w:left w:type="dxa" w:w="110"/>
              <w:bottom w:type="dxa" w:w="80"/>
              <w:right w:type="dxa" w:w="110"/>
            </w:tcMar>
            <w:vAlign w:val="center"/>
          </w:tcPr>
          <w:p>
            <w:pPr>
              <w:spacing w:before="0" w:after="80" w:line="280"/>
              <w:jc w:val="center"/>
            </w:pPr>
            <w:r>
              <w:rPr>
                <w:rFonts w:ascii="Arial" w:cs="Arial" w:eastAsia="Arial" w:hAnsi="Arial"/>
                <w:b/>
                <w:bCs/>
                <w:color w:val="B8860B"/>
                <w:sz w:val="20"/>
                <w:szCs w:val="20"/>
              </w:rPr>
              <w:t xml:space="preserve">$14,945</w:t>
            </w:r>
          </w:p>
        </w:tc>
      </w:tr>
      <w:tr>
        <w:tc>
          <w:tcPr>
            <w:tcW w:type="dxa" w:w="200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left"/>
            </w:pPr>
            <w:r>
              <w:rPr>
                <w:rFonts w:ascii="Arial" w:cs="Arial" w:eastAsia="Arial" w:hAnsi="Arial"/>
                <w:b/>
                <w:bCs/>
                <w:color w:val="2D3340"/>
                <w:sz w:val="20"/>
                <w:szCs w:val="20"/>
              </w:rPr>
              <w:t xml:space="preserve">Multi ($250K/mo)</w:t>
            </w:r>
          </w:p>
        </w:tc>
        <w:tc>
          <w:tcPr>
            <w:tcW w:type="dxa" w:w="140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8B1A1A"/>
                <w:sz w:val="20"/>
                <w:szCs w:val="20"/>
              </w:rPr>
              <w:t xml:space="preserve">$7,497</w:t>
            </w:r>
          </w:p>
        </w:tc>
        <w:tc>
          <w:tcPr>
            <w:tcW w:type="dxa" w:w="140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5C6470"/>
                <w:sz w:val="20"/>
                <w:szCs w:val="20"/>
              </w:rPr>
              <w:t xml:space="preserve">$25.20</w:t>
            </w:r>
          </w:p>
        </w:tc>
        <w:tc>
          <w:tcPr>
            <w:tcW w:type="dxa" w:w="1400"/>
            <w:tcBorders>
              <w:top w:val="single" w:color="EAECEF" w:sz="6"/>
              <w:left w:val="single" w:color="EAECEF" w:sz="6"/>
              <w:bottom w:val="single" w:color="EAECEF" w:sz="6"/>
              <w:right w:val="single" w:color="EAECEF" w:sz="6"/>
            </w:tcBorders>
            <w:shd w:fill="E8F5EE" w:val="clear"/>
            <w:tcMar>
              <w:top w:type="dxa" w:w="80"/>
              <w:left w:type="dxa" w:w="110"/>
              <w:bottom w:type="dxa" w:w="80"/>
              <w:right w:type="dxa" w:w="110"/>
            </w:tcMar>
            <w:vAlign w:val="center"/>
          </w:tcPr>
          <w:p>
            <w:pPr>
              <w:spacing w:before="0" w:after="80" w:line="280"/>
              <w:jc w:val="center"/>
            </w:pPr>
            <w:r>
              <w:rPr>
                <w:rFonts w:ascii="Arial" w:cs="Arial" w:eastAsia="Arial" w:hAnsi="Arial"/>
                <w:b/>
                <w:bCs/>
                <w:color w:val="1A5C38"/>
                <w:sz w:val="20"/>
                <w:szCs w:val="20"/>
              </w:rPr>
              <w:t xml:space="preserve">$7,471.80</w:t>
            </w:r>
          </w:p>
        </w:tc>
        <w:tc>
          <w:tcPr>
            <w:tcW w:type="dxa" w:w="1400"/>
            <w:tcBorders>
              <w:top w:val="single" w:color="EAECEF" w:sz="6"/>
              <w:left w:val="single" w:color="EAECEF" w:sz="6"/>
              <w:bottom w:val="single" w:color="EAECEF" w:sz="6"/>
              <w:right w:val="single" w:color="EAECEF" w:sz="6"/>
            </w:tcBorders>
            <w:shd w:fill="E8F5EE" w:val="clear"/>
            <w:tcMar>
              <w:top w:type="dxa" w:w="80"/>
              <w:left w:type="dxa" w:w="110"/>
              <w:bottom w:type="dxa" w:w="80"/>
              <w:right w:type="dxa" w:w="110"/>
            </w:tcMar>
            <w:vAlign w:val="center"/>
          </w:tcPr>
          <w:p>
            <w:pPr>
              <w:spacing w:before="0" w:after="80" w:line="280"/>
              <w:jc w:val="center"/>
            </w:pPr>
            <w:r>
              <w:rPr>
                <w:rFonts w:ascii="Arial" w:cs="Arial" w:eastAsia="Arial" w:hAnsi="Arial"/>
                <w:b/>
                <w:bCs/>
                <w:color w:val="1A5C38"/>
                <w:sz w:val="20"/>
                <w:szCs w:val="20"/>
              </w:rPr>
              <w:t xml:space="preserve">99.7%</w:t>
            </w:r>
          </w:p>
        </w:tc>
        <w:tc>
          <w:tcPr>
            <w:tcW w:type="dxa" w:w="1560"/>
            <w:tcBorders>
              <w:top w:val="single" w:color="EAECEF" w:sz="6"/>
              <w:left w:val="single" w:color="EAECEF" w:sz="6"/>
              <w:bottom w:val="single" w:color="EAECEF" w:sz="6"/>
              <w:right w:val="single" w:color="EAECEF" w:sz="6"/>
            </w:tcBorders>
            <w:shd w:fill="FDF6E3" w:val="clear"/>
            <w:tcMar>
              <w:top w:type="dxa" w:w="80"/>
              <w:left w:type="dxa" w:w="110"/>
              <w:bottom w:type="dxa" w:w="80"/>
              <w:right w:type="dxa" w:w="110"/>
            </w:tcMar>
            <w:vAlign w:val="center"/>
          </w:tcPr>
          <w:p>
            <w:pPr>
              <w:spacing w:before="0" w:after="80" w:line="280"/>
              <w:jc w:val="center"/>
            </w:pPr>
            <w:r>
              <w:rPr>
                <w:rFonts w:ascii="Arial" w:cs="Arial" w:eastAsia="Arial" w:hAnsi="Arial"/>
                <w:b/>
                <w:bCs/>
                <w:color w:val="B8860B"/>
                <w:sz w:val="20"/>
                <w:szCs w:val="20"/>
              </w:rPr>
              <w:t xml:space="preserve">$37,359</w:t>
            </w:r>
          </w:p>
        </w:tc>
      </w:tr>
    </w:tbl>
    <w:p>
      <w:pPr>
        <w:spacing w:before="80" w:after="0"/>
      </w:pPr>
    </w:p>
    <w:p>
      <w:pPr>
        <w:spacing w:before="0" w:after="80" w:line="260"/>
        <w:jc w:val="left"/>
      </w:pPr>
      <w:r>
        <w:rPr>
          <w:rFonts w:ascii="Arial" w:cs="Arial" w:eastAsia="Arial" w:hAnsi="Arial"/>
          <w:i/>
          <w:iCs/>
          <w:color w:val="9BA3AF"/>
          <w:sz w:val="17"/>
          <w:szCs w:val="17"/>
        </w:rPr>
        <w:t xml:space="preserve">Note: Infrastructure cost = Base L2 gas at live rate ($0.000825/contract call). Contribution margin is 99%+ across all tiers because blockchain rails cost near nothing per transaction. This is categorically different from card processing, where 70-85% of revenue is paid to the card networks.</w:t>
      </w:r>
    </w:p>
    <w:p>
      <w:pPr>
        <w:pageBreakBefore/>
        <w:spacing w:before="0" w:after="0"/>
      </w:pPr>
      <w:fldSimple w:instr="[object Object]"/>
    </w:p>
    <w:p>
      <w:pPr>
        <w:spacing w:before="200" w:after="0"/>
      </w:pPr>
    </w:p>
    <w:p>
      <w:pPr>
        <w:spacing w:before="0" w:after="50" w:line="280"/>
        <w:jc w:val="left"/>
      </w:pPr>
      <w:r>
        <w:rPr>
          <w:rFonts w:ascii="Arial" w:cs="Arial" w:eastAsia="Arial" w:hAnsi="Arial"/>
          <w:b/>
          <w:bCs/>
          <w:color w:val="2B5CE6"/>
          <w:sz w:val="15"/>
          <w:szCs w:val="15"/>
        </w:rPr>
        <w:t xml:space="preserve">SECTION 4</w:t>
      </w:r>
    </w:p>
    <w:p>
      <w:pPr>
        <w:pStyle w:val="Heading1"/>
        <w:spacing w:before="0" w:after="80"/>
      </w:pPr>
      <w:r>
        <w:rPr>
          <w:rFonts w:ascii="Georgia" w:cs="Georgia" w:eastAsia="Georgia" w:hAnsi="Georgia"/>
          <w:b/>
          <w:bCs/>
          <w:color w:val="0D1B2A"/>
          <w:sz w:val="34"/>
          <w:szCs w:val="34"/>
        </w:rPr>
        <w:t xml:space="preserve">Financial Projections</w:t>
      </w:r>
    </w:p>
    <w:p>
      <w:pPr>
        <w:pBdr>
          <w:bottom w:val="single" w:color="D4A853" w:sz="12" w:space="1"/>
        </w:pBd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40"/>
        <w:gridCol w:w="1440"/>
        <w:gridCol w:w="1440"/>
        <w:gridCol w:w="1440"/>
        <w:gridCol w:w="1800"/>
      </w:tblGrid>
      <w:tr>
        <w:tc>
          <w:tcPr>
            <w:tcW w:type="dxa" w:w="2200"/>
            <w:tcBorders>
              <w:top w:val="single" w:color="0D1B2A" w:sz="6"/>
              <w:left w:val="single" w:color="0D1B2A" w:sz="6"/>
              <w:bottom w:val="single" w:color="0D1B2A" w:sz="6"/>
              <w:right w:val="single" w:color="0D1B2A" w:sz="6"/>
            </w:tcBorders>
            <w:shd w:fill="0D1B2A" w:val="clear"/>
            <w:tcMar>
              <w:top w:type="dxa" w:w="90"/>
              <w:left w:type="dxa" w:w="110"/>
              <w:bottom w:type="dxa" w:w="90"/>
              <w:right w:type="dxa" w:w="110"/>
            </w:tcMar>
            <w:vAlign w:val="center"/>
          </w:tcPr>
          <w:p>
            <w:pPr>
              <w:spacing w:before="0" w:after="80" w:line="280"/>
              <w:jc w:val="center"/>
            </w:pPr>
            <w:r>
              <w:rPr>
                <w:rFonts w:ascii="Arial" w:cs="Arial" w:eastAsia="Arial" w:hAnsi="Arial"/>
                <w:b/>
                <w:bCs/>
                <w:color w:val="FFFFFF"/>
                <w:sz w:val="20"/>
                <w:szCs w:val="20"/>
              </w:rPr>
              <w:t xml:space="preserve">Metric</w:t>
            </w:r>
          </w:p>
        </w:tc>
        <w:tc>
          <w:tcPr>
            <w:tcW w:type="dxa" w:w="1440"/>
            <w:tcBorders>
              <w:top w:val="single" w:color="0D1B2A" w:sz="6"/>
              <w:left w:val="single" w:color="0D1B2A" w:sz="6"/>
              <w:bottom w:val="single" w:color="0D1B2A" w:sz="6"/>
              <w:right w:val="single" w:color="0D1B2A" w:sz="6"/>
            </w:tcBorders>
            <w:shd w:fill="0D1B2A" w:val="clear"/>
            <w:tcMar>
              <w:top w:type="dxa" w:w="90"/>
              <w:left w:type="dxa" w:w="110"/>
              <w:bottom w:type="dxa" w:w="90"/>
              <w:right w:type="dxa" w:w="110"/>
            </w:tcMar>
            <w:vAlign w:val="center"/>
          </w:tcPr>
          <w:p>
            <w:pPr>
              <w:spacing w:before="0" w:after="80" w:line="280"/>
              <w:jc w:val="center"/>
            </w:pPr>
            <w:r>
              <w:rPr>
                <w:rFonts w:ascii="Arial" w:cs="Arial" w:eastAsia="Arial" w:hAnsi="Arial"/>
                <w:b/>
                <w:bCs/>
                <w:color w:val="FFFFFF"/>
                <w:sz w:val="20"/>
                <w:szCs w:val="20"/>
              </w:rPr>
              <w:t xml:space="preserve">Year 1</w:t>
            </w:r>
          </w:p>
        </w:tc>
        <w:tc>
          <w:tcPr>
            <w:tcW w:type="dxa" w:w="1440"/>
            <w:tcBorders>
              <w:top w:val="single" w:color="0D1B2A" w:sz="6"/>
              <w:left w:val="single" w:color="0D1B2A" w:sz="6"/>
              <w:bottom w:val="single" w:color="0D1B2A" w:sz="6"/>
              <w:right w:val="single" w:color="0D1B2A" w:sz="6"/>
            </w:tcBorders>
            <w:shd w:fill="0D1B2A" w:val="clear"/>
            <w:tcMar>
              <w:top w:type="dxa" w:w="90"/>
              <w:left w:type="dxa" w:w="110"/>
              <w:bottom w:type="dxa" w:w="90"/>
              <w:right w:type="dxa" w:w="110"/>
            </w:tcMar>
            <w:vAlign w:val="center"/>
          </w:tcPr>
          <w:p>
            <w:pPr>
              <w:spacing w:before="0" w:after="80" w:line="280"/>
              <w:jc w:val="center"/>
            </w:pPr>
            <w:r>
              <w:rPr>
                <w:rFonts w:ascii="Arial" w:cs="Arial" w:eastAsia="Arial" w:hAnsi="Arial"/>
                <w:b/>
                <w:bCs/>
                <w:color w:val="FFFFFF"/>
                <w:sz w:val="20"/>
                <w:szCs w:val="20"/>
              </w:rPr>
              <w:t xml:space="preserve">Year 2</w:t>
            </w:r>
          </w:p>
        </w:tc>
        <w:tc>
          <w:tcPr>
            <w:tcW w:type="dxa" w:w="1440"/>
            <w:tcBorders>
              <w:top w:val="single" w:color="0D1B2A" w:sz="6"/>
              <w:left w:val="single" w:color="0D1B2A" w:sz="6"/>
              <w:bottom w:val="single" w:color="0D1B2A" w:sz="6"/>
              <w:right w:val="single" w:color="0D1B2A" w:sz="6"/>
            </w:tcBorders>
            <w:shd w:fill="0D1B2A" w:val="clear"/>
            <w:tcMar>
              <w:top w:type="dxa" w:w="90"/>
              <w:left w:type="dxa" w:w="110"/>
              <w:bottom w:type="dxa" w:w="90"/>
              <w:right w:type="dxa" w:w="110"/>
            </w:tcMar>
            <w:vAlign w:val="center"/>
          </w:tcPr>
          <w:p>
            <w:pPr>
              <w:spacing w:before="0" w:after="80" w:line="280"/>
              <w:jc w:val="center"/>
            </w:pPr>
            <w:r>
              <w:rPr>
                <w:rFonts w:ascii="Arial" w:cs="Arial" w:eastAsia="Arial" w:hAnsi="Arial"/>
                <w:b/>
                <w:bCs/>
                <w:color w:val="FFFFFF"/>
                <w:sz w:val="20"/>
                <w:szCs w:val="20"/>
              </w:rPr>
              <w:t xml:space="preserve">Year 3</w:t>
            </w:r>
          </w:p>
        </w:tc>
        <w:tc>
          <w:tcPr>
            <w:tcW w:type="dxa" w:w="1440"/>
            <w:tcBorders>
              <w:top w:val="single" w:color="0D1B2A" w:sz="6"/>
              <w:left w:val="single" w:color="0D1B2A" w:sz="6"/>
              <w:bottom w:val="single" w:color="0D1B2A" w:sz="6"/>
              <w:right w:val="single" w:color="0D1B2A" w:sz="6"/>
            </w:tcBorders>
            <w:shd w:fill="0D1B2A" w:val="clear"/>
            <w:tcMar>
              <w:top w:type="dxa" w:w="90"/>
              <w:left w:type="dxa" w:w="110"/>
              <w:bottom w:type="dxa" w:w="90"/>
              <w:right w:type="dxa" w:w="110"/>
            </w:tcMar>
            <w:vAlign w:val="center"/>
          </w:tcPr>
          <w:p>
            <w:pPr>
              <w:spacing w:before="0" w:after="80" w:line="280"/>
              <w:jc w:val="center"/>
            </w:pPr>
            <w:r>
              <w:rPr>
                <w:rFonts w:ascii="Arial" w:cs="Arial" w:eastAsia="Arial" w:hAnsi="Arial"/>
                <w:b/>
                <w:bCs/>
                <w:color w:val="FFFFFF"/>
                <w:sz w:val="20"/>
                <w:szCs w:val="20"/>
              </w:rPr>
              <w:t xml:space="preserve">Year 4</w:t>
            </w:r>
          </w:p>
        </w:tc>
        <w:tc>
          <w:tcPr>
            <w:tcW w:type="dxa" w:w="1800"/>
            <w:tcBorders>
              <w:top w:val="single" w:color="0D1B2A" w:sz="6"/>
              <w:left w:val="single" w:color="0D1B2A" w:sz="6"/>
              <w:bottom w:val="single" w:color="0D1B2A" w:sz="6"/>
              <w:right w:val="single" w:color="0D1B2A" w:sz="6"/>
            </w:tcBorders>
            <w:shd w:fill="0D1B2A" w:val="clear"/>
            <w:tcMar>
              <w:top w:type="dxa" w:w="90"/>
              <w:left w:type="dxa" w:w="110"/>
              <w:bottom w:type="dxa" w:w="90"/>
              <w:right w:type="dxa" w:w="110"/>
            </w:tcMar>
            <w:vAlign w:val="center"/>
          </w:tcPr>
          <w:p>
            <w:pPr>
              <w:spacing w:before="0" w:after="80" w:line="280"/>
              <w:jc w:val="center"/>
            </w:pPr>
            <w:r>
              <w:rPr>
                <w:rFonts w:ascii="Arial" w:cs="Arial" w:eastAsia="Arial" w:hAnsi="Arial"/>
                <w:b/>
                <w:bCs/>
                <w:color w:val="FFFFFF"/>
                <w:sz w:val="20"/>
                <w:szCs w:val="20"/>
              </w:rPr>
              <w:t xml:space="preserve">Year 5</w:t>
            </w:r>
          </w:p>
        </w:tc>
      </w:tr>
      <w:tr>
        <w:tc>
          <w:tcPr>
            <w:tcW w:type="dxa" w:w="220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left"/>
            </w:pPr>
            <w:r>
              <w:rPr>
                <w:rFonts w:ascii="Arial" w:cs="Arial" w:eastAsia="Arial" w:hAnsi="Arial"/>
                <w:b/>
                <w:bCs/>
                <w:color w:val="2D3340"/>
                <w:sz w:val="20"/>
                <w:szCs w:val="20"/>
              </w:rPr>
              <w:t xml:space="preserve">QWKS businesses</w:t>
            </w:r>
          </w:p>
        </w:tc>
        <w:tc>
          <w:tcPr>
            <w:tcW w:type="dxa" w:w="144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2D3340"/>
                <w:sz w:val="20"/>
                <w:szCs w:val="20"/>
              </w:rPr>
              <w:t xml:space="preserve">500</w:t>
            </w:r>
          </w:p>
        </w:tc>
        <w:tc>
          <w:tcPr>
            <w:tcW w:type="dxa" w:w="144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2D3340"/>
                <w:sz w:val="20"/>
                <w:szCs w:val="20"/>
              </w:rPr>
              <w:t xml:space="preserve">5,000</w:t>
            </w:r>
          </w:p>
        </w:tc>
        <w:tc>
          <w:tcPr>
            <w:tcW w:type="dxa" w:w="144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2D3340"/>
                <w:sz w:val="20"/>
                <w:szCs w:val="20"/>
              </w:rPr>
              <w:t xml:space="preserve">15,000</w:t>
            </w:r>
          </w:p>
        </w:tc>
        <w:tc>
          <w:tcPr>
            <w:tcW w:type="dxa" w:w="144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2D3340"/>
                <w:sz w:val="20"/>
                <w:szCs w:val="20"/>
              </w:rPr>
              <w:t xml:space="preserve">50,000</w:t>
            </w:r>
          </w:p>
        </w:tc>
        <w:tc>
          <w:tcPr>
            <w:tcW w:type="dxa" w:w="144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2D3340"/>
                <w:sz w:val="20"/>
                <w:szCs w:val="20"/>
              </w:rPr>
              <w:t xml:space="preserve">150,000</w:t>
            </w:r>
          </w:p>
        </w:tc>
      </w:tr>
      <w:tr>
        <w:tc>
          <w:tcPr>
            <w:tcW w:type="dxa" w:w="220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left"/>
            </w:pPr>
            <w:r>
              <w:rPr>
                <w:rFonts w:ascii="Arial" w:cs="Arial" w:eastAsia="Arial" w:hAnsi="Arial"/>
                <w:b/>
                <w:bCs/>
                <w:color w:val="2D3340"/>
                <w:sz w:val="20"/>
                <w:szCs w:val="20"/>
              </w:rPr>
              <w:t xml:space="preserve">AllCard users</w:t>
            </w:r>
          </w:p>
        </w:tc>
        <w:tc>
          <w:tcPr>
            <w:tcW w:type="dxa" w:w="144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2D3340"/>
                <w:sz w:val="20"/>
                <w:szCs w:val="20"/>
              </w:rPr>
              <w:t xml:space="preserve">8,000</w:t>
            </w:r>
          </w:p>
        </w:tc>
        <w:tc>
          <w:tcPr>
            <w:tcW w:type="dxa" w:w="144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2D3340"/>
                <w:sz w:val="20"/>
                <w:szCs w:val="20"/>
              </w:rPr>
              <w:t xml:space="preserve">50,000</w:t>
            </w:r>
          </w:p>
        </w:tc>
        <w:tc>
          <w:tcPr>
            <w:tcW w:type="dxa" w:w="144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2D3340"/>
                <w:sz w:val="20"/>
                <w:szCs w:val="20"/>
              </w:rPr>
              <w:t xml:space="preserve">200,000</w:t>
            </w:r>
          </w:p>
        </w:tc>
        <w:tc>
          <w:tcPr>
            <w:tcW w:type="dxa" w:w="144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2D3340"/>
                <w:sz w:val="20"/>
                <w:szCs w:val="20"/>
              </w:rPr>
              <w:t xml:space="preserve">800,000</w:t>
            </w:r>
          </w:p>
        </w:tc>
        <w:tc>
          <w:tcPr>
            <w:tcW w:type="dxa" w:w="144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2D3340"/>
                <w:sz w:val="20"/>
                <w:szCs w:val="20"/>
              </w:rPr>
              <w:t xml:space="preserve">3,000,000</w:t>
            </w:r>
          </w:p>
        </w:tc>
      </w:tr>
      <w:tr>
        <w:tc>
          <w:tcPr>
            <w:tcW w:type="dxa" w:w="220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left"/>
            </w:pPr>
            <w:r>
              <w:rPr>
                <w:rFonts w:ascii="Arial" w:cs="Arial" w:eastAsia="Arial" w:hAnsi="Arial"/>
                <w:b/>
                <w:bCs/>
                <w:color w:val="2D3340"/>
                <w:sz w:val="20"/>
                <w:szCs w:val="20"/>
              </w:rPr>
              <w:t xml:space="preserve">Annual revenue</w:t>
            </w:r>
          </w:p>
        </w:tc>
        <w:tc>
          <w:tcPr>
            <w:tcW w:type="dxa" w:w="144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2D9653"/>
                <w:sz w:val="20"/>
                <w:szCs w:val="20"/>
              </w:rPr>
              <w:t xml:space="preserve">$2.1M</w:t>
            </w:r>
          </w:p>
        </w:tc>
        <w:tc>
          <w:tcPr>
            <w:tcW w:type="dxa" w:w="144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2D9653"/>
                <w:sz w:val="20"/>
                <w:szCs w:val="20"/>
              </w:rPr>
              <w:t xml:space="preserve">$20.5M</w:t>
            </w:r>
          </w:p>
        </w:tc>
        <w:tc>
          <w:tcPr>
            <w:tcW w:type="dxa" w:w="144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2D9653"/>
                <w:sz w:val="20"/>
                <w:szCs w:val="20"/>
              </w:rPr>
              <w:t xml:space="preserve">$61.6M</w:t>
            </w:r>
          </w:p>
        </w:tc>
        <w:tc>
          <w:tcPr>
            <w:tcW w:type="dxa" w:w="144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2D9653"/>
                <w:sz w:val="20"/>
                <w:szCs w:val="20"/>
              </w:rPr>
              <w:t xml:space="preserve">$205M</w:t>
            </w:r>
          </w:p>
        </w:tc>
        <w:tc>
          <w:tcPr>
            <w:tcW w:type="dxa" w:w="144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2D9653"/>
                <w:sz w:val="20"/>
                <w:szCs w:val="20"/>
              </w:rPr>
              <w:t xml:space="preserve">$615M</w:t>
            </w:r>
          </w:p>
        </w:tc>
      </w:tr>
      <w:tr>
        <w:tc>
          <w:tcPr>
            <w:tcW w:type="dxa" w:w="220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left"/>
            </w:pPr>
            <w:r>
              <w:rPr>
                <w:rFonts w:ascii="Arial" w:cs="Arial" w:eastAsia="Arial" w:hAnsi="Arial"/>
                <w:b/>
                <w:bCs/>
                <w:color w:val="2D3340"/>
                <w:sz w:val="20"/>
                <w:szCs w:val="20"/>
              </w:rPr>
              <w:t xml:space="preserve">Operating costs</w:t>
            </w:r>
          </w:p>
        </w:tc>
        <w:tc>
          <w:tcPr>
            <w:tcW w:type="dxa" w:w="144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2D9653"/>
                <w:sz w:val="20"/>
                <w:szCs w:val="20"/>
              </w:rPr>
              <w:t xml:space="preserve">$2.8M</w:t>
            </w:r>
          </w:p>
        </w:tc>
        <w:tc>
          <w:tcPr>
            <w:tcW w:type="dxa" w:w="144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2D9653"/>
                <w:sz w:val="20"/>
                <w:szCs w:val="20"/>
              </w:rPr>
              <w:t xml:space="preserve">$4.4M</w:t>
            </w:r>
          </w:p>
        </w:tc>
        <w:tc>
          <w:tcPr>
            <w:tcW w:type="dxa" w:w="144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2D9653"/>
                <w:sz w:val="20"/>
                <w:szCs w:val="20"/>
              </w:rPr>
              <w:t xml:space="preserve">$7.1M</w:t>
            </w:r>
          </w:p>
        </w:tc>
        <w:tc>
          <w:tcPr>
            <w:tcW w:type="dxa" w:w="144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2D9653"/>
                <w:sz w:val="20"/>
                <w:szCs w:val="20"/>
              </w:rPr>
              <w:t xml:space="preserve">$13.5M</w:t>
            </w:r>
          </w:p>
        </w:tc>
        <w:tc>
          <w:tcPr>
            <w:tcW w:type="dxa" w:w="144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2D9653"/>
                <w:sz w:val="20"/>
                <w:szCs w:val="20"/>
              </w:rPr>
              <w:t xml:space="preserve">$32M</w:t>
            </w:r>
          </w:p>
        </w:tc>
      </w:tr>
      <w:tr>
        <w:tc>
          <w:tcPr>
            <w:tcW w:type="dxa" w:w="220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left"/>
            </w:pPr>
            <w:r>
              <w:rPr>
                <w:rFonts w:ascii="Arial" w:cs="Arial" w:eastAsia="Arial" w:hAnsi="Arial"/>
                <w:b/>
                <w:bCs/>
                <w:color w:val="2D3340"/>
                <w:sz w:val="20"/>
                <w:szCs w:val="20"/>
              </w:rPr>
              <w:t xml:space="preserve">EBITDA</w:t>
            </w:r>
          </w:p>
        </w:tc>
        <w:tc>
          <w:tcPr>
            <w:tcW w:type="dxa" w:w="144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8B1A1A"/>
                <w:sz w:val="20"/>
                <w:szCs w:val="20"/>
              </w:rPr>
              <w:t xml:space="preserve">($700K)</w:t>
            </w:r>
          </w:p>
        </w:tc>
        <w:tc>
          <w:tcPr>
            <w:tcW w:type="dxa" w:w="144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2D9653"/>
                <w:sz w:val="20"/>
                <w:szCs w:val="20"/>
              </w:rPr>
              <w:t xml:space="preserve">$16.1M</w:t>
            </w:r>
          </w:p>
        </w:tc>
        <w:tc>
          <w:tcPr>
            <w:tcW w:type="dxa" w:w="144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2D9653"/>
                <w:sz w:val="20"/>
                <w:szCs w:val="20"/>
              </w:rPr>
              <w:t xml:space="preserve">$54.5M</w:t>
            </w:r>
          </w:p>
        </w:tc>
        <w:tc>
          <w:tcPr>
            <w:tcW w:type="dxa" w:w="144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2D9653"/>
                <w:sz w:val="20"/>
                <w:szCs w:val="20"/>
              </w:rPr>
              <w:t xml:space="preserve">$191.5M</w:t>
            </w:r>
          </w:p>
        </w:tc>
        <w:tc>
          <w:tcPr>
            <w:tcW w:type="dxa" w:w="144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2D9653"/>
                <w:sz w:val="20"/>
                <w:szCs w:val="20"/>
              </w:rPr>
              <w:t xml:space="preserve">$583M</w:t>
            </w:r>
          </w:p>
        </w:tc>
      </w:tr>
      <w:tr>
        <w:tc>
          <w:tcPr>
            <w:tcW w:type="dxa" w:w="220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left"/>
            </w:pPr>
            <w:r>
              <w:rPr>
                <w:rFonts w:ascii="Arial" w:cs="Arial" w:eastAsia="Arial" w:hAnsi="Arial"/>
                <w:b/>
                <w:bCs/>
                <w:color w:val="2D3340"/>
                <w:sz w:val="20"/>
                <w:szCs w:val="20"/>
              </w:rPr>
              <w:t xml:space="preserve">EBITDA margin</w:t>
            </w:r>
          </w:p>
        </w:tc>
        <w:tc>
          <w:tcPr>
            <w:tcW w:type="dxa" w:w="144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8B1A1A"/>
                <w:sz w:val="20"/>
                <w:szCs w:val="20"/>
              </w:rPr>
              <w:t xml:space="preserve">(33%)</w:t>
            </w:r>
          </w:p>
        </w:tc>
        <w:tc>
          <w:tcPr>
            <w:tcW w:type="dxa" w:w="144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2D9653"/>
                <w:sz w:val="20"/>
                <w:szCs w:val="20"/>
              </w:rPr>
              <w:t xml:space="preserve">78.6%</w:t>
            </w:r>
          </w:p>
        </w:tc>
        <w:tc>
          <w:tcPr>
            <w:tcW w:type="dxa" w:w="144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2D9653"/>
                <w:sz w:val="20"/>
                <w:szCs w:val="20"/>
              </w:rPr>
              <w:t xml:space="preserve">88.4%</w:t>
            </w:r>
          </w:p>
        </w:tc>
        <w:tc>
          <w:tcPr>
            <w:tcW w:type="dxa" w:w="144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2D9653"/>
                <w:sz w:val="20"/>
                <w:szCs w:val="20"/>
              </w:rPr>
              <w:t xml:space="preserve">93.4%</w:t>
            </w:r>
          </w:p>
        </w:tc>
        <w:tc>
          <w:tcPr>
            <w:tcW w:type="dxa" w:w="144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2D9653"/>
                <w:sz w:val="20"/>
                <w:szCs w:val="20"/>
              </w:rPr>
              <w:t xml:space="preserve">94.8%</w:t>
            </w:r>
          </w:p>
        </w:tc>
      </w:tr>
      <w:tr>
        <w:tc>
          <w:tcPr>
            <w:tcW w:type="dxa" w:w="220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left"/>
            </w:pPr>
            <w:r>
              <w:rPr>
                <w:rFonts w:ascii="Arial" w:cs="Arial" w:eastAsia="Arial" w:hAnsi="Arial"/>
                <w:b/>
                <w:bCs/>
                <w:color w:val="2D3340"/>
                <w:sz w:val="20"/>
                <w:szCs w:val="20"/>
              </w:rPr>
              <w:t xml:space="preserve">Base L2 gas cost</w:t>
            </w:r>
          </w:p>
        </w:tc>
        <w:tc>
          <w:tcPr>
            <w:tcW w:type="dxa" w:w="144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2D3340"/>
                <w:sz w:val="20"/>
                <w:szCs w:val="20"/>
              </w:rPr>
              <w:t xml:space="preserve">$4,600</w:t>
            </w:r>
          </w:p>
        </w:tc>
        <w:tc>
          <w:tcPr>
            <w:tcW w:type="dxa" w:w="144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2D3340"/>
                <w:sz w:val="20"/>
                <w:szCs w:val="20"/>
              </w:rPr>
              <w:t xml:space="preserve">$46,600</w:t>
            </w:r>
          </w:p>
        </w:tc>
        <w:tc>
          <w:tcPr>
            <w:tcW w:type="dxa" w:w="144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2D3340"/>
                <w:sz w:val="20"/>
                <w:szCs w:val="20"/>
              </w:rPr>
              <w:t xml:space="preserve">$139,800</w:t>
            </w:r>
          </w:p>
        </w:tc>
        <w:tc>
          <w:tcPr>
            <w:tcW w:type="dxa" w:w="144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2D3340"/>
                <w:sz w:val="20"/>
                <w:szCs w:val="20"/>
              </w:rPr>
              <w:t xml:space="preserve">$466,000</w:t>
            </w:r>
          </w:p>
        </w:tc>
        <w:tc>
          <w:tcPr>
            <w:tcW w:type="dxa" w:w="144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2D9653"/>
                <w:sz w:val="20"/>
                <w:szCs w:val="20"/>
              </w:rPr>
              <w:t xml:space="preserve">$1.4M</w:t>
            </w:r>
          </w:p>
        </w:tc>
      </w:tr>
      <w:tr>
        <w:tc>
          <w:tcPr>
            <w:tcW w:type="dxa" w:w="220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left"/>
            </w:pPr>
            <w:r>
              <w:rPr>
                <w:rFonts w:ascii="Arial" w:cs="Arial" w:eastAsia="Arial" w:hAnsi="Arial"/>
                <w:b/>
                <w:bCs/>
                <w:color w:val="2D3340"/>
                <w:sz w:val="20"/>
                <w:szCs w:val="20"/>
              </w:rPr>
              <w:t xml:space="preserve">LTN in circulation</w:t>
            </w:r>
          </w:p>
        </w:tc>
        <w:tc>
          <w:tcPr>
            <w:tcW w:type="dxa" w:w="144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2D9653"/>
                <w:sz w:val="20"/>
                <w:szCs w:val="20"/>
              </w:rPr>
              <w:t xml:space="preserve">50M</w:t>
            </w:r>
          </w:p>
        </w:tc>
        <w:tc>
          <w:tcPr>
            <w:tcW w:type="dxa" w:w="144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2D9653"/>
                <w:sz w:val="20"/>
                <w:szCs w:val="20"/>
              </w:rPr>
              <w:t xml:space="preserve">120M</w:t>
            </w:r>
          </w:p>
        </w:tc>
        <w:tc>
          <w:tcPr>
            <w:tcW w:type="dxa" w:w="144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2D9653"/>
                <w:sz w:val="20"/>
                <w:szCs w:val="20"/>
              </w:rPr>
              <w:t xml:space="preserve">280M</w:t>
            </w:r>
          </w:p>
        </w:tc>
        <w:tc>
          <w:tcPr>
            <w:tcW w:type="dxa" w:w="144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2D9653"/>
                <w:sz w:val="20"/>
                <w:szCs w:val="20"/>
              </w:rPr>
              <w:t xml:space="preserve">600M</w:t>
            </w:r>
          </w:p>
        </w:tc>
        <w:tc>
          <w:tcPr>
            <w:tcW w:type="dxa" w:w="144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2D3340"/>
                <w:sz w:val="20"/>
                <w:szCs w:val="20"/>
              </w:rPr>
              <w:t xml:space="preserve">1.2B</w:t>
            </w:r>
          </w:p>
        </w:tc>
      </w:tr>
      <w:tr>
        <w:tc>
          <w:tcPr>
            <w:tcW w:type="dxa" w:w="220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left"/>
            </w:pPr>
            <w:r>
              <w:rPr>
                <w:rFonts w:ascii="Arial" w:cs="Arial" w:eastAsia="Arial" w:hAnsi="Arial"/>
                <w:b/>
                <w:bCs/>
                <w:color w:val="2D3340"/>
                <w:sz w:val="20"/>
                <w:szCs w:val="20"/>
              </w:rPr>
              <w:t xml:space="preserve">Customer CAC (blended)</w:t>
            </w:r>
          </w:p>
        </w:tc>
        <w:tc>
          <w:tcPr>
            <w:tcW w:type="dxa" w:w="144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2D3340"/>
                <w:sz w:val="20"/>
                <w:szCs w:val="20"/>
              </w:rPr>
              <w:t xml:space="preserve">$320</w:t>
            </w:r>
          </w:p>
        </w:tc>
        <w:tc>
          <w:tcPr>
            <w:tcW w:type="dxa" w:w="144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2D3340"/>
                <w:sz w:val="20"/>
                <w:szCs w:val="20"/>
              </w:rPr>
              <w:t xml:space="preserve">$210</w:t>
            </w:r>
          </w:p>
        </w:tc>
        <w:tc>
          <w:tcPr>
            <w:tcW w:type="dxa" w:w="144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2D3340"/>
                <w:sz w:val="20"/>
                <w:szCs w:val="20"/>
              </w:rPr>
              <w:t xml:space="preserve">$145</w:t>
            </w:r>
          </w:p>
        </w:tc>
        <w:tc>
          <w:tcPr>
            <w:tcW w:type="dxa" w:w="144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2D3340"/>
                <w:sz w:val="20"/>
                <w:szCs w:val="20"/>
              </w:rPr>
              <w:t xml:space="preserve">$95</w:t>
            </w:r>
          </w:p>
        </w:tc>
        <w:tc>
          <w:tcPr>
            <w:tcW w:type="dxa" w:w="144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2D3340"/>
                <w:sz w:val="20"/>
                <w:szCs w:val="20"/>
              </w:rPr>
              <w:t xml:space="preserve">$60</w:t>
            </w:r>
          </w:p>
        </w:tc>
      </w:tr>
      <w:tr>
        <w:tc>
          <w:tcPr>
            <w:tcW w:type="dxa" w:w="220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left"/>
            </w:pPr>
            <w:r>
              <w:rPr>
                <w:rFonts w:ascii="Arial" w:cs="Arial" w:eastAsia="Arial" w:hAnsi="Arial"/>
                <w:b/>
                <w:bCs/>
                <w:color w:val="2D3340"/>
                <w:sz w:val="20"/>
                <w:szCs w:val="20"/>
              </w:rPr>
              <w:t xml:space="preserve">LTV:CAC ratio</w:t>
            </w:r>
          </w:p>
        </w:tc>
        <w:tc>
          <w:tcPr>
            <w:tcW w:type="dxa" w:w="144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2D3340"/>
                <w:sz w:val="20"/>
                <w:szCs w:val="20"/>
              </w:rPr>
              <w:t xml:space="preserve">2.3x</w:t>
            </w:r>
          </w:p>
        </w:tc>
        <w:tc>
          <w:tcPr>
            <w:tcW w:type="dxa" w:w="144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2D3340"/>
                <w:sz w:val="20"/>
                <w:szCs w:val="20"/>
              </w:rPr>
              <w:t xml:space="preserve">17.8x</w:t>
            </w:r>
          </w:p>
        </w:tc>
        <w:tc>
          <w:tcPr>
            <w:tcW w:type="dxa" w:w="144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2D3340"/>
                <w:sz w:val="20"/>
                <w:szCs w:val="20"/>
              </w:rPr>
              <w:t xml:space="preserve">51.5x</w:t>
            </w:r>
          </w:p>
        </w:tc>
        <w:tc>
          <w:tcPr>
            <w:tcW w:type="dxa" w:w="144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2D3340"/>
                <w:sz w:val="20"/>
                <w:szCs w:val="20"/>
              </w:rPr>
              <w:t xml:space="preserve">157x</w:t>
            </w:r>
          </w:p>
        </w:tc>
        <w:tc>
          <w:tcPr>
            <w:tcW w:type="dxa" w:w="144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2D3340"/>
                <w:sz w:val="20"/>
                <w:szCs w:val="20"/>
              </w:rPr>
              <w:t xml:space="preserve">312x</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9653" w:sz="24"/>
              <w:left w:val="single" w:color="2D9653" w:sz="48"/>
              <w:bottom w:val="single" w:color="2D9653" w:sz="6"/>
              <w:right w:val="single" w:color="2D9653" w:sz="6"/>
            </w:tcBorders>
            <w:shd w:fill="E8F5EE" w:val="clear"/>
            <w:tcMar>
              <w:top w:type="dxa" w:w="110"/>
              <w:left w:type="dxa" w:w="220"/>
              <w:bottom w:type="dxa" w:w="110"/>
              <w:right w:type="dxa" w:w="180"/>
            </w:tcMar>
          </w:tcPr>
          <w:p>
            <w:pPr>
              <w:spacing w:before="0" w:after="50" w:line="280"/>
              <w:jc w:val="left"/>
            </w:pPr>
            <w:r>
              <w:rPr>
                <w:rFonts w:ascii="Arial" w:cs="Arial" w:eastAsia="Arial" w:hAnsi="Arial"/>
                <w:b/>
                <w:bCs/>
                <w:color w:val="0D1B2A"/>
                <w:sz w:val="21"/>
                <w:szCs w:val="21"/>
              </w:rPr>
              <w:t xml:space="preserve">Capital efficiency note</w:t>
            </w:r>
          </w:p>
          <w:p>
            <w:pPr>
              <w:spacing w:before="0" w:after="80" w:line="280"/>
              <w:jc w:val="left"/>
            </w:pPr>
            <w:r>
              <w:rPr>
                <w:rFonts w:ascii="Arial" w:cs="Arial" w:eastAsia="Arial" w:hAnsi="Arial"/>
                <w:color w:val="2D3340"/>
                <w:sz w:val="20"/>
                <w:szCs w:val="20"/>
              </w:rPr>
              <w:t xml:space="preserve">The $3.5M raise funds operations through EBITDA-positive at ~Month 14 (Year 2, Q2). After breakeven, the model is self-funding. The primary use of the seed round is engineering headcount (to finish product integrations) and business development (QWKS sales team). Infrastructure cost is negligible — $46,600/year in gas at 56M transactions is rounding error on any income statement.</w:t>
            </w:r>
          </w:p>
        </w:tc>
      </w:tr>
    </w:tbl>
    <w:p>
      <w:pPr>
        <w:pageBreakBefore/>
        <w:spacing w:before="0" w:after="0"/>
      </w:pPr>
      <w:fldSimple w:instr="[object Object]"/>
    </w:p>
    <w:p>
      <w:pPr>
        <w:spacing w:before="200" w:after="0"/>
      </w:pPr>
    </w:p>
    <w:p>
      <w:pPr>
        <w:spacing w:before="0" w:after="50" w:line="280"/>
        <w:jc w:val="left"/>
      </w:pPr>
      <w:r>
        <w:rPr>
          <w:rFonts w:ascii="Arial" w:cs="Arial" w:eastAsia="Arial" w:hAnsi="Arial"/>
          <w:b/>
          <w:bCs/>
          <w:color w:val="2B5CE6"/>
          <w:sz w:val="15"/>
          <w:szCs w:val="15"/>
        </w:rPr>
        <w:t xml:space="preserve">SECTION 5</w:t>
      </w:r>
    </w:p>
    <w:p>
      <w:pPr>
        <w:pStyle w:val="Heading1"/>
        <w:spacing w:before="0" w:after="80"/>
      </w:pPr>
      <w:r>
        <w:rPr>
          <w:rFonts w:ascii="Georgia" w:cs="Georgia" w:eastAsia="Georgia" w:hAnsi="Georgia"/>
          <w:b/>
          <w:bCs/>
          <w:color w:val="0D1B2A"/>
          <w:sz w:val="34"/>
          <w:szCs w:val="34"/>
        </w:rPr>
        <w:t xml:space="preserve">Lifecycle Pricing &amp; Long-Term Value Model</w:t>
      </w:r>
    </w:p>
    <w:p>
      <w:pPr>
        <w:pBdr>
          <w:bottom w:val="single" w:color="D4A853" w:sz="12" w:space="1"/>
        </w:pBdr>
        <w:spacing w:before="0" w:after="100"/>
      </w:pPr>
    </w:p>
    <w:p>
      <w:pPr>
        <w:spacing w:before="0" w:after="100" w:line="290"/>
        <w:jc w:val="left"/>
      </w:pPr>
      <w:r>
        <w:rPr>
          <w:rFonts w:ascii="Georgia" w:cs="Georgia" w:eastAsia="Georgia" w:hAnsi="Georgia"/>
          <w:color w:val="2D3340"/>
          <w:sz w:val="21"/>
          <w:szCs w:val="21"/>
        </w:rPr>
        <w:t xml:space="preserve">The most important question in evaluating a payment infrastructure business is what happens to the pricing model when the company becomes the standard. This section addresses that question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2800"/>
        <w:gridCol w:w="2960"/>
      </w:tblGrid>
      <w:tr>
        <w:tc>
          <w:tcPr>
            <w:tcW w:type="dxa" w:w="1900"/>
            <w:tcBorders>
              <w:top w:val="single" w:color="0D1B2A" w:sz="6"/>
              <w:left w:val="single" w:color="0D1B2A" w:sz="6"/>
              <w:bottom w:val="single" w:color="0D1B2A" w:sz="6"/>
              <w:right w:val="single" w:color="0D1B2A" w:sz="6"/>
            </w:tcBorders>
            <w:shd w:fill="0D1B2A" w:val="clear"/>
            <w:tcMar>
              <w:top w:type="dxa" w:w="90"/>
              <w:left w:type="dxa" w:w="110"/>
              <w:bottom w:type="dxa" w:w="90"/>
              <w:right w:type="dxa" w:w="110"/>
            </w:tcMar>
            <w:vAlign w:val="center"/>
          </w:tcPr>
          <w:p>
            <w:pPr>
              <w:spacing w:before="0" w:after="80" w:line="280"/>
              <w:jc w:val="center"/>
            </w:pPr>
            <w:r>
              <w:rPr>
                <w:rFonts w:ascii="Arial" w:cs="Arial" w:eastAsia="Arial" w:hAnsi="Arial"/>
                <w:b/>
                <w:bCs/>
                <w:color w:val="FFFFFF"/>
                <w:sz w:val="20"/>
                <w:szCs w:val="20"/>
              </w:rPr>
              <w:t xml:space="preserve">Phase</w:t>
            </w:r>
          </w:p>
        </w:tc>
        <w:tc>
          <w:tcPr>
            <w:tcW w:type="dxa" w:w="1700"/>
            <w:tcBorders>
              <w:top w:val="single" w:color="0D1B2A" w:sz="6"/>
              <w:left w:val="single" w:color="0D1B2A" w:sz="6"/>
              <w:bottom w:val="single" w:color="0D1B2A" w:sz="6"/>
              <w:right w:val="single" w:color="0D1B2A" w:sz="6"/>
            </w:tcBorders>
            <w:shd w:fill="0D1B2A" w:val="clear"/>
            <w:tcMar>
              <w:top w:type="dxa" w:w="90"/>
              <w:left w:type="dxa" w:w="110"/>
              <w:bottom w:type="dxa" w:w="90"/>
              <w:right w:type="dxa" w:w="110"/>
            </w:tcMar>
            <w:vAlign w:val="center"/>
          </w:tcPr>
          <w:p>
            <w:pPr>
              <w:spacing w:before="0" w:after="80" w:line="280"/>
              <w:jc w:val="center"/>
            </w:pPr>
            <w:r>
              <w:rPr>
                <w:rFonts w:ascii="Arial" w:cs="Arial" w:eastAsia="Arial" w:hAnsi="Arial"/>
                <w:b/>
                <w:bCs/>
                <w:color w:val="FFFFFF"/>
                <w:sz w:val="20"/>
                <w:szCs w:val="20"/>
              </w:rPr>
              <w:t xml:space="preserve">Timeline</w:t>
            </w:r>
          </w:p>
        </w:tc>
        <w:tc>
          <w:tcPr>
            <w:tcW w:type="dxa" w:w="2800"/>
            <w:tcBorders>
              <w:top w:val="single" w:color="0D1B2A" w:sz="6"/>
              <w:left w:val="single" w:color="0D1B2A" w:sz="6"/>
              <w:bottom w:val="single" w:color="0D1B2A" w:sz="6"/>
              <w:right w:val="single" w:color="0D1B2A" w:sz="6"/>
            </w:tcBorders>
            <w:shd w:fill="0D1B2A" w:val="clear"/>
            <w:tcMar>
              <w:top w:type="dxa" w:w="90"/>
              <w:left w:type="dxa" w:w="110"/>
              <w:bottom w:type="dxa" w:w="90"/>
              <w:right w:type="dxa" w:w="110"/>
            </w:tcMar>
            <w:vAlign w:val="center"/>
          </w:tcPr>
          <w:p>
            <w:pPr>
              <w:spacing w:before="0" w:after="80" w:line="280"/>
              <w:jc w:val="center"/>
            </w:pPr>
            <w:r>
              <w:rPr>
                <w:rFonts w:ascii="Arial" w:cs="Arial" w:eastAsia="Arial" w:hAnsi="Arial"/>
                <w:b/>
                <w:bCs/>
                <w:color w:val="FFFFFF"/>
                <w:sz w:val="20"/>
                <w:szCs w:val="20"/>
              </w:rPr>
              <w:t xml:space="preserve">Pricing Basis</w:t>
            </w:r>
          </w:p>
        </w:tc>
        <w:tc>
          <w:tcPr>
            <w:tcW w:type="dxa" w:w="2960"/>
            <w:tcBorders>
              <w:top w:val="single" w:color="0D1B2A" w:sz="6"/>
              <w:left w:val="single" w:color="0D1B2A" w:sz="6"/>
              <w:bottom w:val="single" w:color="0D1B2A" w:sz="6"/>
              <w:right w:val="single" w:color="0D1B2A" w:sz="6"/>
            </w:tcBorders>
            <w:shd w:fill="0D1B2A" w:val="clear"/>
            <w:tcMar>
              <w:top w:type="dxa" w:w="90"/>
              <w:left w:type="dxa" w:w="110"/>
              <w:bottom w:type="dxa" w:w="90"/>
              <w:right w:type="dxa" w:w="110"/>
            </w:tcMar>
            <w:vAlign w:val="center"/>
          </w:tcPr>
          <w:p>
            <w:pPr>
              <w:spacing w:before="0" w:after="80" w:line="280"/>
              <w:jc w:val="center"/>
            </w:pPr>
            <w:r>
              <w:rPr>
                <w:rFonts w:ascii="Arial" w:cs="Arial" w:eastAsia="Arial" w:hAnsi="Arial"/>
                <w:b/>
                <w:bCs/>
                <w:color w:val="FFFFFF"/>
                <w:sz w:val="20"/>
                <w:szCs w:val="20"/>
              </w:rPr>
              <w:t xml:space="preserve">Why It Works</w:t>
            </w:r>
          </w:p>
        </w:tc>
      </w:tr>
      <w:tr>
        <w:tc>
          <w:tcPr>
            <w:tcW w:type="dxa" w:w="1900"/>
            <w:tcBorders>
              <w:top w:val="single" w:color="EAECEF" w:sz="6"/>
              <w:left w:val="single" w:color="EAECEF" w:sz="6"/>
              <w:bottom w:val="single" w:color="EAECEF" w:sz="6"/>
              <w:right w:val="single" w:color="EAECEF" w:sz="6"/>
            </w:tcBorders>
            <w:shd w:fill="0D1B2A" w:val="clear"/>
            <w:tcMar>
              <w:top w:type="dxa" w:w="80"/>
              <w:left w:type="dxa" w:w="110"/>
              <w:bottom w:type="dxa" w:w="80"/>
              <w:right w:type="dxa" w:w="110"/>
            </w:tcMar>
            <w:vAlign w:val="center"/>
          </w:tcPr>
          <w:p>
            <w:pPr>
              <w:spacing w:before="0" w:after="80" w:line="280"/>
              <w:jc w:val="left"/>
            </w:pPr>
            <w:r>
              <w:rPr>
                <w:rFonts w:ascii="Arial" w:cs="Arial" w:eastAsia="Arial" w:hAnsi="Arial"/>
                <w:b/>
                <w:bCs/>
                <w:color w:val="D4A853"/>
                <w:sz w:val="20"/>
                <w:szCs w:val="20"/>
              </w:rPr>
              <w:t xml:space="preserve">Disruptor</w:t>
            </w:r>
          </w:p>
        </w:tc>
        <w:tc>
          <w:tcPr>
            <w:tcW w:type="dxa" w:w="170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5C6470"/>
                <w:sz w:val="20"/>
                <w:szCs w:val="20"/>
              </w:rPr>
              <w:t xml:space="preserve">Year 0-3</w:t>
            </w:r>
          </w:p>
        </w:tc>
        <w:tc>
          <w:tcPr>
            <w:tcW w:type="dxa" w:w="280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left"/>
            </w:pPr>
            <w:r>
              <w:rPr>
                <w:rFonts w:ascii="Arial" w:cs="Arial" w:eastAsia="Arial" w:hAnsi="Arial"/>
                <w:b w:val="false"/>
                <w:bCs w:val="false"/>
                <w:color w:val="2B5CE6"/>
                <w:sz w:val="20"/>
                <w:szCs w:val="20"/>
              </w:rPr>
              <w:t xml:space="preserve">10% of savings vs Visa ($2.50 baseline)</w:t>
            </w:r>
          </w:p>
        </w:tc>
        <w:tc>
          <w:tcPr>
            <w:tcW w:type="dxa" w:w="296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left"/>
            </w:pPr>
            <w:r>
              <w:rPr>
                <w:rFonts w:ascii="Arial" w:cs="Arial" w:eastAsia="Arial" w:hAnsi="Arial"/>
                <w:b w:val="false"/>
                <w:bCs w:val="false"/>
                <w:color w:val="2D3340"/>
                <w:sz w:val="20"/>
                <w:szCs w:val="20"/>
              </w:rPr>
              <w:t xml:space="preserve">Visa is universal — every business has a clear reference rate. Value is immediately calculable and verifiable.</w:t>
            </w:r>
          </w:p>
        </w:tc>
      </w:tr>
      <w:tr>
        <w:tc>
          <w:tcPr>
            <w:tcW w:type="dxa" w:w="1900"/>
            <w:tcBorders>
              <w:top w:val="single" w:color="EAECEF" w:sz="6"/>
              <w:left w:val="single" w:color="EAECEF" w:sz="6"/>
              <w:bottom w:val="single" w:color="EAECEF" w:sz="6"/>
              <w:right w:val="single" w:color="EAECEF" w:sz="6"/>
            </w:tcBorders>
            <w:shd w:fill="152238" w:val="clear"/>
            <w:tcMar>
              <w:top w:type="dxa" w:w="80"/>
              <w:left w:type="dxa" w:w="110"/>
              <w:bottom w:type="dxa" w:w="80"/>
              <w:right w:type="dxa" w:w="110"/>
            </w:tcMar>
            <w:vAlign w:val="center"/>
          </w:tcPr>
          <w:p>
            <w:pPr>
              <w:spacing w:before="0" w:after="80" w:line="280"/>
              <w:jc w:val="left"/>
            </w:pPr>
            <w:r>
              <w:rPr>
                <w:rFonts w:ascii="Arial" w:cs="Arial" w:eastAsia="Arial" w:hAnsi="Arial"/>
                <w:b/>
                <w:bCs/>
                <w:color w:val="D4A853"/>
                <w:sz w:val="20"/>
                <w:szCs w:val="20"/>
              </w:rPr>
              <w:t xml:space="preserve">Mainstream</w:t>
            </w:r>
          </w:p>
        </w:tc>
        <w:tc>
          <w:tcPr>
            <w:tcW w:type="dxa" w:w="170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5C6470"/>
                <w:sz w:val="20"/>
                <w:szCs w:val="20"/>
              </w:rPr>
              <w:t xml:space="preserve">Year 3-7</w:t>
            </w:r>
          </w:p>
        </w:tc>
        <w:tc>
          <w:tcPr>
            <w:tcW w:type="dxa" w:w="280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left"/>
            </w:pPr>
            <w:r>
              <w:rPr>
                <w:rFonts w:ascii="Arial" w:cs="Arial" w:eastAsia="Arial" w:hAnsi="Arial"/>
                <w:b w:val="false"/>
                <w:bCs w:val="false"/>
                <w:color w:val="2B5CE6"/>
                <w:sz w:val="20"/>
                <w:szCs w:val="20"/>
              </w:rPr>
              <w:t xml:space="preserve">8% of savings + ProfitPilot data subscription</w:t>
            </w:r>
          </w:p>
        </w:tc>
        <w:tc>
          <w:tcPr>
            <w:tcW w:type="dxa" w:w="296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left"/>
            </w:pPr>
            <w:r>
              <w:rPr>
                <w:rFonts w:ascii="Arial" w:cs="Arial" w:eastAsia="Arial" w:hAnsi="Arial"/>
                <w:b w:val="false"/>
                <w:bCs w:val="false"/>
                <w:color w:val="2D3340"/>
                <w:sz w:val="20"/>
                <w:szCs w:val="20"/>
              </w:rPr>
              <w:t xml:space="preserve">Savings shrink as Visa discounts to compete. Data layer (analytics, compliance, AI) fills the value gap.</w:t>
            </w:r>
          </w:p>
        </w:tc>
      </w:tr>
      <w:tr>
        <w:tc>
          <w:tcPr>
            <w:tcW w:type="dxa" w:w="1900"/>
            <w:tcBorders>
              <w:top w:val="single" w:color="EAECEF" w:sz="6"/>
              <w:left w:val="single" w:color="EAECEF" w:sz="6"/>
              <w:bottom w:val="single" w:color="EAECEF" w:sz="6"/>
              <w:right w:val="single" w:color="EAECEF" w:sz="6"/>
            </w:tcBorders>
            <w:shd w:fill="0D1B2A" w:val="clear"/>
            <w:tcMar>
              <w:top w:type="dxa" w:w="80"/>
              <w:left w:type="dxa" w:w="110"/>
              <w:bottom w:type="dxa" w:w="80"/>
              <w:right w:type="dxa" w:w="110"/>
            </w:tcMar>
            <w:vAlign w:val="center"/>
          </w:tcPr>
          <w:p>
            <w:pPr>
              <w:spacing w:before="0" w:after="80" w:line="280"/>
              <w:jc w:val="left"/>
            </w:pPr>
            <w:r>
              <w:rPr>
                <w:rFonts w:ascii="Arial" w:cs="Arial" w:eastAsia="Arial" w:hAnsi="Arial"/>
                <w:b/>
                <w:bCs/>
                <w:color w:val="D4A853"/>
                <w:sz w:val="20"/>
                <w:szCs w:val="20"/>
              </w:rPr>
              <w:t xml:space="preserve">Platform</w:t>
            </w:r>
          </w:p>
        </w:tc>
        <w:tc>
          <w:tcPr>
            <w:tcW w:type="dxa" w:w="170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5C6470"/>
                <w:sz w:val="20"/>
                <w:szCs w:val="20"/>
              </w:rPr>
              <w:t xml:space="preserve">Year 5-10</w:t>
            </w:r>
          </w:p>
        </w:tc>
        <w:tc>
          <w:tcPr>
            <w:tcW w:type="dxa" w:w="280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left"/>
            </w:pPr>
            <w:r>
              <w:rPr>
                <w:rFonts w:ascii="Arial" w:cs="Arial" w:eastAsia="Arial" w:hAnsi="Arial"/>
                <w:b w:val="false"/>
                <w:bCs w:val="false"/>
                <w:color w:val="2B5CE6"/>
                <w:sz w:val="20"/>
                <w:szCs w:val="20"/>
              </w:rPr>
              <w:t xml:space="preserve">Flat platform fee + LTN staking yield offsets</w:t>
            </w:r>
          </w:p>
        </w:tc>
        <w:tc>
          <w:tcPr>
            <w:tcW w:type="dxa" w:w="296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left"/>
            </w:pPr>
            <w:r>
              <w:rPr>
                <w:rFonts w:ascii="Arial" w:cs="Arial" w:eastAsia="Arial" w:hAnsi="Arial"/>
                <w:b w:val="false"/>
                <w:bCs w:val="false"/>
                <w:color w:val="2D3340"/>
                <w:sz w:val="20"/>
                <w:szCs w:val="20"/>
              </w:rPr>
              <w:t xml:space="preserve">Businesses have accumulated significant LTN. Staking yield at 12% APY partially or fully covers subscription.</w:t>
            </w:r>
          </w:p>
        </w:tc>
      </w:tr>
      <w:tr>
        <w:tc>
          <w:tcPr>
            <w:tcW w:type="dxa" w:w="1900"/>
            <w:tcBorders>
              <w:top w:val="single" w:color="EAECEF" w:sz="6"/>
              <w:left w:val="single" w:color="EAECEF" w:sz="6"/>
              <w:bottom w:val="single" w:color="EAECEF" w:sz="6"/>
              <w:right w:val="single" w:color="EAECEF" w:sz="6"/>
            </w:tcBorders>
            <w:shd w:fill="152238" w:val="clear"/>
            <w:tcMar>
              <w:top w:type="dxa" w:w="80"/>
              <w:left w:type="dxa" w:w="110"/>
              <w:bottom w:type="dxa" w:w="80"/>
              <w:right w:type="dxa" w:w="110"/>
            </w:tcMar>
            <w:vAlign w:val="center"/>
          </w:tcPr>
          <w:p>
            <w:pPr>
              <w:spacing w:before="0" w:after="80" w:line="280"/>
              <w:jc w:val="left"/>
            </w:pPr>
            <w:r>
              <w:rPr>
                <w:rFonts w:ascii="Arial" w:cs="Arial" w:eastAsia="Arial" w:hAnsi="Arial"/>
                <w:b/>
                <w:bCs/>
                <w:color w:val="D4A853"/>
                <w:sz w:val="20"/>
                <w:szCs w:val="20"/>
              </w:rPr>
              <w:t xml:space="preserve">Stakeholder</w:t>
            </w:r>
          </w:p>
        </w:tc>
        <w:tc>
          <w:tcPr>
            <w:tcW w:type="dxa" w:w="170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5C6470"/>
                <w:sz w:val="20"/>
                <w:szCs w:val="20"/>
              </w:rPr>
              <w:t xml:space="preserve">Year 7+</w:t>
            </w:r>
          </w:p>
        </w:tc>
        <w:tc>
          <w:tcPr>
            <w:tcW w:type="dxa" w:w="280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left"/>
            </w:pPr>
            <w:r>
              <w:rPr>
                <w:rFonts w:ascii="Arial" w:cs="Arial" w:eastAsia="Arial" w:hAnsi="Arial"/>
                <w:b w:val="false"/>
                <w:bCs w:val="false"/>
                <w:color w:val="2B5CE6"/>
                <w:sz w:val="20"/>
                <w:szCs w:val="20"/>
              </w:rPr>
              <w:t xml:space="preserve">LTN yield exceeds fee — network pays the business</w:t>
            </w:r>
          </w:p>
        </w:tc>
        <w:tc>
          <w:tcPr>
            <w:tcW w:type="dxa" w:w="296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left"/>
            </w:pPr>
            <w:r>
              <w:rPr>
                <w:rFonts w:ascii="Arial" w:cs="Arial" w:eastAsia="Arial" w:hAnsi="Arial"/>
                <w:b w:val="false"/>
                <w:bCs w:val="false"/>
                <w:color w:val="2D3340"/>
                <w:sz w:val="20"/>
                <w:szCs w:val="20"/>
              </w:rPr>
              <w:t xml:space="preserve">Long-tenure customers are net earners from the network. Churn is irrational — they'd be giving up income.</w:t>
            </w:r>
          </w:p>
        </w:tc>
      </w:tr>
      <w:tr>
        <w:tc>
          <w:tcPr>
            <w:tcW w:type="dxa" w:w="1900"/>
            <w:tcBorders>
              <w:top w:val="single" w:color="EAECEF" w:sz="6"/>
              <w:left w:val="single" w:color="EAECEF" w:sz="6"/>
              <w:bottom w:val="single" w:color="EAECEF" w:sz="6"/>
              <w:right w:val="single" w:color="EAECEF" w:sz="6"/>
            </w:tcBorders>
            <w:shd w:fill="0D1B2A" w:val="clear"/>
            <w:tcMar>
              <w:top w:type="dxa" w:w="80"/>
              <w:left w:type="dxa" w:w="110"/>
              <w:bottom w:type="dxa" w:w="80"/>
              <w:right w:type="dxa" w:w="110"/>
            </w:tcMar>
            <w:vAlign w:val="center"/>
          </w:tcPr>
          <w:p>
            <w:pPr>
              <w:spacing w:before="0" w:after="80" w:line="280"/>
              <w:jc w:val="left"/>
            </w:pPr>
            <w:r>
              <w:rPr>
                <w:rFonts w:ascii="Arial" w:cs="Arial" w:eastAsia="Arial" w:hAnsi="Arial"/>
                <w:b/>
                <w:bCs/>
                <w:color w:val="D4A853"/>
                <w:sz w:val="20"/>
                <w:szCs w:val="20"/>
              </w:rPr>
              <w:t xml:space="preserve">Partner</w:t>
            </w:r>
          </w:p>
        </w:tc>
        <w:tc>
          <w:tcPr>
            <w:tcW w:type="dxa" w:w="170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5C6470"/>
                <w:sz w:val="20"/>
                <w:szCs w:val="20"/>
              </w:rPr>
              <w:t xml:space="preserve">Year 10+</w:t>
            </w:r>
          </w:p>
        </w:tc>
        <w:tc>
          <w:tcPr>
            <w:tcW w:type="dxa" w:w="280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left"/>
            </w:pPr>
            <w:r>
              <w:rPr>
                <w:rFonts w:ascii="Arial" w:cs="Arial" w:eastAsia="Arial" w:hAnsi="Arial"/>
                <w:b w:val="false"/>
                <w:bCs w:val="false"/>
                <w:color w:val="2B5CE6"/>
                <w:sz w:val="20"/>
                <w:szCs w:val="20"/>
              </w:rPr>
              <w:t xml:space="preserve">Revenue share on referrals + white-label licensing</w:t>
            </w:r>
          </w:p>
        </w:tc>
        <w:tc>
          <w:tcPr>
            <w:tcW w:type="dxa" w:w="296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left"/>
            </w:pPr>
            <w:r>
              <w:rPr>
                <w:rFonts w:ascii="Arial" w:cs="Arial" w:eastAsia="Arial" w:hAnsi="Arial"/>
                <w:b w:val="false"/>
                <w:bCs w:val="false"/>
                <w:color w:val="2D3340"/>
                <w:sz w:val="20"/>
                <w:szCs w:val="20"/>
              </w:rPr>
              <w:t xml:space="preserve">Most valuable customers become distributed sales force. Network growth compounds their own staking yield.</w:t>
            </w:r>
          </w:p>
        </w:tc>
      </w:tr>
    </w:tbl>
    <w:p>
      <w:pPr>
        <w:spacing w:before="100" w:after="0"/>
      </w:pPr>
    </w:p>
    <w:p>
      <w:pPr>
        <w:pStyle w:val="Heading2"/>
        <w:spacing w:before="200" w:after="70"/>
      </w:pPr>
      <w:r>
        <w:rPr>
          <w:rFonts w:ascii="Georgia" w:cs="Georgia" w:eastAsia="Georgia" w:hAnsi="Georgia"/>
          <w:b/>
          <w:bCs/>
          <w:color w:val="0D1B2A"/>
          <w:sz w:val="26"/>
          <w:szCs w:val="26"/>
        </w:rPr>
        <w:t xml:space="preserve">The LTN Staking Flywheel — Retention Mechanics</w:t>
      </w:r>
    </w:p>
    <w:p>
      <w:pPr>
        <w:spacing w:before="0" w:after="80" w:line="290"/>
        <w:jc w:val="left"/>
      </w:pPr>
      <w:r>
        <w:rPr>
          <w:rFonts w:ascii="Georgia" w:cs="Georgia" w:eastAsia="Georgia" w:hAnsi="Georgia"/>
          <w:color w:val="2D3340"/>
          <w:sz w:val="21"/>
          <w:szCs w:val="21"/>
        </w:rPr>
        <w:t xml:space="preserve">Every transaction on the QWKS network generates a micro-LTN reward distributed to the transacting business. The FeeDistributor smart contract routes 0.1% of all network transaction volume into staking rewards. As network volume grows, rewards grow. As LTN burns from transaction activity, supply contracts. Growing demand meets contracting supply — price appreciation is the mathematical result.</w:t>
      </w:r>
    </w:p>
    <w:p>
      <w:pPr>
        <w:spacing w:before="0" w:after="80" w:line="290"/>
        <w:jc w:val="left"/>
      </w:pPr>
      <w:r>
        <w:rPr>
          <w:rFonts w:ascii="Georgia" w:cs="Georgia" w:eastAsia="Georgia" w:hAnsi="Georgia"/>
          <w:color w:val="2D3340"/>
          <w:sz w:val="21"/>
          <w:szCs w:val="21"/>
        </w:rPr>
        <w:t xml:space="preserve">A mid-retail business (50,000 LTN accumulated after 5 years) at 12% APY staking yield earns 6,000 LTN/year. At $0.084 today that is $504/year — barely meaningful. At $1.00 (a 12x from current, consistent with network growth to 1M+ businesses), that is $6,000/year. Their QWKS fee is $1,499/year. The network is paying them $4,501/year net. This is the mechanism that makes the "becoming standard" problem irrelevant — the longer you stay, the more you earn.</w:t>
      </w:r>
    </w:p>
    <w:p>
      <w:pPr>
        <w:pageBreakBefore/>
        <w:spacing w:before="0" w:after="0"/>
      </w:pPr>
      <w:fldSimple w:instr="[object Object]"/>
    </w:p>
    <w:p>
      <w:pPr>
        <w:spacing w:before="200" w:after="0"/>
      </w:pPr>
    </w:p>
    <w:p>
      <w:pPr>
        <w:spacing w:before="0" w:after="50" w:line="280"/>
        <w:jc w:val="left"/>
      </w:pPr>
      <w:r>
        <w:rPr>
          <w:rFonts w:ascii="Arial" w:cs="Arial" w:eastAsia="Arial" w:hAnsi="Arial"/>
          <w:b/>
          <w:bCs/>
          <w:color w:val="2B5CE6"/>
          <w:sz w:val="15"/>
          <w:szCs w:val="15"/>
        </w:rPr>
        <w:t xml:space="preserve">SECTION 6</w:t>
      </w:r>
    </w:p>
    <w:p>
      <w:pPr>
        <w:pStyle w:val="Heading1"/>
        <w:spacing w:before="0" w:after="80"/>
      </w:pPr>
      <w:r>
        <w:rPr>
          <w:rFonts w:ascii="Georgia" w:cs="Georgia" w:eastAsia="Georgia" w:hAnsi="Georgia"/>
          <w:b/>
          <w:bCs/>
          <w:color w:val="0D1B2A"/>
          <w:sz w:val="34"/>
          <w:szCs w:val="34"/>
        </w:rPr>
        <w:t xml:space="preserve">Secondary Revenue Streams</w:t>
      </w:r>
    </w:p>
    <w:p>
      <w:pPr>
        <w:pBdr>
          <w:bottom w:val="single" w:color="D4A853" w:sz="12" w:space="1"/>
        </w:pBd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500"/>
        <w:gridCol w:w="4760"/>
      </w:tblGrid>
      <w:tr>
        <w:tc>
          <w:tcPr>
            <w:tcW w:type="dxa" w:w="2000"/>
            <w:tcBorders>
              <w:top w:val="single" w:color="0D1B2A" w:sz="6"/>
              <w:left w:val="single" w:color="0D1B2A" w:sz="6"/>
              <w:bottom w:val="single" w:color="0D1B2A" w:sz="6"/>
              <w:right w:val="single" w:color="0D1B2A" w:sz="6"/>
            </w:tcBorders>
            <w:shd w:fill="0D1B2A" w:val="clear"/>
            <w:tcMar>
              <w:top w:type="dxa" w:w="90"/>
              <w:left w:type="dxa" w:w="110"/>
              <w:bottom w:type="dxa" w:w="90"/>
              <w:right w:type="dxa" w:w="110"/>
            </w:tcMar>
            <w:vAlign w:val="center"/>
          </w:tcPr>
          <w:p>
            <w:pPr>
              <w:spacing w:before="0" w:after="80" w:line="280"/>
              <w:jc w:val="center"/>
            </w:pPr>
            <w:r>
              <w:rPr>
                <w:rFonts w:ascii="Arial" w:cs="Arial" w:eastAsia="Arial" w:hAnsi="Arial"/>
                <w:b/>
                <w:bCs/>
                <w:color w:val="FFFFFF"/>
                <w:sz w:val="20"/>
                <w:szCs w:val="20"/>
              </w:rPr>
              <w:t xml:space="preserve">Stream</w:t>
            </w:r>
          </w:p>
        </w:tc>
        <w:tc>
          <w:tcPr>
            <w:tcW w:type="dxa" w:w="1100"/>
            <w:tcBorders>
              <w:top w:val="single" w:color="0D1B2A" w:sz="6"/>
              <w:left w:val="single" w:color="0D1B2A" w:sz="6"/>
              <w:bottom w:val="single" w:color="0D1B2A" w:sz="6"/>
              <w:right w:val="single" w:color="0D1B2A" w:sz="6"/>
            </w:tcBorders>
            <w:shd w:fill="0D1B2A" w:val="clear"/>
            <w:tcMar>
              <w:top w:type="dxa" w:w="90"/>
              <w:left w:type="dxa" w:w="110"/>
              <w:bottom w:type="dxa" w:w="90"/>
              <w:right w:type="dxa" w:w="110"/>
            </w:tcMar>
            <w:vAlign w:val="center"/>
          </w:tcPr>
          <w:p>
            <w:pPr>
              <w:spacing w:before="0" w:after="80" w:line="280"/>
              <w:jc w:val="center"/>
            </w:pPr>
            <w:r>
              <w:rPr>
                <w:rFonts w:ascii="Arial" w:cs="Arial" w:eastAsia="Arial" w:hAnsi="Arial"/>
                <w:b/>
                <w:bCs/>
                <w:color w:val="FFFFFF"/>
                <w:sz w:val="20"/>
                <w:szCs w:val="20"/>
              </w:rPr>
              <w:t xml:space="preserve">Timeline</w:t>
            </w:r>
          </w:p>
        </w:tc>
        <w:tc>
          <w:tcPr>
            <w:tcW w:type="dxa" w:w="1500"/>
            <w:tcBorders>
              <w:top w:val="single" w:color="0D1B2A" w:sz="6"/>
              <w:left w:val="single" w:color="0D1B2A" w:sz="6"/>
              <w:bottom w:val="single" w:color="0D1B2A" w:sz="6"/>
              <w:right w:val="single" w:color="0D1B2A" w:sz="6"/>
            </w:tcBorders>
            <w:shd w:fill="0D1B2A" w:val="clear"/>
            <w:tcMar>
              <w:top w:type="dxa" w:w="90"/>
              <w:left w:type="dxa" w:w="110"/>
              <w:bottom w:type="dxa" w:w="90"/>
              <w:right w:type="dxa" w:w="110"/>
            </w:tcMar>
            <w:vAlign w:val="center"/>
          </w:tcPr>
          <w:p>
            <w:pPr>
              <w:spacing w:before="0" w:after="80" w:line="280"/>
              <w:jc w:val="center"/>
            </w:pPr>
            <w:r>
              <w:rPr>
                <w:rFonts w:ascii="Arial" w:cs="Arial" w:eastAsia="Arial" w:hAnsi="Arial"/>
                <w:b/>
                <w:bCs/>
                <w:color w:val="FFFFFF"/>
                <w:sz w:val="20"/>
                <w:szCs w:val="20"/>
              </w:rPr>
              <w:t xml:space="preserve">Revenue Potential</w:t>
            </w:r>
          </w:p>
        </w:tc>
        <w:tc>
          <w:tcPr>
            <w:tcW w:type="dxa" w:w="4760"/>
            <w:tcBorders>
              <w:top w:val="single" w:color="0D1B2A" w:sz="6"/>
              <w:left w:val="single" w:color="0D1B2A" w:sz="6"/>
              <w:bottom w:val="single" w:color="0D1B2A" w:sz="6"/>
              <w:right w:val="single" w:color="0D1B2A" w:sz="6"/>
            </w:tcBorders>
            <w:shd w:fill="0D1B2A" w:val="clear"/>
            <w:tcMar>
              <w:top w:type="dxa" w:w="90"/>
              <w:left w:type="dxa" w:w="110"/>
              <w:bottom w:type="dxa" w:w="90"/>
              <w:right w:type="dxa" w:w="110"/>
            </w:tcMar>
            <w:vAlign w:val="center"/>
          </w:tcPr>
          <w:p>
            <w:pPr>
              <w:spacing w:before="0" w:after="80" w:line="280"/>
              <w:jc w:val="center"/>
            </w:pPr>
            <w:r>
              <w:rPr>
                <w:rFonts w:ascii="Arial" w:cs="Arial" w:eastAsia="Arial" w:hAnsi="Arial"/>
                <w:b/>
                <w:bCs/>
                <w:color w:val="FFFFFF"/>
                <w:sz w:val="20"/>
                <w:szCs w:val="20"/>
              </w:rPr>
              <w:t xml:space="preserve">Mechanism</w:t>
            </w:r>
          </w:p>
        </w:tc>
      </w:tr>
      <w:tr>
        <w:tc>
          <w:tcPr>
            <w:tcW w:type="dxa" w:w="200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left"/>
            </w:pPr>
            <w:r>
              <w:rPr>
                <w:rFonts w:ascii="Arial" w:cs="Arial" w:eastAsia="Arial" w:hAnsi="Arial"/>
                <w:b/>
                <w:bCs/>
                <w:color w:val="0D1B2A"/>
                <w:sz w:val="20"/>
                <w:szCs w:val="20"/>
              </w:rPr>
              <w:t xml:space="preserve">QWKS Capital (Lending)</w:t>
            </w:r>
          </w:p>
        </w:tc>
        <w:tc>
          <w:tcPr>
            <w:tcW w:type="dxa" w:w="110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5C6470"/>
                <w:sz w:val="20"/>
                <w:szCs w:val="20"/>
              </w:rPr>
              <w:t xml:space="preserve">Year 2+</w:t>
            </w:r>
          </w:p>
        </w:tc>
        <w:tc>
          <w:tcPr>
            <w:tcW w:type="dxa" w:w="1500"/>
            <w:tcBorders>
              <w:top w:val="single" w:color="EAECEF" w:sz="6"/>
              <w:left w:val="single" w:color="EAECEF" w:sz="6"/>
              <w:bottom w:val="single" w:color="EAECEF" w:sz="6"/>
              <w:right w:val="single" w:color="EAECEF" w:sz="6"/>
            </w:tcBorders>
            <w:shd w:fill="FDF6E3" w:val="clear"/>
            <w:tcMar>
              <w:top w:type="dxa" w:w="80"/>
              <w:left w:type="dxa" w:w="110"/>
              <w:bottom w:type="dxa" w:w="80"/>
              <w:right w:type="dxa" w:w="110"/>
            </w:tcMar>
            <w:vAlign w:val="center"/>
          </w:tcPr>
          <w:p>
            <w:pPr>
              <w:spacing w:before="0" w:after="80" w:line="280"/>
              <w:jc w:val="center"/>
            </w:pPr>
            <w:r>
              <w:rPr>
                <w:rFonts w:ascii="Arial" w:cs="Arial" w:eastAsia="Arial" w:hAnsi="Arial"/>
                <w:b/>
                <w:bCs/>
                <w:color w:val="B8860B"/>
                <w:sz w:val="20"/>
                <w:szCs w:val="20"/>
              </w:rPr>
              <w:t xml:space="preserve">$5M-20M/year</w:t>
            </w:r>
          </w:p>
        </w:tc>
        <w:tc>
          <w:tcPr>
            <w:tcW w:type="dxa" w:w="476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left"/>
            </w:pPr>
            <w:r>
              <w:rPr>
                <w:rFonts w:ascii="Arial" w:cs="Arial" w:eastAsia="Arial" w:hAnsi="Arial"/>
                <w:b w:val="false"/>
                <w:bCs w:val="false"/>
                <w:color w:val="2D3340"/>
                <w:sz w:val="20"/>
                <w:szCs w:val="20"/>
              </w:rPr>
              <w:t xml:space="preserve">Revenue-based loans underwritten by on-chain transaction history. Auto-repayment via smart contract. Near-zero default risk. No collections. Identical to Stripe Capital but with richer data.</w:t>
            </w:r>
          </w:p>
        </w:tc>
      </w:tr>
      <w:tr>
        <w:tc>
          <w:tcPr>
            <w:tcW w:type="dxa" w:w="200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left"/>
            </w:pPr>
            <w:r>
              <w:rPr>
                <w:rFonts w:ascii="Arial" w:cs="Arial" w:eastAsia="Arial" w:hAnsi="Arial"/>
                <w:b/>
                <w:bCs/>
                <w:color w:val="0D1B2A"/>
                <w:sz w:val="20"/>
                <w:szCs w:val="20"/>
              </w:rPr>
              <w:t xml:space="preserve">IP Licensing</w:t>
            </w:r>
          </w:p>
        </w:tc>
        <w:tc>
          <w:tcPr>
            <w:tcW w:type="dxa" w:w="110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5C6470"/>
                <w:sz w:val="20"/>
                <w:szCs w:val="20"/>
              </w:rPr>
              <w:t xml:space="preserve">Year 3+</w:t>
            </w:r>
          </w:p>
        </w:tc>
        <w:tc>
          <w:tcPr>
            <w:tcW w:type="dxa" w:w="1500"/>
            <w:tcBorders>
              <w:top w:val="single" w:color="EAECEF" w:sz="6"/>
              <w:left w:val="single" w:color="EAECEF" w:sz="6"/>
              <w:bottom w:val="single" w:color="EAECEF" w:sz="6"/>
              <w:right w:val="single" w:color="EAECEF" w:sz="6"/>
            </w:tcBorders>
            <w:shd w:fill="FDF6E3" w:val="clear"/>
            <w:tcMar>
              <w:top w:type="dxa" w:w="80"/>
              <w:left w:type="dxa" w:w="110"/>
              <w:bottom w:type="dxa" w:w="80"/>
              <w:right w:type="dxa" w:w="110"/>
            </w:tcMar>
            <w:vAlign w:val="center"/>
          </w:tcPr>
          <w:p>
            <w:pPr>
              <w:spacing w:before="0" w:after="80" w:line="280"/>
              <w:jc w:val="center"/>
            </w:pPr>
            <w:r>
              <w:rPr>
                <w:rFonts w:ascii="Arial" w:cs="Arial" w:eastAsia="Arial" w:hAnsi="Arial"/>
                <w:b/>
                <w:bCs/>
                <w:color w:val="B8860B"/>
                <w:sz w:val="20"/>
                <w:szCs w:val="20"/>
              </w:rPr>
              <w:t xml:space="preserve">$5M-15M/year</w:t>
            </w:r>
          </w:p>
        </w:tc>
        <w:tc>
          <w:tcPr>
            <w:tcW w:type="dxa" w:w="476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left"/>
            </w:pPr>
            <w:r>
              <w:rPr>
                <w:rFonts w:ascii="Arial" w:cs="Arial" w:eastAsia="Arial" w:hAnsi="Arial"/>
                <w:b w:val="false"/>
                <w:bCs w:val="false"/>
                <w:color w:val="2D3340"/>
                <w:sz w:val="20"/>
                <w:szCs w:val="20"/>
              </w:rPr>
              <w:t xml:space="preserve">Five patent-pending innovations licensable to banks, insurers, governments. AuraMe behavioral engine and ZK shifting PAN have broad applicability outside the RAWagon network.</w:t>
            </w:r>
          </w:p>
        </w:tc>
      </w:tr>
      <w:tr>
        <w:tc>
          <w:tcPr>
            <w:tcW w:type="dxa" w:w="200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left"/>
            </w:pPr>
            <w:r>
              <w:rPr>
                <w:rFonts w:ascii="Arial" w:cs="Arial" w:eastAsia="Arial" w:hAnsi="Arial"/>
                <w:b/>
                <w:bCs/>
                <w:color w:val="0D1B2A"/>
                <w:sz w:val="20"/>
                <w:szCs w:val="20"/>
              </w:rPr>
              <w:t xml:space="preserve">Government Identity Contracts</w:t>
            </w:r>
          </w:p>
        </w:tc>
        <w:tc>
          <w:tcPr>
            <w:tcW w:type="dxa" w:w="110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5C6470"/>
                <w:sz w:val="20"/>
                <w:szCs w:val="20"/>
              </w:rPr>
              <w:t xml:space="preserve">Year 3+</w:t>
            </w:r>
          </w:p>
        </w:tc>
        <w:tc>
          <w:tcPr>
            <w:tcW w:type="dxa" w:w="1500"/>
            <w:tcBorders>
              <w:top w:val="single" w:color="EAECEF" w:sz="6"/>
              <w:left w:val="single" w:color="EAECEF" w:sz="6"/>
              <w:bottom w:val="single" w:color="EAECEF" w:sz="6"/>
              <w:right w:val="single" w:color="EAECEF" w:sz="6"/>
            </w:tcBorders>
            <w:shd w:fill="FDF6E3" w:val="clear"/>
            <w:tcMar>
              <w:top w:type="dxa" w:w="80"/>
              <w:left w:type="dxa" w:w="110"/>
              <w:bottom w:type="dxa" w:w="80"/>
              <w:right w:type="dxa" w:w="110"/>
            </w:tcMar>
            <w:vAlign w:val="center"/>
          </w:tcPr>
          <w:p>
            <w:pPr>
              <w:spacing w:before="0" w:after="80" w:line="280"/>
              <w:jc w:val="center"/>
            </w:pPr>
            <w:r>
              <w:rPr>
                <w:rFonts w:ascii="Arial" w:cs="Arial" w:eastAsia="Arial" w:hAnsi="Arial"/>
                <w:b/>
                <w:bCs/>
                <w:color w:val="B8860B"/>
                <w:sz w:val="20"/>
                <w:szCs w:val="20"/>
              </w:rPr>
              <w:t xml:space="preserve">$10M-50M/contract</w:t>
            </w:r>
          </w:p>
        </w:tc>
        <w:tc>
          <w:tcPr>
            <w:tcW w:type="dxa" w:w="476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left"/>
            </w:pPr>
            <w:r>
              <w:rPr>
                <w:rFonts w:ascii="Arial" w:cs="Arial" w:eastAsia="Arial" w:hAnsi="Arial"/>
                <w:b w:val="false"/>
                <w:bCs w:val="false"/>
                <w:color w:val="2D3340"/>
                <w:sz w:val="20"/>
                <w:szCs w:val="20"/>
              </w:rPr>
              <w:t xml:space="preserve">State DMVs, federal agencies, and large employers actively seek ZK identity infrastructure. One contract is multiyear and worth more than the entire seed raise.</w:t>
            </w:r>
          </w:p>
        </w:tc>
      </w:tr>
      <w:tr>
        <w:tc>
          <w:tcPr>
            <w:tcW w:type="dxa" w:w="200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left"/>
            </w:pPr>
            <w:r>
              <w:rPr>
                <w:rFonts w:ascii="Arial" w:cs="Arial" w:eastAsia="Arial" w:hAnsi="Arial"/>
                <w:b/>
                <w:bCs/>
                <w:color w:val="0D1B2A"/>
                <w:sz w:val="20"/>
                <w:szCs w:val="20"/>
              </w:rPr>
              <w:t xml:space="preserve">Aggregate Data Intelligence</w:t>
            </w:r>
          </w:p>
        </w:tc>
        <w:tc>
          <w:tcPr>
            <w:tcW w:type="dxa" w:w="110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5C6470"/>
                <w:sz w:val="20"/>
                <w:szCs w:val="20"/>
              </w:rPr>
              <w:t xml:space="preserve">Year 2+</w:t>
            </w:r>
          </w:p>
        </w:tc>
        <w:tc>
          <w:tcPr>
            <w:tcW w:type="dxa" w:w="1500"/>
            <w:tcBorders>
              <w:top w:val="single" w:color="EAECEF" w:sz="6"/>
              <w:left w:val="single" w:color="EAECEF" w:sz="6"/>
              <w:bottom w:val="single" w:color="EAECEF" w:sz="6"/>
              <w:right w:val="single" w:color="EAECEF" w:sz="6"/>
            </w:tcBorders>
            <w:shd w:fill="FDF6E3" w:val="clear"/>
            <w:tcMar>
              <w:top w:type="dxa" w:w="80"/>
              <w:left w:type="dxa" w:w="110"/>
              <w:bottom w:type="dxa" w:w="80"/>
              <w:right w:type="dxa" w:w="110"/>
            </w:tcMar>
            <w:vAlign w:val="center"/>
          </w:tcPr>
          <w:p>
            <w:pPr>
              <w:spacing w:before="0" w:after="80" w:line="280"/>
              <w:jc w:val="center"/>
            </w:pPr>
            <w:r>
              <w:rPr>
                <w:rFonts w:ascii="Arial" w:cs="Arial" w:eastAsia="Arial" w:hAnsi="Arial"/>
                <w:b/>
                <w:bCs/>
                <w:color w:val="B8860B"/>
                <w:sz w:val="20"/>
                <w:szCs w:val="20"/>
              </w:rPr>
              <w:t xml:space="preserve">$1.5M-5M/year</w:t>
            </w:r>
          </w:p>
        </w:tc>
        <w:tc>
          <w:tcPr>
            <w:tcW w:type="dxa" w:w="476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left"/>
            </w:pPr>
            <w:r>
              <w:rPr>
                <w:rFonts w:ascii="Arial" w:cs="Arial" w:eastAsia="Arial" w:hAnsi="Arial"/>
                <w:b w:val="false"/>
                <w:bCs w:val="false"/>
                <w:color w:val="2D3340"/>
                <w:sz w:val="20"/>
                <w:szCs w:val="20"/>
              </w:rPr>
              <w:t xml:space="preserve">Anonymized, aggregate economic intelligence sold to institutional investors. No individual data. Pattern-of-commerce data across millions of verified transactions.</w:t>
            </w:r>
          </w:p>
        </w:tc>
      </w:tr>
      <w:tr>
        <w:tc>
          <w:tcPr>
            <w:tcW w:type="dxa" w:w="200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left"/>
            </w:pPr>
            <w:r>
              <w:rPr>
                <w:rFonts w:ascii="Arial" w:cs="Arial" w:eastAsia="Arial" w:hAnsi="Arial"/>
                <w:b/>
                <w:bCs/>
                <w:color w:val="0D1B2A"/>
                <w:sz w:val="20"/>
                <w:szCs w:val="20"/>
              </w:rPr>
              <w:t xml:space="preserve">GTX/STX Collateral Yield</w:t>
            </w:r>
          </w:p>
        </w:tc>
        <w:tc>
          <w:tcPr>
            <w:tcW w:type="dxa" w:w="110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5C6470"/>
                <w:sz w:val="20"/>
                <w:szCs w:val="20"/>
              </w:rPr>
              <w:t xml:space="preserve">Year 1+</w:t>
            </w:r>
          </w:p>
        </w:tc>
        <w:tc>
          <w:tcPr>
            <w:tcW w:type="dxa" w:w="1500"/>
            <w:tcBorders>
              <w:top w:val="single" w:color="EAECEF" w:sz="6"/>
              <w:left w:val="single" w:color="EAECEF" w:sz="6"/>
              <w:bottom w:val="single" w:color="EAECEF" w:sz="6"/>
              <w:right w:val="single" w:color="EAECEF" w:sz="6"/>
            </w:tcBorders>
            <w:shd w:fill="FDF6E3" w:val="clear"/>
            <w:tcMar>
              <w:top w:type="dxa" w:w="80"/>
              <w:left w:type="dxa" w:w="110"/>
              <w:bottom w:type="dxa" w:w="80"/>
              <w:right w:type="dxa" w:w="110"/>
            </w:tcMar>
            <w:vAlign w:val="center"/>
          </w:tcPr>
          <w:p>
            <w:pPr>
              <w:spacing w:before="0" w:after="80" w:line="280"/>
              <w:jc w:val="center"/>
            </w:pPr>
            <w:r>
              <w:rPr>
                <w:rFonts w:ascii="Arial" w:cs="Arial" w:eastAsia="Arial" w:hAnsi="Arial"/>
                <w:b/>
                <w:bCs/>
                <w:color w:val="B8860B"/>
                <w:sz w:val="20"/>
                <w:szCs w:val="20"/>
              </w:rPr>
              <w:t xml:space="preserve">$1M-3M/year</w:t>
            </w:r>
          </w:p>
        </w:tc>
        <w:tc>
          <w:tcPr>
            <w:tcW w:type="dxa" w:w="476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left"/>
            </w:pPr>
            <w:r>
              <w:rPr>
                <w:rFonts w:ascii="Arial" w:cs="Arial" w:eastAsia="Arial" w:hAnsi="Arial"/>
                <w:b w:val="false"/>
                <w:bCs w:val="false"/>
                <w:color w:val="2D3340"/>
                <w:sz w:val="20"/>
                <w:szCs w:val="20"/>
              </w:rPr>
              <w:t xml:space="preserve">Gold and silver collateral backing GTX/STX earns 2-4% in yield strategies. Completely passive. Scales directly with token adoption.</w:t>
            </w:r>
          </w:p>
        </w:tc>
      </w:tr>
      <w:tr>
        <w:tc>
          <w:tcPr>
            <w:tcW w:type="dxa" w:w="200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left"/>
            </w:pPr>
            <w:r>
              <w:rPr>
                <w:rFonts w:ascii="Arial" w:cs="Arial" w:eastAsia="Arial" w:hAnsi="Arial"/>
                <w:b/>
                <w:bCs/>
                <w:color w:val="0D1B2A"/>
                <w:sz w:val="20"/>
                <w:szCs w:val="20"/>
              </w:rPr>
              <w:t xml:space="preserve">White-label Protocol</w:t>
            </w:r>
          </w:p>
        </w:tc>
        <w:tc>
          <w:tcPr>
            <w:tcW w:type="dxa" w:w="110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5C6470"/>
                <w:sz w:val="20"/>
                <w:szCs w:val="20"/>
              </w:rPr>
              <w:t xml:space="preserve">Year 2+</w:t>
            </w:r>
          </w:p>
        </w:tc>
        <w:tc>
          <w:tcPr>
            <w:tcW w:type="dxa" w:w="1500"/>
            <w:tcBorders>
              <w:top w:val="single" w:color="EAECEF" w:sz="6"/>
              <w:left w:val="single" w:color="EAECEF" w:sz="6"/>
              <w:bottom w:val="single" w:color="EAECEF" w:sz="6"/>
              <w:right w:val="single" w:color="EAECEF" w:sz="6"/>
            </w:tcBorders>
            <w:shd w:fill="FDF6E3" w:val="clear"/>
            <w:tcMar>
              <w:top w:type="dxa" w:w="80"/>
              <w:left w:type="dxa" w:w="110"/>
              <w:bottom w:type="dxa" w:w="80"/>
              <w:right w:type="dxa" w:w="110"/>
            </w:tcMar>
            <w:vAlign w:val="center"/>
          </w:tcPr>
          <w:p>
            <w:pPr>
              <w:spacing w:before="0" w:after="80" w:line="280"/>
              <w:jc w:val="center"/>
            </w:pPr>
            <w:r>
              <w:rPr>
                <w:rFonts w:ascii="Arial" w:cs="Arial" w:eastAsia="Arial" w:hAnsi="Arial"/>
                <w:b/>
                <w:bCs/>
                <w:color w:val="B8860B"/>
                <w:sz w:val="20"/>
                <w:szCs w:val="20"/>
              </w:rPr>
              <w:t xml:space="preserve">$1M-10M/year</w:t>
            </w:r>
          </w:p>
        </w:tc>
        <w:tc>
          <w:tcPr>
            <w:tcW w:type="dxa" w:w="476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left"/>
            </w:pPr>
            <w:r>
              <w:rPr>
                <w:rFonts w:ascii="Arial" w:cs="Arial" w:eastAsia="Arial" w:hAnsi="Arial"/>
                <w:b w:val="false"/>
                <w:bCs w:val="false"/>
                <w:color w:val="2D3340"/>
                <w:sz w:val="20"/>
                <w:szCs w:val="20"/>
              </w:rPr>
              <w:t xml:space="preserve">Regional banks and neobanks license the QWKS payment rail stack. 20 licensees at $100-500K/year. Zero marginal infrastructure cost.</w:t>
            </w:r>
          </w:p>
        </w:tc>
      </w:tr>
      <w:tr>
        <w:tc>
          <w:tcPr>
            <w:tcW w:type="dxa" w:w="200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left"/>
            </w:pPr>
            <w:r>
              <w:rPr>
                <w:rFonts w:ascii="Arial" w:cs="Arial" w:eastAsia="Arial" w:hAnsi="Arial"/>
                <w:b/>
                <w:bCs/>
                <w:color w:val="0D1B2A"/>
                <w:sz w:val="20"/>
                <w:szCs w:val="20"/>
              </w:rPr>
              <w:t xml:space="preserve">LTN Treasury Appreciation</w:t>
            </w:r>
          </w:p>
        </w:tc>
        <w:tc>
          <w:tcPr>
            <w:tcW w:type="dxa" w:w="110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5C6470"/>
                <w:sz w:val="20"/>
                <w:szCs w:val="20"/>
              </w:rPr>
              <w:t xml:space="preserve">Ongoing</w:t>
            </w:r>
          </w:p>
        </w:tc>
        <w:tc>
          <w:tcPr>
            <w:tcW w:type="dxa" w:w="1500"/>
            <w:tcBorders>
              <w:top w:val="single" w:color="EAECEF" w:sz="6"/>
              <w:left w:val="single" w:color="EAECEF" w:sz="6"/>
              <w:bottom w:val="single" w:color="EAECEF" w:sz="6"/>
              <w:right w:val="single" w:color="EAECEF" w:sz="6"/>
            </w:tcBorders>
            <w:shd w:fill="FDF6E3" w:val="clear"/>
            <w:tcMar>
              <w:top w:type="dxa" w:w="80"/>
              <w:left w:type="dxa" w:w="110"/>
              <w:bottom w:type="dxa" w:w="80"/>
              <w:right w:type="dxa" w:w="110"/>
            </w:tcMar>
            <w:vAlign w:val="center"/>
          </w:tcPr>
          <w:p>
            <w:pPr>
              <w:spacing w:before="0" w:after="80" w:line="280"/>
              <w:jc w:val="center"/>
            </w:pPr>
            <w:r>
              <w:rPr>
                <w:rFonts w:ascii="Arial" w:cs="Arial" w:eastAsia="Arial" w:hAnsi="Arial"/>
                <w:b/>
                <w:bCs/>
                <w:color w:val="B8860B"/>
                <w:sz w:val="20"/>
                <w:szCs w:val="20"/>
              </w:rPr>
              <w:t xml:space="preserve">$92M potential</w:t>
            </w:r>
          </w:p>
        </w:tc>
        <w:tc>
          <w:tcPr>
            <w:tcW w:type="dxa" w:w="476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left"/>
            </w:pPr>
            <w:r>
              <w:rPr>
                <w:rFonts w:ascii="Arial" w:cs="Arial" w:eastAsia="Arial" w:hAnsi="Arial"/>
                <w:b w:val="false"/>
                <w:bCs w:val="false"/>
                <w:color w:val="2D3340"/>
                <w:sz w:val="20"/>
                <w:szCs w:val="20"/>
              </w:rPr>
              <w:t xml:space="preserve">RAWagon treasury holds 100M LTN. Every $0.10 increase in LTN price = $10M in treasury NAV. Not revenue until realized, but represents the most asymmetric upside.</w:t>
            </w:r>
          </w:p>
        </w:tc>
      </w:tr>
    </w:tbl>
    <w:p>
      <w:pPr>
        <w:pageBreakBefore/>
        <w:spacing w:before="0" w:after="0"/>
      </w:pPr>
      <w:fldSimple w:instr="[object Object]"/>
    </w:p>
    <w:p>
      <w:pPr>
        <w:spacing w:before="200" w:after="0"/>
      </w:pPr>
    </w:p>
    <w:p>
      <w:pPr>
        <w:spacing w:before="0" w:after="50" w:line="280"/>
        <w:jc w:val="left"/>
      </w:pPr>
      <w:r>
        <w:rPr>
          <w:rFonts w:ascii="Arial" w:cs="Arial" w:eastAsia="Arial" w:hAnsi="Arial"/>
          <w:b/>
          <w:bCs/>
          <w:color w:val="2B5CE6"/>
          <w:sz w:val="15"/>
          <w:szCs w:val="15"/>
        </w:rPr>
        <w:t xml:space="preserve">SECTION 7</w:t>
      </w:r>
    </w:p>
    <w:p>
      <w:pPr>
        <w:pStyle w:val="Heading1"/>
        <w:spacing w:before="0" w:after="80"/>
      </w:pPr>
      <w:r>
        <w:rPr>
          <w:rFonts w:ascii="Georgia" w:cs="Georgia" w:eastAsia="Georgia" w:hAnsi="Georgia"/>
          <w:b/>
          <w:bCs/>
          <w:color w:val="0D1B2A"/>
          <w:sz w:val="34"/>
          <w:szCs w:val="34"/>
        </w:rPr>
        <w:t xml:space="preserve">Token Economics: LTN</w:t>
      </w:r>
    </w:p>
    <w:p>
      <w:pPr>
        <w:pBdr>
          <w:bottom w:val="single" w:color="D4A853" w:sz="12" w:space="1"/>
        </w:pBd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1B2A" w:sz="6"/>
              <w:left w:val="single" w:color="0D1B2A" w:sz="6"/>
              <w:bottom w:val="single" w:color="0D1B2A" w:sz="6"/>
              <w:right w:val="single" w:color="0D1B2A" w:sz="6"/>
            </w:tcBorders>
            <w:shd w:fill="0D1B2A" w:val="clear"/>
            <w:tcMar>
              <w:top w:type="dxa" w:w="90"/>
              <w:left w:type="dxa" w:w="110"/>
              <w:bottom w:type="dxa" w:w="90"/>
              <w:right w:type="dxa" w:w="110"/>
            </w:tcMar>
            <w:vAlign w:val="center"/>
          </w:tcPr>
          <w:p>
            <w:pPr>
              <w:spacing w:before="0" w:after="80" w:line="280"/>
              <w:jc w:val="center"/>
            </w:pPr>
            <w:r>
              <w:rPr>
                <w:rFonts w:ascii="Arial" w:cs="Arial" w:eastAsia="Arial" w:hAnsi="Arial"/>
                <w:b/>
                <w:bCs/>
                <w:color w:val="FFFFFF"/>
                <w:sz w:val="20"/>
                <w:szCs w:val="20"/>
              </w:rPr>
              <w:t xml:space="preserve">Parameter</w:t>
            </w:r>
          </w:p>
        </w:tc>
        <w:tc>
          <w:tcPr>
            <w:tcW w:type="dxa" w:w="6960"/>
            <w:tcBorders>
              <w:top w:val="single" w:color="0D1B2A" w:sz="6"/>
              <w:left w:val="single" w:color="0D1B2A" w:sz="6"/>
              <w:bottom w:val="single" w:color="0D1B2A" w:sz="6"/>
              <w:right w:val="single" w:color="0D1B2A" w:sz="6"/>
            </w:tcBorders>
            <w:shd w:fill="0D1B2A" w:val="clear"/>
            <w:tcMar>
              <w:top w:type="dxa" w:w="90"/>
              <w:left w:type="dxa" w:w="110"/>
              <w:bottom w:type="dxa" w:w="90"/>
              <w:right w:type="dxa" w:w="110"/>
            </w:tcMar>
            <w:vAlign w:val="center"/>
          </w:tcPr>
          <w:p>
            <w:pPr>
              <w:spacing w:before="0" w:after="80" w:line="280"/>
              <w:jc w:val="center"/>
            </w:pPr>
            <w:r>
              <w:rPr>
                <w:rFonts w:ascii="Arial" w:cs="Arial" w:eastAsia="Arial" w:hAnsi="Arial"/>
                <w:b/>
                <w:bCs/>
                <w:color w:val="FFFFFF"/>
                <w:sz w:val="20"/>
                <w:szCs w:val="20"/>
              </w:rPr>
              <w:t xml:space="preserve">Value / Description</w:t>
            </w:r>
          </w:p>
        </w:tc>
      </w:tr>
      <w:tr>
        <w:tc>
          <w:tcPr>
            <w:tcW w:type="dxa" w:w="2400"/>
            <w:tcBorders>
              <w:top w:val="single" w:color="EAECEF" w:sz="6"/>
              <w:left w:val="single" w:color="EAECEF" w:sz="6"/>
              <w:bottom w:val="single" w:color="EAECEF" w:sz="6"/>
              <w:right w:val="single" w:color="EAECEF" w:sz="6"/>
            </w:tcBorders>
            <w:shd w:fill="0D1B2A" w:val="clear"/>
            <w:tcMar>
              <w:top w:type="dxa" w:w="80"/>
              <w:left w:type="dxa" w:w="110"/>
              <w:bottom w:type="dxa" w:w="80"/>
              <w:right w:type="dxa" w:w="110"/>
            </w:tcMar>
            <w:vAlign w:val="center"/>
          </w:tcPr>
          <w:p>
            <w:pPr>
              <w:spacing w:before="0" w:after="80" w:line="280"/>
              <w:jc w:val="left"/>
            </w:pPr>
            <w:r>
              <w:rPr>
                <w:rFonts w:ascii="Arial" w:cs="Arial" w:eastAsia="Arial" w:hAnsi="Arial"/>
                <w:b/>
                <w:bCs/>
                <w:color w:val="D4A853"/>
                <w:sz w:val="20"/>
                <w:szCs w:val="20"/>
              </w:rPr>
              <w:t xml:space="preserve">Token name</w:t>
            </w:r>
          </w:p>
        </w:tc>
        <w:tc>
          <w:tcPr>
            <w:tcW w:type="dxa" w:w="696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left"/>
            </w:pPr>
            <w:r>
              <w:rPr>
                <w:rFonts w:ascii="Arial" w:cs="Arial" w:eastAsia="Arial" w:hAnsi="Arial"/>
                <w:b w:val="false"/>
                <w:bCs w:val="false"/>
                <w:color w:val="2D3340"/>
                <w:sz w:val="20"/>
                <w:szCs w:val="20"/>
              </w:rPr>
              <w:t xml:space="preserve">Living Token (LTN)</w:t>
            </w:r>
          </w:p>
        </w:tc>
      </w:tr>
      <w:tr>
        <w:tc>
          <w:tcPr>
            <w:tcW w:type="dxa" w:w="2400"/>
            <w:tcBorders>
              <w:top w:val="single" w:color="EAECEF" w:sz="6"/>
              <w:left w:val="single" w:color="EAECEF" w:sz="6"/>
              <w:bottom w:val="single" w:color="EAECEF" w:sz="6"/>
              <w:right w:val="single" w:color="EAECEF" w:sz="6"/>
            </w:tcBorders>
            <w:shd w:fill="152238" w:val="clear"/>
            <w:tcMar>
              <w:top w:type="dxa" w:w="80"/>
              <w:left w:type="dxa" w:w="110"/>
              <w:bottom w:type="dxa" w:w="80"/>
              <w:right w:type="dxa" w:w="110"/>
            </w:tcMar>
            <w:vAlign w:val="center"/>
          </w:tcPr>
          <w:p>
            <w:pPr>
              <w:spacing w:before="0" w:after="80" w:line="280"/>
              <w:jc w:val="left"/>
            </w:pPr>
            <w:r>
              <w:rPr>
                <w:rFonts w:ascii="Arial" w:cs="Arial" w:eastAsia="Arial" w:hAnsi="Arial"/>
                <w:b/>
                <w:bCs/>
                <w:color w:val="D4A853"/>
                <w:sz w:val="20"/>
                <w:szCs w:val="20"/>
              </w:rPr>
              <w:t xml:space="preserve">Current price</w:t>
            </w:r>
          </w:p>
        </w:tc>
        <w:tc>
          <w:tcPr>
            <w:tcW w:type="dxa" w:w="696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left"/>
            </w:pPr>
            <w:r>
              <w:rPr>
                <w:rFonts w:ascii="Arial" w:cs="Arial" w:eastAsia="Arial" w:hAnsi="Arial"/>
                <w:b w:val="false"/>
                <w:bCs w:val="false"/>
                <w:color w:val="2D3340"/>
                <w:sz w:val="20"/>
                <w:szCs w:val="20"/>
              </w:rPr>
              <w:t xml:space="preserve">$0.084 (live market)</w:t>
            </w:r>
          </w:p>
        </w:tc>
      </w:tr>
      <w:tr>
        <w:tc>
          <w:tcPr>
            <w:tcW w:type="dxa" w:w="2400"/>
            <w:tcBorders>
              <w:top w:val="single" w:color="EAECEF" w:sz="6"/>
              <w:left w:val="single" w:color="EAECEF" w:sz="6"/>
              <w:bottom w:val="single" w:color="EAECEF" w:sz="6"/>
              <w:right w:val="single" w:color="EAECEF" w:sz="6"/>
            </w:tcBorders>
            <w:shd w:fill="0D1B2A" w:val="clear"/>
            <w:tcMar>
              <w:top w:type="dxa" w:w="80"/>
              <w:left w:type="dxa" w:w="110"/>
              <w:bottom w:type="dxa" w:w="80"/>
              <w:right w:type="dxa" w:w="110"/>
            </w:tcMar>
            <w:vAlign w:val="center"/>
          </w:tcPr>
          <w:p>
            <w:pPr>
              <w:spacing w:before="0" w:after="80" w:line="280"/>
              <w:jc w:val="left"/>
            </w:pPr>
            <w:r>
              <w:rPr>
                <w:rFonts w:ascii="Arial" w:cs="Arial" w:eastAsia="Arial" w:hAnsi="Arial"/>
                <w:b/>
                <w:bCs/>
                <w:color w:val="D4A853"/>
                <w:sz w:val="20"/>
                <w:szCs w:val="20"/>
              </w:rPr>
              <w:t xml:space="preserve">Total supply</w:t>
            </w:r>
          </w:p>
        </w:tc>
        <w:tc>
          <w:tcPr>
            <w:tcW w:type="dxa" w:w="696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left"/>
            </w:pPr>
            <w:r>
              <w:rPr>
                <w:rFonts w:ascii="Arial" w:cs="Arial" w:eastAsia="Arial" w:hAnsi="Arial"/>
                <w:b w:val="false"/>
                <w:bCs w:val="false"/>
                <w:color w:val="2D3340"/>
                <w:sz w:val="20"/>
                <w:szCs w:val="20"/>
              </w:rPr>
              <w:t xml:space="preserve">1,000,000,000 LTN (1 billion, fixed cap)</w:t>
            </w:r>
          </w:p>
        </w:tc>
      </w:tr>
      <w:tr>
        <w:tc>
          <w:tcPr>
            <w:tcW w:type="dxa" w:w="2400"/>
            <w:tcBorders>
              <w:top w:val="single" w:color="EAECEF" w:sz="6"/>
              <w:left w:val="single" w:color="EAECEF" w:sz="6"/>
              <w:bottom w:val="single" w:color="EAECEF" w:sz="6"/>
              <w:right w:val="single" w:color="EAECEF" w:sz="6"/>
            </w:tcBorders>
            <w:shd w:fill="152238" w:val="clear"/>
            <w:tcMar>
              <w:top w:type="dxa" w:w="80"/>
              <w:left w:type="dxa" w:w="110"/>
              <w:bottom w:type="dxa" w:w="80"/>
              <w:right w:type="dxa" w:w="110"/>
            </w:tcMar>
            <w:vAlign w:val="center"/>
          </w:tcPr>
          <w:p>
            <w:pPr>
              <w:spacing w:before="0" w:after="80" w:line="280"/>
              <w:jc w:val="left"/>
            </w:pPr>
            <w:r>
              <w:rPr>
                <w:rFonts w:ascii="Arial" w:cs="Arial" w:eastAsia="Arial" w:hAnsi="Arial"/>
                <w:b/>
                <w:bCs/>
                <w:color w:val="D4A853"/>
                <w:sz w:val="20"/>
                <w:szCs w:val="20"/>
              </w:rPr>
              <w:t xml:space="preserve">Chain</w:t>
            </w:r>
          </w:p>
        </w:tc>
        <w:tc>
          <w:tcPr>
            <w:tcW w:type="dxa" w:w="696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left"/>
            </w:pPr>
            <w:r>
              <w:rPr>
                <w:rFonts w:ascii="Arial" w:cs="Arial" w:eastAsia="Arial" w:hAnsi="Arial"/>
                <w:b w:val="false"/>
                <w:bCs w:val="false"/>
                <w:color w:val="2D3340"/>
                <w:sz w:val="20"/>
                <w:szCs w:val="20"/>
              </w:rPr>
              <w:t xml:space="preserve">Base L2 (ERC-20) — $0.001 per transfer</w:t>
            </w:r>
          </w:p>
        </w:tc>
      </w:tr>
      <w:tr>
        <w:tc>
          <w:tcPr>
            <w:tcW w:type="dxa" w:w="2400"/>
            <w:tcBorders>
              <w:top w:val="single" w:color="EAECEF" w:sz="6"/>
              <w:left w:val="single" w:color="EAECEF" w:sz="6"/>
              <w:bottom w:val="single" w:color="EAECEF" w:sz="6"/>
              <w:right w:val="single" w:color="EAECEF" w:sz="6"/>
            </w:tcBorders>
            <w:shd w:fill="0D1B2A" w:val="clear"/>
            <w:tcMar>
              <w:top w:type="dxa" w:w="80"/>
              <w:left w:type="dxa" w:w="110"/>
              <w:bottom w:type="dxa" w:w="80"/>
              <w:right w:type="dxa" w:w="110"/>
            </w:tcMar>
            <w:vAlign w:val="center"/>
          </w:tcPr>
          <w:p>
            <w:pPr>
              <w:spacing w:before="0" w:after="80" w:line="280"/>
              <w:jc w:val="left"/>
            </w:pPr>
            <w:r>
              <w:rPr>
                <w:rFonts w:ascii="Arial" w:cs="Arial" w:eastAsia="Arial" w:hAnsi="Arial"/>
                <w:b/>
                <w:bCs/>
                <w:color w:val="D4A853"/>
                <w:sz w:val="20"/>
                <w:szCs w:val="20"/>
              </w:rPr>
              <w:t xml:space="preserve">Burn mechanism</w:t>
            </w:r>
          </w:p>
        </w:tc>
        <w:tc>
          <w:tcPr>
            <w:tcW w:type="dxa" w:w="696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left"/>
            </w:pPr>
            <w:r>
              <w:rPr>
                <w:rFonts w:ascii="Arial" w:cs="Arial" w:eastAsia="Arial" w:hAnsi="Arial"/>
                <w:b w:val="false"/>
                <w:bCs w:val="false"/>
                <w:color w:val="2D3340"/>
                <w:sz w:val="20"/>
                <w:szCs w:val="20"/>
              </w:rPr>
              <w:t xml:space="preserve">0.001 LTN burned per Base L2 transaction on QWKS network. 56M txns/year = 56,400 LTN/year burned at current scale</w:t>
            </w:r>
          </w:p>
        </w:tc>
      </w:tr>
      <w:tr>
        <w:tc>
          <w:tcPr>
            <w:tcW w:type="dxa" w:w="2400"/>
            <w:tcBorders>
              <w:top w:val="single" w:color="EAECEF" w:sz="6"/>
              <w:left w:val="single" w:color="EAECEF" w:sz="6"/>
              <w:bottom w:val="single" w:color="EAECEF" w:sz="6"/>
              <w:right w:val="single" w:color="EAECEF" w:sz="6"/>
            </w:tcBorders>
            <w:shd w:fill="152238" w:val="clear"/>
            <w:tcMar>
              <w:top w:type="dxa" w:w="80"/>
              <w:left w:type="dxa" w:w="110"/>
              <w:bottom w:type="dxa" w:w="80"/>
              <w:right w:type="dxa" w:w="110"/>
            </w:tcMar>
            <w:vAlign w:val="center"/>
          </w:tcPr>
          <w:p>
            <w:pPr>
              <w:spacing w:before="0" w:after="80" w:line="280"/>
              <w:jc w:val="left"/>
            </w:pPr>
            <w:r>
              <w:rPr>
                <w:rFonts w:ascii="Arial" w:cs="Arial" w:eastAsia="Arial" w:hAnsi="Arial"/>
                <w:b/>
                <w:bCs/>
                <w:color w:val="D4A853"/>
                <w:sz w:val="20"/>
                <w:szCs w:val="20"/>
              </w:rPr>
              <w:t xml:space="preserve">Staking APY</w:t>
            </w:r>
          </w:p>
        </w:tc>
        <w:tc>
          <w:tcPr>
            <w:tcW w:type="dxa" w:w="696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left"/>
            </w:pPr>
            <w:r>
              <w:rPr>
                <w:rFonts w:ascii="Arial" w:cs="Arial" w:eastAsia="Arial" w:hAnsi="Arial"/>
                <w:b w:val="false"/>
                <w:bCs w:val="false"/>
                <w:color w:val="2D3340"/>
                <w:sz w:val="20"/>
                <w:szCs w:val="20"/>
              </w:rPr>
              <w:t xml:space="preserve">12% current. Funded by 0.1% of all network transaction volume routed to FeeDistributor.sol</w:t>
            </w:r>
          </w:p>
        </w:tc>
      </w:tr>
      <w:tr>
        <w:tc>
          <w:tcPr>
            <w:tcW w:type="dxa" w:w="2400"/>
            <w:tcBorders>
              <w:top w:val="single" w:color="EAECEF" w:sz="6"/>
              <w:left w:val="single" w:color="EAECEF" w:sz="6"/>
              <w:bottom w:val="single" w:color="EAECEF" w:sz="6"/>
              <w:right w:val="single" w:color="EAECEF" w:sz="6"/>
            </w:tcBorders>
            <w:shd w:fill="0D1B2A" w:val="clear"/>
            <w:tcMar>
              <w:top w:type="dxa" w:w="80"/>
              <w:left w:type="dxa" w:w="110"/>
              <w:bottom w:type="dxa" w:w="80"/>
              <w:right w:type="dxa" w:w="110"/>
            </w:tcMar>
            <w:vAlign w:val="center"/>
          </w:tcPr>
          <w:p>
            <w:pPr>
              <w:spacing w:before="0" w:after="80" w:line="280"/>
              <w:jc w:val="left"/>
            </w:pPr>
            <w:r>
              <w:rPr>
                <w:rFonts w:ascii="Arial" w:cs="Arial" w:eastAsia="Arial" w:hAnsi="Arial"/>
                <w:b/>
                <w:bCs/>
                <w:color w:val="D4A853"/>
                <w:sz w:val="20"/>
                <w:szCs w:val="20"/>
              </w:rPr>
              <w:t xml:space="preserve">Allocation</w:t>
            </w:r>
          </w:p>
        </w:tc>
        <w:tc>
          <w:tcPr>
            <w:tcW w:type="dxa" w:w="696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left"/>
            </w:pPr>
            <w:r>
              <w:rPr>
                <w:rFonts w:ascii="Arial" w:cs="Arial" w:eastAsia="Arial" w:hAnsi="Arial"/>
                <w:b w:val="false"/>
                <w:bCs w:val="false"/>
                <w:color w:val="2D3340"/>
                <w:sz w:val="20"/>
                <w:szCs w:val="20"/>
              </w:rPr>
              <w:t xml:space="preserve">40% — business/user rewards | 20% — RAWagon treasury | 20% — team/advisors (4yr vest) | 20% — ecosystem/grants</w:t>
            </w:r>
          </w:p>
        </w:tc>
      </w:tr>
      <w:tr>
        <w:tc>
          <w:tcPr>
            <w:tcW w:type="dxa" w:w="2400"/>
            <w:tcBorders>
              <w:top w:val="single" w:color="EAECEF" w:sz="6"/>
              <w:left w:val="single" w:color="EAECEF" w:sz="6"/>
              <w:bottom w:val="single" w:color="EAECEF" w:sz="6"/>
              <w:right w:val="single" w:color="EAECEF" w:sz="6"/>
            </w:tcBorders>
            <w:shd w:fill="152238" w:val="clear"/>
            <w:tcMar>
              <w:top w:type="dxa" w:w="80"/>
              <w:left w:type="dxa" w:w="110"/>
              <w:bottom w:type="dxa" w:w="80"/>
              <w:right w:type="dxa" w:w="110"/>
            </w:tcMar>
            <w:vAlign w:val="center"/>
          </w:tcPr>
          <w:p>
            <w:pPr>
              <w:spacing w:before="0" w:after="80" w:line="280"/>
              <w:jc w:val="left"/>
            </w:pPr>
            <w:r>
              <w:rPr>
                <w:rFonts w:ascii="Arial" w:cs="Arial" w:eastAsia="Arial" w:hAnsi="Arial"/>
                <w:b/>
                <w:bCs/>
                <w:color w:val="D4A853"/>
                <w:sz w:val="20"/>
                <w:szCs w:val="20"/>
              </w:rPr>
              <w:t xml:space="preserve">Governance</w:t>
            </w:r>
          </w:p>
        </w:tc>
        <w:tc>
          <w:tcPr>
            <w:tcW w:type="dxa" w:w="696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left"/>
            </w:pPr>
            <w:r>
              <w:rPr>
                <w:rFonts w:ascii="Arial" w:cs="Arial" w:eastAsia="Arial" w:hAnsi="Arial"/>
                <w:b w:val="false"/>
                <w:bCs w:val="false"/>
                <w:color w:val="2D3340"/>
                <w:sz w:val="20"/>
                <w:szCs w:val="20"/>
              </w:rPr>
              <w:t xml:space="preserve">LTN holders vote on AI policy parameters, fee split ratios, burn rate schedule, service access permissions</w:t>
            </w:r>
          </w:p>
        </w:tc>
      </w:tr>
      <w:tr>
        <w:tc>
          <w:tcPr>
            <w:tcW w:type="dxa" w:w="2400"/>
            <w:tcBorders>
              <w:top w:val="single" w:color="EAECEF" w:sz="6"/>
              <w:left w:val="single" w:color="EAECEF" w:sz="6"/>
              <w:bottom w:val="single" w:color="EAECEF" w:sz="6"/>
              <w:right w:val="single" w:color="EAECEF" w:sz="6"/>
            </w:tcBorders>
            <w:shd w:fill="0D1B2A" w:val="clear"/>
            <w:tcMar>
              <w:top w:type="dxa" w:w="80"/>
              <w:left w:type="dxa" w:w="110"/>
              <w:bottom w:type="dxa" w:w="80"/>
              <w:right w:type="dxa" w:w="110"/>
            </w:tcMar>
            <w:vAlign w:val="center"/>
          </w:tcPr>
          <w:p>
            <w:pPr>
              <w:spacing w:before="0" w:after="80" w:line="280"/>
              <w:jc w:val="left"/>
            </w:pPr>
            <w:r>
              <w:rPr>
                <w:rFonts w:ascii="Arial" w:cs="Arial" w:eastAsia="Arial" w:hAnsi="Arial"/>
                <w:b/>
                <w:bCs/>
                <w:color w:val="D4A853"/>
                <w:sz w:val="20"/>
                <w:szCs w:val="20"/>
              </w:rPr>
              <w:t xml:space="preserve">Price drivers</w:t>
            </w:r>
          </w:p>
        </w:tc>
        <w:tc>
          <w:tcPr>
            <w:tcW w:type="dxa" w:w="696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left"/>
            </w:pPr>
            <w:r>
              <w:rPr>
                <w:rFonts w:ascii="Arial" w:cs="Arial" w:eastAsia="Arial" w:hAnsi="Arial"/>
                <w:b w:val="false"/>
                <w:bCs w:val="false"/>
                <w:color w:val="2D3340"/>
                <w:sz w:val="20"/>
                <w:szCs w:val="20"/>
              </w:rPr>
              <w:t xml:space="preserve">Network growth (demand) + transaction burn (supply contraction) + staking demand (locking) + governance utility</w:t>
            </w:r>
          </w:p>
        </w:tc>
      </w:tr>
      <w:tr>
        <w:tc>
          <w:tcPr>
            <w:tcW w:type="dxa" w:w="2400"/>
            <w:tcBorders>
              <w:top w:val="single" w:color="EAECEF" w:sz="6"/>
              <w:left w:val="single" w:color="EAECEF" w:sz="6"/>
              <w:bottom w:val="single" w:color="EAECEF" w:sz="6"/>
              <w:right w:val="single" w:color="EAECEF" w:sz="6"/>
            </w:tcBorders>
            <w:shd w:fill="152238" w:val="clear"/>
            <w:tcMar>
              <w:top w:type="dxa" w:w="80"/>
              <w:left w:type="dxa" w:w="110"/>
              <w:bottom w:type="dxa" w:w="80"/>
              <w:right w:type="dxa" w:w="110"/>
            </w:tcMar>
            <w:vAlign w:val="center"/>
          </w:tcPr>
          <w:p>
            <w:pPr>
              <w:spacing w:before="0" w:after="80" w:line="280"/>
              <w:jc w:val="left"/>
            </w:pPr>
            <w:r>
              <w:rPr>
                <w:rFonts w:ascii="Arial" w:cs="Arial" w:eastAsia="Arial" w:hAnsi="Arial"/>
                <w:b/>
                <w:bCs/>
                <w:color w:val="D4A853"/>
                <w:sz w:val="20"/>
                <w:szCs w:val="20"/>
              </w:rPr>
              <w:t xml:space="preserve">Treasury position</w:t>
            </w:r>
          </w:p>
        </w:tc>
        <w:tc>
          <w:tcPr>
            <w:tcW w:type="dxa" w:w="696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left"/>
            </w:pPr>
            <w:r>
              <w:rPr>
                <w:rFonts w:ascii="Arial" w:cs="Arial" w:eastAsia="Arial" w:hAnsi="Arial"/>
                <w:b w:val="false"/>
                <w:bCs w:val="false"/>
                <w:color w:val="2D3340"/>
                <w:sz w:val="20"/>
                <w:szCs w:val="20"/>
              </w:rPr>
              <w:t xml:space="preserve">RAWagon holds 200M LTN (20% of supply) — 4-year lockup with quarterly unlocks</w:t>
            </w:r>
          </w:p>
        </w:tc>
      </w:tr>
    </w:tbl>
    <w:p>
      <w:pPr>
        <w:pageBreakBefore/>
        <w:spacing w:before="0" w:after="0"/>
      </w:pPr>
      <w:fldSimple w:instr="[object Object]"/>
    </w:p>
    <w:p>
      <w:pPr>
        <w:spacing w:before="200" w:after="0"/>
      </w:pPr>
    </w:p>
    <w:p>
      <w:pPr>
        <w:spacing w:before="0" w:after="50" w:line="280"/>
        <w:jc w:val="left"/>
      </w:pPr>
      <w:r>
        <w:rPr>
          <w:rFonts w:ascii="Arial" w:cs="Arial" w:eastAsia="Arial" w:hAnsi="Arial"/>
          <w:b/>
          <w:bCs/>
          <w:color w:val="2B5CE6"/>
          <w:sz w:val="15"/>
          <w:szCs w:val="15"/>
        </w:rPr>
        <w:t xml:space="preserve">SECTION 8</w:t>
      </w:r>
    </w:p>
    <w:p>
      <w:pPr>
        <w:pStyle w:val="Heading1"/>
        <w:spacing w:before="0" w:after="80"/>
      </w:pPr>
      <w:r>
        <w:rPr>
          <w:rFonts w:ascii="Georgia" w:cs="Georgia" w:eastAsia="Georgia" w:hAnsi="Georgia"/>
          <w:b/>
          <w:bCs/>
          <w:color w:val="0D1B2A"/>
          <w:sz w:val="34"/>
          <w:szCs w:val="34"/>
        </w:rPr>
        <w:t xml:space="preserve">Risk Factors &amp; Mitigations</w:t>
      </w:r>
    </w:p>
    <w:p>
      <w:pPr>
        <w:pBdr>
          <w:bottom w:val="single" w:color="D4A853" w:sz="12" w:space="1"/>
        </w:pBd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000"/>
        <w:gridCol w:w="5360"/>
      </w:tblGrid>
      <w:tr>
        <w:tc>
          <w:tcPr>
            <w:tcW w:type="dxa" w:w="2200"/>
            <w:tcBorders>
              <w:top w:val="single" w:color="0D1B2A" w:sz="6"/>
              <w:left w:val="single" w:color="0D1B2A" w:sz="6"/>
              <w:bottom w:val="single" w:color="0D1B2A" w:sz="6"/>
              <w:right w:val="single" w:color="0D1B2A" w:sz="6"/>
            </w:tcBorders>
            <w:shd w:fill="0D1B2A" w:val="clear"/>
            <w:tcMar>
              <w:top w:type="dxa" w:w="90"/>
              <w:left w:type="dxa" w:w="110"/>
              <w:bottom w:type="dxa" w:w="90"/>
              <w:right w:type="dxa" w:w="110"/>
            </w:tcMar>
            <w:vAlign w:val="center"/>
          </w:tcPr>
          <w:p>
            <w:pPr>
              <w:spacing w:before="0" w:after="80" w:line="280"/>
              <w:jc w:val="center"/>
            </w:pPr>
            <w:r>
              <w:rPr>
                <w:rFonts w:ascii="Arial" w:cs="Arial" w:eastAsia="Arial" w:hAnsi="Arial"/>
                <w:b/>
                <w:bCs/>
                <w:color w:val="FFFFFF"/>
                <w:sz w:val="20"/>
                <w:szCs w:val="20"/>
              </w:rPr>
              <w:t xml:space="preserve">Risk</w:t>
            </w:r>
          </w:p>
        </w:tc>
        <w:tc>
          <w:tcPr>
            <w:tcW w:type="dxa" w:w="800"/>
            <w:tcBorders>
              <w:top w:val="single" w:color="0D1B2A" w:sz="6"/>
              <w:left w:val="single" w:color="0D1B2A" w:sz="6"/>
              <w:bottom w:val="single" w:color="0D1B2A" w:sz="6"/>
              <w:right w:val="single" w:color="0D1B2A" w:sz="6"/>
            </w:tcBorders>
            <w:shd w:fill="0D1B2A" w:val="clear"/>
            <w:tcMar>
              <w:top w:type="dxa" w:w="90"/>
              <w:left w:type="dxa" w:w="110"/>
              <w:bottom w:type="dxa" w:w="90"/>
              <w:right w:type="dxa" w:w="110"/>
            </w:tcMar>
            <w:vAlign w:val="center"/>
          </w:tcPr>
          <w:p>
            <w:pPr>
              <w:spacing w:before="0" w:after="80" w:line="280"/>
              <w:jc w:val="center"/>
            </w:pPr>
            <w:r>
              <w:rPr>
                <w:rFonts w:ascii="Arial" w:cs="Arial" w:eastAsia="Arial" w:hAnsi="Arial"/>
                <w:b/>
                <w:bCs/>
                <w:color w:val="FFFFFF"/>
                <w:sz w:val="20"/>
                <w:szCs w:val="20"/>
              </w:rPr>
              <w:t xml:space="preserve">Severity</w:t>
            </w:r>
          </w:p>
        </w:tc>
        <w:tc>
          <w:tcPr>
            <w:tcW w:type="dxa" w:w="1000"/>
            <w:tcBorders>
              <w:top w:val="single" w:color="0D1B2A" w:sz="6"/>
              <w:left w:val="single" w:color="0D1B2A" w:sz="6"/>
              <w:bottom w:val="single" w:color="0D1B2A" w:sz="6"/>
              <w:right w:val="single" w:color="0D1B2A" w:sz="6"/>
            </w:tcBorders>
            <w:shd w:fill="0D1B2A" w:val="clear"/>
            <w:tcMar>
              <w:top w:type="dxa" w:w="90"/>
              <w:left w:type="dxa" w:w="110"/>
              <w:bottom w:type="dxa" w:w="90"/>
              <w:right w:type="dxa" w:w="110"/>
            </w:tcMar>
            <w:vAlign w:val="center"/>
          </w:tcPr>
          <w:p>
            <w:pPr>
              <w:spacing w:before="0" w:after="80" w:line="280"/>
              <w:jc w:val="center"/>
            </w:pPr>
            <w:r>
              <w:rPr>
                <w:rFonts w:ascii="Arial" w:cs="Arial" w:eastAsia="Arial" w:hAnsi="Arial"/>
                <w:b/>
                <w:bCs/>
                <w:color w:val="FFFFFF"/>
                <w:sz w:val="20"/>
                <w:szCs w:val="20"/>
              </w:rPr>
              <w:t xml:space="preserve">Status</w:t>
            </w:r>
          </w:p>
        </w:tc>
        <w:tc>
          <w:tcPr>
            <w:tcW w:type="dxa" w:w="5360"/>
            <w:tcBorders>
              <w:top w:val="single" w:color="0D1B2A" w:sz="6"/>
              <w:left w:val="single" w:color="0D1B2A" w:sz="6"/>
              <w:bottom w:val="single" w:color="0D1B2A" w:sz="6"/>
              <w:right w:val="single" w:color="0D1B2A" w:sz="6"/>
            </w:tcBorders>
            <w:shd w:fill="0D1B2A" w:val="clear"/>
            <w:tcMar>
              <w:top w:type="dxa" w:w="90"/>
              <w:left w:type="dxa" w:w="110"/>
              <w:bottom w:type="dxa" w:w="90"/>
              <w:right w:type="dxa" w:w="110"/>
            </w:tcMar>
            <w:vAlign w:val="center"/>
          </w:tcPr>
          <w:p>
            <w:pPr>
              <w:spacing w:before="0" w:after="80" w:line="280"/>
              <w:jc w:val="center"/>
            </w:pPr>
            <w:r>
              <w:rPr>
                <w:rFonts w:ascii="Arial" w:cs="Arial" w:eastAsia="Arial" w:hAnsi="Arial"/>
                <w:b/>
                <w:bCs/>
                <w:color w:val="FFFFFF"/>
                <w:sz w:val="20"/>
                <w:szCs w:val="20"/>
              </w:rPr>
              <w:t xml:space="preserve">Mitigation</w:t>
            </w:r>
          </w:p>
        </w:tc>
      </w:tr>
      <w:tr>
        <w:tc>
          <w:tcPr>
            <w:tcW w:type="dxa" w:w="220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left"/>
            </w:pPr>
            <w:r>
              <w:rPr>
                <w:rFonts w:ascii="Arial" w:cs="Arial" w:eastAsia="Arial" w:hAnsi="Arial"/>
                <w:b/>
                <w:bCs/>
                <w:color w:val="2D3340"/>
                <w:sz w:val="20"/>
                <w:szCs w:val="20"/>
              </w:rPr>
              <w:t xml:space="preserve">Regulatory risk — crypto payments</w:t>
            </w:r>
          </w:p>
        </w:tc>
        <w:tc>
          <w:tcPr>
            <w:tcW w:type="dxa" w:w="800"/>
            <w:tcBorders>
              <w:top w:val="single" w:color="EAECEF" w:sz="6"/>
              <w:left w:val="single" w:color="EAECEF" w:sz="6"/>
              <w:bottom w:val="single" w:color="EAECEF" w:sz="6"/>
              <w:right w:val="single" w:color="EAECEF" w:sz="6"/>
            </w:tcBorders>
            <w:shd w:fill="FDF0F0" w:val="clear"/>
            <w:tcMar>
              <w:top w:type="dxa" w:w="80"/>
              <w:left w:type="dxa" w:w="110"/>
              <w:bottom w:type="dxa" w:w="80"/>
              <w:right w:type="dxa" w:w="110"/>
            </w:tcMar>
            <w:vAlign w:val="center"/>
          </w:tcPr>
          <w:p>
            <w:pPr>
              <w:spacing w:before="0" w:after="80" w:line="280"/>
              <w:jc w:val="center"/>
            </w:pPr>
            <w:r>
              <w:rPr>
                <w:rFonts w:ascii="Arial" w:cs="Arial" w:eastAsia="Arial" w:hAnsi="Arial"/>
                <w:b/>
                <w:bCs/>
                <w:color w:val="8B1A1A"/>
                <w:sz w:val="20"/>
                <w:szCs w:val="20"/>
              </w:rPr>
              <w:t xml:space="preserve">HIGH</w:t>
            </w:r>
          </w:p>
        </w:tc>
        <w:tc>
          <w:tcPr>
            <w:tcW w:type="dxa" w:w="1000"/>
            <w:tcBorders>
              <w:top w:val="single" w:color="EAECEF" w:sz="6"/>
              <w:left w:val="single" w:color="EAECEF" w:sz="6"/>
              <w:bottom w:val="single" w:color="EAECEF" w:sz="6"/>
              <w:right w:val="single" w:color="EAECEF" w:sz="6"/>
            </w:tcBorders>
            <w:shd w:fill="E8F5EE" w:val="clear"/>
            <w:tcMar>
              <w:top w:type="dxa" w:w="80"/>
              <w:left w:type="dxa" w:w="110"/>
              <w:bottom w:type="dxa" w:w="80"/>
              <w:right w:type="dxa" w:w="110"/>
            </w:tcMar>
            <w:vAlign w:val="center"/>
          </w:tcPr>
          <w:p>
            <w:pPr>
              <w:spacing w:before="0" w:after="80" w:line="280"/>
              <w:jc w:val="center"/>
            </w:pPr>
            <w:r>
              <w:rPr>
                <w:rFonts w:ascii="Arial" w:cs="Arial" w:eastAsia="Arial" w:hAnsi="Arial"/>
                <w:b/>
                <w:bCs/>
                <w:color w:val="1A5C38"/>
                <w:sz w:val="20"/>
                <w:szCs w:val="20"/>
              </w:rPr>
              <w:t xml:space="preserve">MITIGATED</w:t>
            </w:r>
          </w:p>
        </w:tc>
        <w:tc>
          <w:tcPr>
            <w:tcW w:type="dxa" w:w="536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left"/>
            </w:pPr>
            <w:r>
              <w:rPr>
                <w:rFonts w:ascii="Arial" w:cs="Arial" w:eastAsia="Arial" w:hAnsi="Arial"/>
                <w:b w:val="false"/>
                <w:bCs w:val="false"/>
                <w:color w:val="2D3340"/>
                <w:sz w:val="20"/>
                <w:szCs w:val="20"/>
              </w:rPr>
              <w:t xml:space="preserve">QWKS operates on USDC (regulated stablecoin) and fiat rails simultaneously. If crypto rails face regulation, fiat ACH fallback activates automatically. Business is not dependent on unregulated tokens for core payment function.</w:t>
            </w:r>
          </w:p>
        </w:tc>
      </w:tr>
      <w:tr>
        <w:tc>
          <w:tcPr>
            <w:tcW w:type="dxa" w:w="220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left"/>
            </w:pPr>
            <w:r>
              <w:rPr>
                <w:rFonts w:ascii="Arial" w:cs="Arial" w:eastAsia="Arial" w:hAnsi="Arial"/>
                <w:b/>
                <w:bCs/>
                <w:color w:val="2D3340"/>
                <w:sz w:val="20"/>
                <w:szCs w:val="20"/>
              </w:rPr>
              <w:t xml:space="preserve">Adoption velocity risk</w:t>
            </w:r>
          </w:p>
        </w:tc>
        <w:tc>
          <w:tcPr>
            <w:tcW w:type="dxa" w:w="800"/>
            <w:tcBorders>
              <w:top w:val="single" w:color="EAECEF" w:sz="6"/>
              <w:left w:val="single" w:color="EAECEF" w:sz="6"/>
              <w:bottom w:val="single" w:color="EAECEF" w:sz="6"/>
              <w:right w:val="single" w:color="EAECEF" w:sz="6"/>
            </w:tcBorders>
            <w:shd w:fill="FDF6E3" w:val="clear"/>
            <w:tcMar>
              <w:top w:type="dxa" w:w="80"/>
              <w:left w:type="dxa" w:w="110"/>
              <w:bottom w:type="dxa" w:w="80"/>
              <w:right w:type="dxa" w:w="110"/>
            </w:tcMar>
            <w:vAlign w:val="center"/>
          </w:tcPr>
          <w:p>
            <w:pPr>
              <w:spacing w:before="0" w:after="80" w:line="280"/>
              <w:jc w:val="center"/>
            </w:pPr>
            <w:r>
              <w:rPr>
                <w:rFonts w:ascii="Arial" w:cs="Arial" w:eastAsia="Arial" w:hAnsi="Arial"/>
                <w:b/>
                <w:bCs/>
                <w:color w:val="B8860B"/>
                <w:sz w:val="20"/>
                <w:szCs w:val="20"/>
              </w:rPr>
              <w:t xml:space="preserve">MEDIUM</w:t>
            </w:r>
          </w:p>
        </w:tc>
        <w:tc>
          <w:tcPr>
            <w:tcW w:type="dxa" w:w="1000"/>
            <w:tcBorders>
              <w:top w:val="single" w:color="EAECEF" w:sz="6"/>
              <w:left w:val="single" w:color="EAECEF" w:sz="6"/>
              <w:bottom w:val="single" w:color="EAECEF" w:sz="6"/>
              <w:right w:val="single" w:color="EAECEF" w:sz="6"/>
            </w:tcBorders>
            <w:shd w:fill="FDF6E3" w:val="clear"/>
            <w:tcMar>
              <w:top w:type="dxa" w:w="80"/>
              <w:left w:type="dxa" w:w="110"/>
              <w:bottom w:type="dxa" w:w="80"/>
              <w:right w:type="dxa" w:w="110"/>
            </w:tcMar>
            <w:vAlign w:val="center"/>
          </w:tcPr>
          <w:p>
            <w:pPr>
              <w:spacing w:before="0" w:after="80" w:line="280"/>
              <w:jc w:val="center"/>
            </w:pPr>
            <w:r>
              <w:rPr>
                <w:rFonts w:ascii="Arial" w:cs="Arial" w:eastAsia="Arial" w:hAnsi="Arial"/>
                <w:b/>
                <w:bCs/>
                <w:color w:val="B8860B"/>
                <w:sz w:val="20"/>
                <w:szCs w:val="20"/>
              </w:rPr>
              <w:t xml:space="preserve">MANAGED</w:t>
            </w:r>
          </w:p>
        </w:tc>
        <w:tc>
          <w:tcPr>
            <w:tcW w:type="dxa" w:w="536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left"/>
            </w:pPr>
            <w:r>
              <w:rPr>
                <w:rFonts w:ascii="Arial" w:cs="Arial" w:eastAsia="Arial" w:hAnsi="Arial"/>
                <w:b w:val="false"/>
                <w:bCs w:val="false"/>
                <w:color w:val="2D3340"/>
                <w:sz w:val="20"/>
                <w:szCs w:val="20"/>
              </w:rPr>
              <w:t xml:space="preserve">10% of savings model removes the primary adoption barrier (risk). Businesses do not need to understand blockchain. They need to see a lower bill. The product works alongside existing processors during transition.</w:t>
            </w:r>
          </w:p>
        </w:tc>
      </w:tr>
      <w:tr>
        <w:tc>
          <w:tcPr>
            <w:tcW w:type="dxa" w:w="220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left"/>
            </w:pPr>
            <w:r>
              <w:rPr>
                <w:rFonts w:ascii="Arial" w:cs="Arial" w:eastAsia="Arial" w:hAnsi="Arial"/>
                <w:b/>
                <w:bCs/>
                <w:color w:val="2D3340"/>
                <w:sz w:val="20"/>
                <w:szCs w:val="20"/>
              </w:rPr>
              <w:t xml:space="preserve">Competition from Stripe/Square</w:t>
            </w:r>
          </w:p>
        </w:tc>
        <w:tc>
          <w:tcPr>
            <w:tcW w:type="dxa" w:w="800"/>
            <w:tcBorders>
              <w:top w:val="single" w:color="EAECEF" w:sz="6"/>
              <w:left w:val="single" w:color="EAECEF" w:sz="6"/>
              <w:bottom w:val="single" w:color="EAECEF" w:sz="6"/>
              <w:right w:val="single" w:color="EAECEF" w:sz="6"/>
            </w:tcBorders>
            <w:shd w:fill="FDF6E3" w:val="clear"/>
            <w:tcMar>
              <w:top w:type="dxa" w:w="80"/>
              <w:left w:type="dxa" w:w="110"/>
              <w:bottom w:type="dxa" w:w="80"/>
              <w:right w:type="dxa" w:w="110"/>
            </w:tcMar>
            <w:vAlign w:val="center"/>
          </w:tcPr>
          <w:p>
            <w:pPr>
              <w:spacing w:before="0" w:after="80" w:line="280"/>
              <w:jc w:val="center"/>
            </w:pPr>
            <w:r>
              <w:rPr>
                <w:rFonts w:ascii="Arial" w:cs="Arial" w:eastAsia="Arial" w:hAnsi="Arial"/>
                <w:b/>
                <w:bCs/>
                <w:color w:val="B8860B"/>
                <w:sz w:val="20"/>
                <w:szCs w:val="20"/>
              </w:rPr>
              <w:t xml:space="preserve">MEDIUM</w:t>
            </w:r>
          </w:p>
        </w:tc>
        <w:tc>
          <w:tcPr>
            <w:tcW w:type="dxa" w:w="1000"/>
            <w:tcBorders>
              <w:top w:val="single" w:color="EAECEF" w:sz="6"/>
              <w:left w:val="single" w:color="EAECEF" w:sz="6"/>
              <w:bottom w:val="single" w:color="EAECEF" w:sz="6"/>
              <w:right w:val="single" w:color="EAECEF" w:sz="6"/>
            </w:tcBorders>
            <w:shd w:fill="EEF3FB" w:val="clear"/>
            <w:tcMar>
              <w:top w:type="dxa" w:w="80"/>
              <w:left w:type="dxa" w:w="110"/>
              <w:bottom w:type="dxa" w:w="80"/>
              <w:right w:type="dxa" w:w="110"/>
            </w:tcMar>
            <w:vAlign w:val="center"/>
          </w:tcPr>
          <w:p>
            <w:pPr>
              <w:spacing w:before="0" w:after="80" w:line="280"/>
              <w:jc w:val="center"/>
            </w:pPr>
            <w:r>
              <w:rPr>
                <w:rFonts w:ascii="Arial" w:cs="Arial" w:eastAsia="Arial" w:hAnsi="Arial"/>
                <w:b/>
                <w:bCs/>
                <w:color w:val="2B5CE6"/>
                <w:sz w:val="20"/>
                <w:szCs w:val="20"/>
              </w:rPr>
              <w:t xml:space="preserve">STRUCTURAL</w:t>
            </w:r>
          </w:p>
        </w:tc>
        <w:tc>
          <w:tcPr>
            <w:tcW w:type="dxa" w:w="536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left"/>
            </w:pPr>
            <w:r>
              <w:rPr>
                <w:rFonts w:ascii="Arial" w:cs="Arial" w:eastAsia="Arial" w:hAnsi="Arial"/>
                <w:b w:val="false"/>
                <w:bCs w:val="false"/>
                <w:color w:val="2D3340"/>
                <w:sz w:val="20"/>
                <w:szCs w:val="20"/>
              </w:rPr>
              <w:t xml:space="preserve">Neither Stripe nor Square can offer 10% of savings because their margin is the 2.5% fee. Cutting that fee destroys their business. QWKS's cost structure makes this pricing permanently unavailable to legacy processors.</w:t>
            </w:r>
          </w:p>
        </w:tc>
      </w:tr>
      <w:tr>
        <w:tc>
          <w:tcPr>
            <w:tcW w:type="dxa" w:w="220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left"/>
            </w:pPr>
            <w:r>
              <w:rPr>
                <w:rFonts w:ascii="Arial" w:cs="Arial" w:eastAsia="Arial" w:hAnsi="Arial"/>
                <w:b/>
                <w:bCs/>
                <w:color w:val="2D3340"/>
                <w:sz w:val="20"/>
                <w:szCs w:val="20"/>
              </w:rPr>
              <w:t xml:space="preserve">LTN price volatility</w:t>
            </w:r>
          </w:p>
        </w:tc>
        <w:tc>
          <w:tcPr>
            <w:tcW w:type="dxa" w:w="800"/>
            <w:tcBorders>
              <w:top w:val="single" w:color="EAECEF" w:sz="6"/>
              <w:left w:val="single" w:color="EAECEF" w:sz="6"/>
              <w:bottom w:val="single" w:color="EAECEF" w:sz="6"/>
              <w:right w:val="single" w:color="EAECEF" w:sz="6"/>
            </w:tcBorders>
            <w:shd w:fill="FDF6E3" w:val="clear"/>
            <w:tcMar>
              <w:top w:type="dxa" w:w="80"/>
              <w:left w:type="dxa" w:w="110"/>
              <w:bottom w:type="dxa" w:w="80"/>
              <w:right w:type="dxa" w:w="110"/>
            </w:tcMar>
            <w:vAlign w:val="center"/>
          </w:tcPr>
          <w:p>
            <w:pPr>
              <w:spacing w:before="0" w:after="80" w:line="280"/>
              <w:jc w:val="center"/>
            </w:pPr>
            <w:r>
              <w:rPr>
                <w:rFonts w:ascii="Arial" w:cs="Arial" w:eastAsia="Arial" w:hAnsi="Arial"/>
                <w:b/>
                <w:bCs/>
                <w:color w:val="B8860B"/>
                <w:sz w:val="20"/>
                <w:szCs w:val="20"/>
              </w:rPr>
              <w:t xml:space="preserve">MEDIUM</w:t>
            </w:r>
          </w:p>
        </w:tc>
        <w:tc>
          <w:tcPr>
            <w:tcW w:type="dxa" w:w="1000"/>
            <w:tcBorders>
              <w:top w:val="single" w:color="EAECEF" w:sz="6"/>
              <w:left w:val="single" w:color="EAECEF" w:sz="6"/>
              <w:bottom w:val="single" w:color="EAECEF" w:sz="6"/>
              <w:right w:val="single" w:color="EAECEF" w:sz="6"/>
            </w:tcBorders>
            <w:shd w:fill="EEF3FB" w:val="clear"/>
            <w:tcMar>
              <w:top w:type="dxa" w:w="80"/>
              <w:left w:type="dxa" w:w="110"/>
              <w:bottom w:type="dxa" w:w="80"/>
              <w:right w:type="dxa" w:w="110"/>
            </w:tcMar>
            <w:vAlign w:val="center"/>
          </w:tcPr>
          <w:p>
            <w:pPr>
              <w:spacing w:before="0" w:after="80" w:line="280"/>
              <w:jc w:val="center"/>
            </w:pPr>
            <w:r>
              <w:rPr>
                <w:rFonts w:ascii="Arial" w:cs="Arial" w:eastAsia="Arial" w:hAnsi="Arial"/>
                <w:b/>
                <w:bCs/>
                <w:color w:val="2B5CE6"/>
                <w:sz w:val="20"/>
                <w:szCs w:val="20"/>
              </w:rPr>
              <w:t xml:space="preserve">ISOLATED</w:t>
            </w:r>
          </w:p>
        </w:tc>
        <w:tc>
          <w:tcPr>
            <w:tcW w:type="dxa" w:w="536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left"/>
            </w:pPr>
            <w:r>
              <w:rPr>
                <w:rFonts w:ascii="Arial" w:cs="Arial" w:eastAsia="Arial" w:hAnsi="Arial"/>
                <w:b w:val="false"/>
                <w:bCs w:val="false"/>
                <w:color w:val="2D3340"/>
                <w:sz w:val="20"/>
                <w:szCs w:val="20"/>
              </w:rPr>
              <w:t xml:space="preserve">Core QWKS fees are denominated in USD. LTN staking yield is an additive benefit, not a core feature. If LTN falls, the business still saves $14,995/year in card fees. LTN upside is bonus, not baseline.</w:t>
            </w:r>
          </w:p>
        </w:tc>
      </w:tr>
      <w:tr>
        <w:tc>
          <w:tcPr>
            <w:tcW w:type="dxa" w:w="220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left"/>
            </w:pPr>
            <w:r>
              <w:rPr>
                <w:rFonts w:ascii="Arial" w:cs="Arial" w:eastAsia="Arial" w:hAnsi="Arial"/>
                <w:b/>
                <w:bCs/>
                <w:color w:val="2D3340"/>
                <w:sz w:val="20"/>
                <w:szCs w:val="20"/>
              </w:rPr>
              <w:t xml:space="preserve">Smart contract vulnerability</w:t>
            </w:r>
          </w:p>
        </w:tc>
        <w:tc>
          <w:tcPr>
            <w:tcW w:type="dxa" w:w="800"/>
            <w:tcBorders>
              <w:top w:val="single" w:color="EAECEF" w:sz="6"/>
              <w:left w:val="single" w:color="EAECEF" w:sz="6"/>
              <w:bottom w:val="single" w:color="EAECEF" w:sz="6"/>
              <w:right w:val="single" w:color="EAECEF" w:sz="6"/>
            </w:tcBorders>
            <w:shd w:fill="FDF0F0" w:val="clear"/>
            <w:tcMar>
              <w:top w:type="dxa" w:w="80"/>
              <w:left w:type="dxa" w:w="110"/>
              <w:bottom w:type="dxa" w:w="80"/>
              <w:right w:type="dxa" w:w="110"/>
            </w:tcMar>
            <w:vAlign w:val="center"/>
          </w:tcPr>
          <w:p>
            <w:pPr>
              <w:spacing w:before="0" w:after="80" w:line="280"/>
              <w:jc w:val="center"/>
            </w:pPr>
            <w:r>
              <w:rPr>
                <w:rFonts w:ascii="Arial" w:cs="Arial" w:eastAsia="Arial" w:hAnsi="Arial"/>
                <w:b/>
                <w:bCs/>
                <w:color w:val="8B1A1A"/>
                <w:sz w:val="20"/>
                <w:szCs w:val="20"/>
              </w:rPr>
              <w:t xml:space="preserve">HIGH</w:t>
            </w:r>
          </w:p>
        </w:tc>
        <w:tc>
          <w:tcPr>
            <w:tcW w:type="dxa" w:w="1000"/>
            <w:tcBorders>
              <w:top w:val="single" w:color="EAECEF" w:sz="6"/>
              <w:left w:val="single" w:color="EAECEF" w:sz="6"/>
              <w:bottom w:val="single" w:color="EAECEF" w:sz="6"/>
              <w:right w:val="single" w:color="EAECEF" w:sz="6"/>
            </w:tcBorders>
            <w:shd w:fill="E8F5EE" w:val="clear"/>
            <w:tcMar>
              <w:top w:type="dxa" w:w="80"/>
              <w:left w:type="dxa" w:w="110"/>
              <w:bottom w:type="dxa" w:w="80"/>
              <w:right w:type="dxa" w:w="110"/>
            </w:tcMar>
            <w:vAlign w:val="center"/>
          </w:tcPr>
          <w:p>
            <w:pPr>
              <w:spacing w:before="0" w:after="80" w:line="280"/>
              <w:jc w:val="center"/>
            </w:pPr>
            <w:r>
              <w:rPr>
                <w:rFonts w:ascii="Arial" w:cs="Arial" w:eastAsia="Arial" w:hAnsi="Arial"/>
                <w:b/>
                <w:bCs/>
                <w:color w:val="1A5C38"/>
                <w:sz w:val="20"/>
                <w:szCs w:val="20"/>
              </w:rPr>
              <w:t xml:space="preserve">MITIGATED</w:t>
            </w:r>
          </w:p>
        </w:tc>
        <w:tc>
          <w:tcPr>
            <w:tcW w:type="dxa" w:w="536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left"/>
            </w:pPr>
            <w:r>
              <w:rPr>
                <w:rFonts w:ascii="Arial" w:cs="Arial" w:eastAsia="Arial" w:hAnsi="Arial"/>
                <w:b w:val="false"/>
                <w:bCs w:val="false"/>
                <w:color w:val="2D3340"/>
                <w:sz w:val="20"/>
                <w:szCs w:val="20"/>
              </w:rPr>
              <w:t xml:space="preserve">Annual third-party audits from top-4 security firms. $60K/year security testing budget. Insurance coverage for smart contract failure. Upgradeable proxy pattern allows patching without fund migration.</w:t>
            </w:r>
          </w:p>
        </w:tc>
      </w:tr>
      <w:tr>
        <w:tc>
          <w:tcPr>
            <w:tcW w:type="dxa" w:w="220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left"/>
            </w:pPr>
            <w:r>
              <w:rPr>
                <w:rFonts w:ascii="Arial" w:cs="Arial" w:eastAsia="Arial" w:hAnsi="Arial"/>
                <w:b/>
                <w:bCs/>
                <w:color w:val="2D3340"/>
                <w:sz w:val="20"/>
                <w:szCs w:val="20"/>
              </w:rPr>
              <w:t xml:space="preserve">Base L2 infrastructure risk</w:t>
            </w:r>
          </w:p>
        </w:tc>
        <w:tc>
          <w:tcPr>
            <w:tcW w:type="dxa" w:w="800"/>
            <w:tcBorders>
              <w:top w:val="single" w:color="EAECEF" w:sz="6"/>
              <w:left w:val="single" w:color="EAECEF" w:sz="6"/>
              <w:bottom w:val="single" w:color="EAECEF" w:sz="6"/>
              <w:right w:val="single" w:color="EAECEF" w:sz="6"/>
            </w:tcBorders>
            <w:shd w:fill="FDF6E3" w:val="clear"/>
            <w:tcMar>
              <w:top w:type="dxa" w:w="80"/>
              <w:left w:type="dxa" w:w="110"/>
              <w:bottom w:type="dxa" w:w="80"/>
              <w:right w:type="dxa" w:w="110"/>
            </w:tcMar>
            <w:vAlign w:val="center"/>
          </w:tcPr>
          <w:p>
            <w:pPr>
              <w:spacing w:before="0" w:after="80" w:line="280"/>
              <w:jc w:val="center"/>
            </w:pPr>
            <w:r>
              <w:rPr>
                <w:rFonts w:ascii="Arial" w:cs="Arial" w:eastAsia="Arial" w:hAnsi="Arial"/>
                <w:b/>
                <w:bCs/>
                <w:color w:val="B8860B"/>
                <w:sz w:val="20"/>
                <w:szCs w:val="20"/>
              </w:rPr>
              <w:t xml:space="preserve">LOW</w:t>
            </w:r>
          </w:p>
        </w:tc>
        <w:tc>
          <w:tcPr>
            <w:tcW w:type="dxa" w:w="1000"/>
            <w:tcBorders>
              <w:top w:val="single" w:color="EAECEF" w:sz="6"/>
              <w:left w:val="single" w:color="EAECEF" w:sz="6"/>
              <w:bottom w:val="single" w:color="EAECEF" w:sz="6"/>
              <w:right w:val="single" w:color="EAECEF" w:sz="6"/>
            </w:tcBorders>
            <w:shd w:fill="E8F5EE" w:val="clear"/>
            <w:tcMar>
              <w:top w:type="dxa" w:w="80"/>
              <w:left w:type="dxa" w:w="110"/>
              <w:bottom w:type="dxa" w:w="80"/>
              <w:right w:type="dxa" w:w="110"/>
            </w:tcMar>
            <w:vAlign w:val="center"/>
          </w:tcPr>
          <w:p>
            <w:pPr>
              <w:spacing w:before="0" w:after="80" w:line="280"/>
              <w:jc w:val="center"/>
            </w:pPr>
            <w:r>
              <w:rPr>
                <w:rFonts w:ascii="Arial" w:cs="Arial" w:eastAsia="Arial" w:hAnsi="Arial"/>
                <w:b/>
                <w:bCs/>
                <w:color w:val="1A5C38"/>
                <w:sz w:val="20"/>
                <w:szCs w:val="20"/>
              </w:rPr>
              <w:t xml:space="preserve">MITIGATED</w:t>
            </w:r>
          </w:p>
        </w:tc>
        <w:tc>
          <w:tcPr>
            <w:tcW w:type="dxa" w:w="536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left"/>
            </w:pPr>
            <w:r>
              <w:rPr>
                <w:rFonts w:ascii="Arial" w:cs="Arial" w:eastAsia="Arial" w:hAnsi="Arial"/>
                <w:b w:val="false"/>
                <w:bCs w:val="false"/>
                <w:color w:val="2D3340"/>
                <w:sz w:val="20"/>
                <w:szCs w:val="20"/>
              </w:rPr>
              <w:t xml:space="preserve">Coinbase-backed L2, largest in ecosystem. If Base fails, standard EVM compatibility allows migration to Optimism, Arbitrum, or Ethereum mainnet within 72 hours. No vendor lock-in at protocol level.</w:t>
            </w:r>
          </w:p>
        </w:tc>
      </w:tr>
      <w:tr>
        <w:tc>
          <w:tcPr>
            <w:tcW w:type="dxa" w:w="220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left"/>
            </w:pPr>
            <w:r>
              <w:rPr>
                <w:rFonts w:ascii="Arial" w:cs="Arial" w:eastAsia="Arial" w:hAnsi="Arial"/>
                <w:b/>
                <w:bCs/>
                <w:color w:val="2D3340"/>
                <w:sz w:val="20"/>
                <w:szCs w:val="20"/>
              </w:rPr>
              <w:t xml:space="preserve">"Standard" pricing model risk</w:t>
            </w:r>
          </w:p>
        </w:tc>
        <w:tc>
          <w:tcPr>
            <w:tcW w:type="dxa" w:w="800"/>
            <w:tcBorders>
              <w:top w:val="single" w:color="EAECEF" w:sz="6"/>
              <w:left w:val="single" w:color="EAECEF" w:sz="6"/>
              <w:bottom w:val="single" w:color="EAECEF" w:sz="6"/>
              <w:right w:val="single" w:color="EAECEF" w:sz="6"/>
            </w:tcBorders>
            <w:shd w:fill="FDF6E3" w:val="clear"/>
            <w:tcMar>
              <w:top w:type="dxa" w:w="80"/>
              <w:left w:type="dxa" w:w="110"/>
              <w:bottom w:type="dxa" w:w="80"/>
              <w:right w:type="dxa" w:w="110"/>
            </w:tcMar>
            <w:vAlign w:val="center"/>
          </w:tcPr>
          <w:p>
            <w:pPr>
              <w:spacing w:before="0" w:after="80" w:line="280"/>
              <w:jc w:val="center"/>
            </w:pPr>
            <w:r>
              <w:rPr>
                <w:rFonts w:ascii="Arial" w:cs="Arial" w:eastAsia="Arial" w:hAnsi="Arial"/>
                <w:b/>
                <w:bCs/>
                <w:color w:val="B8860B"/>
                <w:sz w:val="20"/>
                <w:szCs w:val="20"/>
              </w:rPr>
              <w:t xml:space="preserve">MEDIUM</w:t>
            </w:r>
          </w:p>
        </w:tc>
        <w:tc>
          <w:tcPr>
            <w:tcW w:type="dxa" w:w="1000"/>
            <w:tcBorders>
              <w:top w:val="single" w:color="EAECEF" w:sz="6"/>
              <w:left w:val="single" w:color="EAECEF" w:sz="6"/>
              <w:bottom w:val="single" w:color="EAECEF" w:sz="6"/>
              <w:right w:val="single" w:color="EAECEF" w:sz="6"/>
            </w:tcBorders>
            <w:shd w:fill="EEF3FB" w:val="clear"/>
            <w:tcMar>
              <w:top w:type="dxa" w:w="80"/>
              <w:left w:type="dxa" w:w="110"/>
              <w:bottom w:type="dxa" w:w="80"/>
              <w:right w:type="dxa" w:w="110"/>
            </w:tcMar>
            <w:vAlign w:val="center"/>
          </w:tcPr>
          <w:p>
            <w:pPr>
              <w:spacing w:before="0" w:after="80" w:line="280"/>
              <w:jc w:val="center"/>
            </w:pPr>
            <w:r>
              <w:rPr>
                <w:rFonts w:ascii="Arial" w:cs="Arial" w:eastAsia="Arial" w:hAnsi="Arial"/>
                <w:b/>
                <w:bCs/>
                <w:color w:val="2B5CE6"/>
                <w:sz w:val="20"/>
                <w:szCs w:val="20"/>
              </w:rPr>
              <w:t xml:space="preserve">SOLVED</w:t>
            </w:r>
          </w:p>
        </w:tc>
        <w:tc>
          <w:tcPr>
            <w:tcW w:type="dxa" w:w="536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left"/>
            </w:pPr>
            <w:r>
              <w:rPr>
                <w:rFonts w:ascii="Arial" w:cs="Arial" w:eastAsia="Arial" w:hAnsi="Arial"/>
                <w:b w:val="false"/>
                <w:bCs w:val="false"/>
                <w:color w:val="2D3340"/>
                <w:sz w:val="20"/>
                <w:szCs w:val="20"/>
              </w:rPr>
              <w:t xml:space="preserve">When QWKS becomes standard and Visa savings disappear: LTN staking yield covers or exceeds subscription fee. Data products, QWKS Capital, and identity services replace savings as the primary value drivers. See Section 5.</w:t>
            </w:r>
          </w:p>
        </w:tc>
      </w:tr>
    </w:tbl>
    <w:p>
      <w:pPr>
        <w:pageBreakBefore/>
        <w:spacing w:before="0" w:after="0"/>
      </w:pPr>
      <w:fldSimple w:instr="[object Object]"/>
    </w:p>
    <w:p>
      <w:pPr>
        <w:spacing w:before="200" w:after="0"/>
      </w:pPr>
    </w:p>
    <w:p>
      <w:pPr>
        <w:spacing w:before="0" w:after="50" w:line="280"/>
        <w:jc w:val="left"/>
      </w:pPr>
      <w:r>
        <w:rPr>
          <w:rFonts w:ascii="Arial" w:cs="Arial" w:eastAsia="Arial" w:hAnsi="Arial"/>
          <w:b/>
          <w:bCs/>
          <w:color w:val="2B5CE6"/>
          <w:sz w:val="15"/>
          <w:szCs w:val="15"/>
        </w:rPr>
        <w:t xml:space="preserve">SECTION 9</w:t>
      </w:r>
    </w:p>
    <w:p>
      <w:pPr>
        <w:pStyle w:val="Heading1"/>
        <w:spacing w:before="0" w:after="80"/>
      </w:pPr>
      <w:r>
        <w:rPr>
          <w:rFonts w:ascii="Georgia" w:cs="Georgia" w:eastAsia="Georgia" w:hAnsi="Georgia"/>
          <w:b/>
          <w:bCs/>
          <w:color w:val="0D1B2A"/>
          <w:sz w:val="34"/>
          <w:szCs w:val="34"/>
        </w:rPr>
        <w:t xml:space="preserve">Use of Proceeds</w:t>
      </w:r>
    </w:p>
    <w:p>
      <w:pPr>
        <w:pBdr>
          <w:bottom w:val="single" w:color="D4A853" w:sz="12" w:space="1"/>
        </w:pBdr>
        <w:spacing w:before="0" w:after="100"/>
      </w:pPr>
    </w:p>
    <w:p>
      <w:pPr>
        <w:spacing w:before="0" w:after="100" w:line="290"/>
        <w:jc w:val="left"/>
      </w:pPr>
      <w:r>
        <w:rPr>
          <w:rFonts w:ascii="Georgia" w:cs="Georgia" w:eastAsia="Georgia" w:hAnsi="Georgia"/>
          <w:color w:val="2D3340"/>
          <w:sz w:val="21"/>
          <w:szCs w:val="21"/>
        </w:rPr>
        <w:t xml:space="preserve">The $3.5M seed raise is structured to achieve EBITDA-positive operations within 14 months without requiring a follow-on raise. The company reaches sustainable cash generation at approximately 1,200 QWKS business customers — a number achievable within the funding runway with the proposed sales headcount.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c>
          <w:tcPr>
            <w:tcW w:type="dxa" w:w="2800"/>
            <w:tcBorders>
              <w:top w:val="single" w:color="0D1B2A" w:sz="6"/>
              <w:left w:val="single" w:color="0D1B2A" w:sz="6"/>
              <w:bottom w:val="single" w:color="0D1B2A" w:sz="6"/>
              <w:right w:val="single" w:color="0D1B2A" w:sz="6"/>
            </w:tcBorders>
            <w:shd w:fill="0D1B2A" w:val="clear"/>
            <w:tcMar>
              <w:top w:type="dxa" w:w="90"/>
              <w:left w:type="dxa" w:w="110"/>
              <w:bottom w:type="dxa" w:w="90"/>
              <w:right w:type="dxa" w:w="110"/>
            </w:tcMar>
            <w:vAlign w:val="center"/>
          </w:tcPr>
          <w:p>
            <w:pPr>
              <w:spacing w:before="0" w:after="80" w:line="280"/>
              <w:jc w:val="center"/>
            </w:pPr>
            <w:r>
              <w:rPr>
                <w:rFonts w:ascii="Arial" w:cs="Arial" w:eastAsia="Arial" w:hAnsi="Arial"/>
                <w:b/>
                <w:bCs/>
                <w:color w:val="FFFFFF"/>
                <w:sz w:val="20"/>
                <w:szCs w:val="20"/>
              </w:rPr>
              <w:t xml:space="preserve">Category</w:t>
            </w:r>
          </w:p>
        </w:tc>
        <w:tc>
          <w:tcPr>
            <w:tcW w:type="dxa" w:w="1400"/>
            <w:tcBorders>
              <w:top w:val="single" w:color="0D1B2A" w:sz="6"/>
              <w:left w:val="single" w:color="0D1B2A" w:sz="6"/>
              <w:bottom w:val="single" w:color="0D1B2A" w:sz="6"/>
              <w:right w:val="single" w:color="0D1B2A" w:sz="6"/>
            </w:tcBorders>
            <w:shd w:fill="0D1B2A" w:val="clear"/>
            <w:tcMar>
              <w:top w:type="dxa" w:w="90"/>
              <w:left w:type="dxa" w:w="110"/>
              <w:bottom w:type="dxa" w:w="90"/>
              <w:right w:type="dxa" w:w="110"/>
            </w:tcMar>
            <w:vAlign w:val="center"/>
          </w:tcPr>
          <w:p>
            <w:pPr>
              <w:spacing w:before="0" w:after="80" w:line="280"/>
              <w:jc w:val="center"/>
            </w:pPr>
            <w:r>
              <w:rPr>
                <w:rFonts w:ascii="Arial" w:cs="Arial" w:eastAsia="Arial" w:hAnsi="Arial"/>
                <w:b/>
                <w:bCs/>
                <w:color w:val="FFFFFF"/>
                <w:sz w:val="20"/>
                <w:szCs w:val="20"/>
              </w:rPr>
              <w:t xml:space="preserve">Amount</w:t>
            </w:r>
          </w:p>
        </w:tc>
        <w:tc>
          <w:tcPr>
            <w:tcW w:type="dxa" w:w="1400"/>
            <w:tcBorders>
              <w:top w:val="single" w:color="0D1B2A" w:sz="6"/>
              <w:left w:val="single" w:color="0D1B2A" w:sz="6"/>
              <w:bottom w:val="single" w:color="0D1B2A" w:sz="6"/>
              <w:right w:val="single" w:color="0D1B2A" w:sz="6"/>
            </w:tcBorders>
            <w:shd w:fill="0D1B2A" w:val="clear"/>
            <w:tcMar>
              <w:top w:type="dxa" w:w="90"/>
              <w:left w:type="dxa" w:w="110"/>
              <w:bottom w:type="dxa" w:w="90"/>
              <w:right w:type="dxa" w:w="110"/>
            </w:tcMar>
            <w:vAlign w:val="center"/>
          </w:tcPr>
          <w:p>
            <w:pPr>
              <w:spacing w:before="0" w:after="80" w:line="280"/>
              <w:jc w:val="center"/>
            </w:pPr>
            <w:r>
              <w:rPr>
                <w:rFonts w:ascii="Arial" w:cs="Arial" w:eastAsia="Arial" w:hAnsi="Arial"/>
                <w:b/>
                <w:bCs/>
                <w:color w:val="FFFFFF"/>
                <w:sz w:val="20"/>
                <w:szCs w:val="20"/>
              </w:rPr>
              <w:t xml:space="preserve">% of Raise</w:t>
            </w:r>
          </w:p>
        </w:tc>
        <w:tc>
          <w:tcPr>
            <w:tcW w:type="dxa" w:w="3760"/>
            <w:tcBorders>
              <w:top w:val="single" w:color="0D1B2A" w:sz="6"/>
              <w:left w:val="single" w:color="0D1B2A" w:sz="6"/>
              <w:bottom w:val="single" w:color="0D1B2A" w:sz="6"/>
              <w:right w:val="single" w:color="0D1B2A" w:sz="6"/>
            </w:tcBorders>
            <w:shd w:fill="0D1B2A" w:val="clear"/>
            <w:tcMar>
              <w:top w:type="dxa" w:w="90"/>
              <w:left w:type="dxa" w:w="110"/>
              <w:bottom w:type="dxa" w:w="90"/>
              <w:right w:type="dxa" w:w="110"/>
            </w:tcMar>
            <w:vAlign w:val="center"/>
          </w:tcPr>
          <w:p>
            <w:pPr>
              <w:spacing w:before="0" w:after="80" w:line="280"/>
              <w:jc w:val="center"/>
            </w:pPr>
            <w:r>
              <w:rPr>
                <w:rFonts w:ascii="Arial" w:cs="Arial" w:eastAsia="Arial" w:hAnsi="Arial"/>
                <w:b/>
                <w:bCs/>
                <w:color w:val="FFFFFF"/>
                <w:sz w:val="20"/>
                <w:szCs w:val="20"/>
              </w:rPr>
              <w:t xml:space="preserve">Specific Allocation</w:t>
            </w:r>
          </w:p>
        </w:tc>
      </w:tr>
      <w:tr>
        <w:tc>
          <w:tcPr>
            <w:tcW w:type="dxa" w:w="280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left"/>
            </w:pPr>
            <w:r>
              <w:rPr>
                <w:rFonts w:ascii="Arial" w:cs="Arial" w:eastAsia="Arial" w:hAnsi="Arial"/>
                <w:b/>
                <w:bCs/>
                <w:color w:val="0D1B2A"/>
                <w:sz w:val="20"/>
                <w:szCs w:val="20"/>
              </w:rPr>
              <w:t xml:space="preserve">Engineering &amp; Product</w:t>
            </w:r>
          </w:p>
        </w:tc>
        <w:tc>
          <w:tcPr>
            <w:tcW w:type="dxa" w:w="1400"/>
            <w:tcBorders>
              <w:top w:val="single" w:color="EAECEF" w:sz="6"/>
              <w:left w:val="single" w:color="EAECEF" w:sz="6"/>
              <w:bottom w:val="single" w:color="EAECEF" w:sz="6"/>
              <w:right w:val="single" w:color="EAECEF" w:sz="6"/>
            </w:tcBorders>
            <w:shd w:fill="FDF6E3" w:val="clear"/>
            <w:tcMar>
              <w:top w:type="dxa" w:w="80"/>
              <w:left w:type="dxa" w:w="110"/>
              <w:bottom w:type="dxa" w:w="80"/>
              <w:right w:type="dxa" w:w="110"/>
            </w:tcMar>
            <w:vAlign w:val="center"/>
          </w:tcPr>
          <w:p>
            <w:pPr>
              <w:spacing w:before="0" w:after="80" w:line="280"/>
              <w:jc w:val="center"/>
            </w:pPr>
            <w:r>
              <w:rPr>
                <w:rFonts w:ascii="Arial" w:cs="Arial" w:eastAsia="Arial" w:hAnsi="Arial"/>
                <w:b/>
                <w:bCs/>
                <w:color w:val="B8860B"/>
                <w:sz w:val="20"/>
                <w:szCs w:val="20"/>
              </w:rPr>
              <w:t xml:space="preserve">$1,575,000</w:t>
            </w:r>
          </w:p>
        </w:tc>
        <w:tc>
          <w:tcPr>
            <w:tcW w:type="dxa" w:w="140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5C6470"/>
                <w:sz w:val="20"/>
                <w:szCs w:val="20"/>
              </w:rPr>
              <w:t xml:space="preserve">45%</w:t>
            </w:r>
          </w:p>
        </w:tc>
        <w:tc>
          <w:tcPr>
            <w:tcW w:type="dxa" w:w="376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left"/>
            </w:pPr>
            <w:r>
              <w:rPr>
                <w:rFonts w:ascii="Arial" w:cs="Arial" w:eastAsia="Arial" w:hAnsi="Arial"/>
                <w:b w:val="false"/>
                <w:bCs w:val="false"/>
                <w:color w:val="2D3340"/>
                <w:sz w:val="20"/>
                <w:szCs w:val="20"/>
              </w:rPr>
              <w:t xml:space="preserve">4 senior engineers (full-stack, smart contract, mobile, security). Complete QWKS integrations, AllCard v2, AutoIQ production launch.</w:t>
            </w:r>
          </w:p>
        </w:tc>
      </w:tr>
      <w:tr>
        <w:tc>
          <w:tcPr>
            <w:tcW w:type="dxa" w:w="280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left"/>
            </w:pPr>
            <w:r>
              <w:rPr>
                <w:rFonts w:ascii="Arial" w:cs="Arial" w:eastAsia="Arial" w:hAnsi="Arial"/>
                <w:b/>
                <w:bCs/>
                <w:color w:val="0D1B2A"/>
                <w:sz w:val="20"/>
                <w:szCs w:val="20"/>
              </w:rPr>
              <w:t xml:space="preserve">Business Development &amp; Sales</w:t>
            </w:r>
          </w:p>
        </w:tc>
        <w:tc>
          <w:tcPr>
            <w:tcW w:type="dxa" w:w="1400"/>
            <w:tcBorders>
              <w:top w:val="single" w:color="EAECEF" w:sz="6"/>
              <w:left w:val="single" w:color="EAECEF" w:sz="6"/>
              <w:bottom w:val="single" w:color="EAECEF" w:sz="6"/>
              <w:right w:val="single" w:color="EAECEF" w:sz="6"/>
            </w:tcBorders>
            <w:shd w:fill="FDF6E3" w:val="clear"/>
            <w:tcMar>
              <w:top w:type="dxa" w:w="80"/>
              <w:left w:type="dxa" w:w="110"/>
              <w:bottom w:type="dxa" w:w="80"/>
              <w:right w:type="dxa" w:w="110"/>
            </w:tcMar>
            <w:vAlign w:val="center"/>
          </w:tcPr>
          <w:p>
            <w:pPr>
              <w:spacing w:before="0" w:after="80" w:line="280"/>
              <w:jc w:val="center"/>
            </w:pPr>
            <w:r>
              <w:rPr>
                <w:rFonts w:ascii="Arial" w:cs="Arial" w:eastAsia="Arial" w:hAnsi="Arial"/>
                <w:b/>
                <w:bCs/>
                <w:color w:val="B8860B"/>
                <w:sz w:val="20"/>
                <w:szCs w:val="20"/>
              </w:rPr>
              <w:t xml:space="preserve">$875,000</w:t>
            </w:r>
          </w:p>
        </w:tc>
        <w:tc>
          <w:tcPr>
            <w:tcW w:type="dxa" w:w="140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5C6470"/>
                <w:sz w:val="20"/>
                <w:szCs w:val="20"/>
              </w:rPr>
              <w:t xml:space="preserve">25%</w:t>
            </w:r>
          </w:p>
        </w:tc>
        <w:tc>
          <w:tcPr>
            <w:tcW w:type="dxa" w:w="376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left"/>
            </w:pPr>
            <w:r>
              <w:rPr>
                <w:rFonts w:ascii="Arial" w:cs="Arial" w:eastAsia="Arial" w:hAnsi="Arial"/>
                <w:b w:val="false"/>
                <w:bCs w:val="false"/>
                <w:color w:val="2D3340"/>
                <w:sz w:val="20"/>
                <w:szCs w:val="20"/>
              </w:rPr>
              <w:t xml:space="preserve">3 BD reps targeting SMB market. Partner integrations (POS systems, accounting software). Channel partnerships with accountants/bookkeepers.</w:t>
            </w:r>
          </w:p>
        </w:tc>
      </w:tr>
      <w:tr>
        <w:tc>
          <w:tcPr>
            <w:tcW w:type="dxa" w:w="280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left"/>
            </w:pPr>
            <w:r>
              <w:rPr>
                <w:rFonts w:ascii="Arial" w:cs="Arial" w:eastAsia="Arial" w:hAnsi="Arial"/>
                <w:b/>
                <w:bCs/>
                <w:color w:val="0D1B2A"/>
                <w:sz w:val="20"/>
                <w:szCs w:val="20"/>
              </w:rPr>
              <w:t xml:space="preserve">Legal, IP &amp; Compliance</w:t>
            </w:r>
          </w:p>
        </w:tc>
        <w:tc>
          <w:tcPr>
            <w:tcW w:type="dxa" w:w="1400"/>
            <w:tcBorders>
              <w:top w:val="single" w:color="EAECEF" w:sz="6"/>
              <w:left w:val="single" w:color="EAECEF" w:sz="6"/>
              <w:bottom w:val="single" w:color="EAECEF" w:sz="6"/>
              <w:right w:val="single" w:color="EAECEF" w:sz="6"/>
            </w:tcBorders>
            <w:shd w:fill="FDF6E3" w:val="clear"/>
            <w:tcMar>
              <w:top w:type="dxa" w:w="80"/>
              <w:left w:type="dxa" w:w="110"/>
              <w:bottom w:type="dxa" w:w="80"/>
              <w:right w:type="dxa" w:w="110"/>
            </w:tcMar>
            <w:vAlign w:val="center"/>
          </w:tcPr>
          <w:p>
            <w:pPr>
              <w:spacing w:before="0" w:after="80" w:line="280"/>
              <w:jc w:val="center"/>
            </w:pPr>
            <w:r>
              <w:rPr>
                <w:rFonts w:ascii="Arial" w:cs="Arial" w:eastAsia="Arial" w:hAnsi="Arial"/>
                <w:b/>
                <w:bCs/>
                <w:color w:val="B8860B"/>
                <w:sz w:val="20"/>
                <w:szCs w:val="20"/>
              </w:rPr>
              <w:t xml:space="preserve">$525,000</w:t>
            </w:r>
          </w:p>
        </w:tc>
        <w:tc>
          <w:tcPr>
            <w:tcW w:type="dxa" w:w="140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5C6470"/>
                <w:sz w:val="20"/>
                <w:szCs w:val="20"/>
              </w:rPr>
              <w:t xml:space="preserve">15%</w:t>
            </w:r>
          </w:p>
        </w:tc>
        <w:tc>
          <w:tcPr>
            <w:tcW w:type="dxa" w:w="3760"/>
            <w:tcBorders>
              <w:top w:val="single" w:color="EAECEF" w:sz="6"/>
              <w:left w:val="single" w:color="EAECEF" w:sz="6"/>
              <w:bottom w:val="single" w:color="EAECEF" w:sz="6"/>
              <w:right w:val="single" w:color="EAECEF" w:sz="6"/>
            </w:tcBorders>
            <w:shd w:fill="F7F8FA" w:val="clear"/>
            <w:tcMar>
              <w:top w:type="dxa" w:w="80"/>
              <w:left w:type="dxa" w:w="110"/>
              <w:bottom w:type="dxa" w:w="80"/>
              <w:right w:type="dxa" w:w="110"/>
            </w:tcMar>
            <w:vAlign w:val="center"/>
          </w:tcPr>
          <w:p>
            <w:pPr>
              <w:spacing w:before="0" w:after="80" w:line="280"/>
              <w:jc w:val="left"/>
            </w:pPr>
            <w:r>
              <w:rPr>
                <w:rFonts w:ascii="Arial" w:cs="Arial" w:eastAsia="Arial" w:hAnsi="Arial"/>
                <w:b w:val="false"/>
                <w:bCs w:val="false"/>
                <w:color w:val="2D3340"/>
                <w:sz w:val="20"/>
                <w:szCs w:val="20"/>
              </w:rPr>
              <w:t xml:space="preserve">Provisional patent filings (5 innovations). Regulatory counsel for payments + crypto. SOC 2 Type II certification. CCPA/GDPR compliance audit.</w:t>
            </w:r>
          </w:p>
        </w:tc>
      </w:tr>
      <w:tr>
        <w:tc>
          <w:tcPr>
            <w:tcW w:type="dxa" w:w="280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left"/>
            </w:pPr>
            <w:r>
              <w:rPr>
                <w:rFonts w:ascii="Arial" w:cs="Arial" w:eastAsia="Arial" w:hAnsi="Arial"/>
                <w:b/>
                <w:bCs/>
                <w:color w:val="0D1B2A"/>
                <w:sz w:val="20"/>
                <w:szCs w:val="20"/>
              </w:rPr>
              <w:t xml:space="preserve">Operations &amp; Infrastructure</w:t>
            </w:r>
          </w:p>
        </w:tc>
        <w:tc>
          <w:tcPr>
            <w:tcW w:type="dxa" w:w="1400"/>
            <w:tcBorders>
              <w:top w:val="single" w:color="EAECEF" w:sz="6"/>
              <w:left w:val="single" w:color="EAECEF" w:sz="6"/>
              <w:bottom w:val="single" w:color="EAECEF" w:sz="6"/>
              <w:right w:val="single" w:color="EAECEF" w:sz="6"/>
            </w:tcBorders>
            <w:shd w:fill="FDF6E3" w:val="clear"/>
            <w:tcMar>
              <w:top w:type="dxa" w:w="80"/>
              <w:left w:type="dxa" w:w="110"/>
              <w:bottom w:type="dxa" w:w="80"/>
              <w:right w:type="dxa" w:w="110"/>
            </w:tcMar>
            <w:vAlign w:val="center"/>
          </w:tcPr>
          <w:p>
            <w:pPr>
              <w:spacing w:before="0" w:after="80" w:line="280"/>
              <w:jc w:val="center"/>
            </w:pPr>
            <w:r>
              <w:rPr>
                <w:rFonts w:ascii="Arial" w:cs="Arial" w:eastAsia="Arial" w:hAnsi="Arial"/>
                <w:b/>
                <w:bCs/>
                <w:color w:val="B8860B"/>
                <w:sz w:val="20"/>
                <w:szCs w:val="20"/>
              </w:rPr>
              <w:t xml:space="preserve">$525,000</w:t>
            </w:r>
          </w:p>
        </w:tc>
        <w:tc>
          <w:tcPr>
            <w:tcW w:type="dxa" w:w="140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center"/>
            </w:pPr>
            <w:r>
              <w:rPr>
                <w:rFonts w:ascii="Arial" w:cs="Arial" w:eastAsia="Arial" w:hAnsi="Arial"/>
                <w:b w:val="false"/>
                <w:bCs w:val="false"/>
                <w:color w:val="5C6470"/>
                <w:sz w:val="20"/>
                <w:szCs w:val="20"/>
              </w:rPr>
              <w:t xml:space="preserve">15%</w:t>
            </w:r>
          </w:p>
        </w:tc>
        <w:tc>
          <w:tcPr>
            <w:tcW w:type="dxa" w:w="3760"/>
            <w:tcBorders>
              <w:top w:val="single" w:color="EAECEF" w:sz="6"/>
              <w:left w:val="single" w:color="EAECEF" w:sz="6"/>
              <w:bottom w:val="single" w:color="EAECEF" w:sz="6"/>
              <w:right w:val="single" w:color="EAECEF" w:sz="6"/>
            </w:tcBorders>
            <w:shd w:fill="FFFFFF" w:val="clear"/>
            <w:tcMar>
              <w:top w:type="dxa" w:w="80"/>
              <w:left w:type="dxa" w:w="110"/>
              <w:bottom w:type="dxa" w:w="80"/>
              <w:right w:type="dxa" w:w="110"/>
            </w:tcMar>
            <w:vAlign w:val="center"/>
          </w:tcPr>
          <w:p>
            <w:pPr>
              <w:spacing w:before="0" w:after="80" w:line="280"/>
              <w:jc w:val="left"/>
            </w:pPr>
            <w:r>
              <w:rPr>
                <w:rFonts w:ascii="Arial" w:cs="Arial" w:eastAsia="Arial" w:hAnsi="Arial"/>
                <w:b w:val="false"/>
                <w:bCs w:val="false"/>
                <w:color w:val="2D3340"/>
                <w:sz w:val="20"/>
                <w:szCs w:val="20"/>
              </w:rPr>
              <w:t xml:space="preserve">Smart contract security audits ($80K). AWS/GCP infrastructure ($180K). Chainlink oracle integration ($24K). Remaining: G&amp;A, accounting, HR.</w:t>
            </w:r>
          </w:p>
        </w:tc>
      </w:tr>
      <w:tr>
        <w:tc>
          <w:tcPr>
            <w:tcW w:type="dxa" w:w="2800"/>
            <w:tcBorders>
              <w:top w:val="single" w:color="0D1B2A" w:sz="6"/>
              <w:left w:val="single" w:color="0D1B2A" w:sz="6"/>
              <w:bottom w:val="single" w:color="0D1B2A" w:sz="6"/>
              <w:right w:val="single" w:color="0D1B2A" w:sz="6"/>
            </w:tcBorders>
            <w:shd w:fill="0D1B2A" w:val="clear"/>
            <w:tcMar>
              <w:top w:type="dxa" w:w="90"/>
              <w:left w:type="dxa" w:w="110"/>
              <w:bottom w:type="dxa" w:w="90"/>
              <w:right w:type="dxa" w:w="110"/>
            </w:tcMar>
            <w:vAlign w:val="center"/>
          </w:tcPr>
          <w:p>
            <w:pPr>
              <w:spacing w:before="0" w:after="80" w:line="280"/>
              <w:jc w:val="center"/>
            </w:pPr>
            <w:r>
              <w:rPr>
                <w:rFonts w:ascii="Arial" w:cs="Arial" w:eastAsia="Arial" w:hAnsi="Arial"/>
                <w:b/>
                <w:bCs/>
                <w:color w:val="FFFFFF"/>
                <w:sz w:val="20"/>
                <w:szCs w:val="20"/>
              </w:rPr>
              <w:t xml:space="preserve">TOTAL</w:t>
            </w:r>
          </w:p>
        </w:tc>
        <w:tc>
          <w:tcPr>
            <w:tcW w:type="dxa" w:w="1400"/>
            <w:tcBorders>
              <w:top w:val="single" w:color="0D1B2A" w:sz="6"/>
              <w:left w:val="single" w:color="0D1B2A" w:sz="6"/>
              <w:bottom w:val="single" w:color="0D1B2A" w:sz="6"/>
              <w:right w:val="single" w:color="0D1B2A" w:sz="6"/>
            </w:tcBorders>
            <w:shd w:fill="0D1B2A" w:val="clear"/>
            <w:tcMar>
              <w:top w:type="dxa" w:w="90"/>
              <w:left w:type="dxa" w:w="110"/>
              <w:bottom w:type="dxa" w:w="90"/>
              <w:right w:type="dxa" w:w="110"/>
            </w:tcMar>
            <w:vAlign w:val="center"/>
          </w:tcPr>
          <w:p>
            <w:pPr>
              <w:spacing w:before="0" w:after="80" w:line="280"/>
              <w:jc w:val="center"/>
            </w:pPr>
            <w:r>
              <w:rPr>
                <w:rFonts w:ascii="Arial" w:cs="Arial" w:eastAsia="Arial" w:hAnsi="Arial"/>
                <w:b/>
                <w:bCs/>
                <w:color w:val="FFFFFF"/>
                <w:sz w:val="20"/>
                <w:szCs w:val="20"/>
              </w:rPr>
              <w:t xml:space="preserve">$3,500,000</w:t>
            </w:r>
          </w:p>
        </w:tc>
        <w:tc>
          <w:tcPr>
            <w:tcW w:type="dxa" w:w="1400"/>
            <w:tcBorders>
              <w:top w:val="single" w:color="0D1B2A" w:sz="6"/>
              <w:left w:val="single" w:color="0D1B2A" w:sz="6"/>
              <w:bottom w:val="single" w:color="0D1B2A" w:sz="6"/>
              <w:right w:val="single" w:color="0D1B2A" w:sz="6"/>
            </w:tcBorders>
            <w:shd w:fill="0D1B2A" w:val="clear"/>
            <w:tcMar>
              <w:top w:type="dxa" w:w="90"/>
              <w:left w:type="dxa" w:w="110"/>
              <w:bottom w:type="dxa" w:w="90"/>
              <w:right w:type="dxa" w:w="110"/>
            </w:tcMar>
            <w:vAlign w:val="center"/>
          </w:tcPr>
          <w:p>
            <w:pPr>
              <w:spacing w:before="0" w:after="80" w:line="280"/>
              <w:jc w:val="center"/>
            </w:pPr>
            <w:r>
              <w:rPr>
                <w:rFonts w:ascii="Arial" w:cs="Arial" w:eastAsia="Arial" w:hAnsi="Arial"/>
                <w:b/>
                <w:bCs/>
                <w:color w:val="FFFFFF"/>
                <w:sz w:val="20"/>
                <w:szCs w:val="20"/>
              </w:rPr>
              <w:t xml:space="preserve">100%</w:t>
            </w:r>
          </w:p>
        </w:tc>
        <w:tc>
          <w:tcPr>
            <w:tcW w:type="dxa" w:w="3760"/>
            <w:tcBorders>
              <w:top w:val="single" w:color="0D1B2A" w:sz="6"/>
              <w:left w:val="single" w:color="0D1B2A" w:sz="6"/>
              <w:bottom w:val="single" w:color="0D1B2A" w:sz="6"/>
              <w:right w:val="single" w:color="0D1B2A" w:sz="6"/>
            </w:tcBorders>
            <w:shd w:fill="0D1B2A" w:val="clear"/>
            <w:tcMar>
              <w:top w:type="dxa" w:w="90"/>
              <w:left w:type="dxa" w:w="110"/>
              <w:bottom w:type="dxa" w:w="90"/>
              <w:right w:type="dxa" w:w="110"/>
            </w:tcMar>
            <w:vAlign w:val="center"/>
          </w:tcPr>
          <w:p>
            <w:pPr>
              <w:spacing w:before="0" w:after="80" w:line="280"/>
              <w:jc w:val="center"/>
            </w:pPr>
            <w:r>
              <w:rPr>
                <w:rFonts w:ascii="Arial" w:cs="Arial" w:eastAsia="Arial" w:hAnsi="Arial"/>
                <w:b/>
                <w:bCs/>
                <w:color w:val="FFFFFF"/>
                <w:sz w:val="20"/>
                <w:szCs w:val="20"/>
              </w:rPr>
              <w:t xml:space="preserve">14-month runway to EBITDA positive</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5CE6" w:sz="24"/>
              <w:left w:val="single" w:color="2B5CE6" w:sz="48"/>
              <w:bottom w:val="single" w:color="2B5CE6" w:sz="6"/>
              <w:right w:val="single" w:color="2B5CE6" w:sz="6"/>
            </w:tcBorders>
            <w:shd w:fill="EEF3FB" w:val="clear"/>
            <w:tcMar>
              <w:top w:type="dxa" w:w="110"/>
              <w:left w:type="dxa" w:w="220"/>
              <w:bottom w:type="dxa" w:w="110"/>
              <w:right w:type="dxa" w:w="180"/>
            </w:tcMar>
          </w:tcPr>
          <w:p>
            <w:pPr>
              <w:spacing w:before="0" w:after="50" w:line="280"/>
              <w:jc w:val="left"/>
            </w:pPr>
            <w:r>
              <w:rPr>
                <w:rFonts w:ascii="Arial" w:cs="Arial" w:eastAsia="Arial" w:hAnsi="Arial"/>
                <w:b/>
                <w:bCs/>
                <w:color w:val="0D1B2A"/>
                <w:sz w:val="21"/>
                <w:szCs w:val="21"/>
              </w:rPr>
              <w:t xml:space="preserve">Investor Rights (Standard SAFE terms)</w:t>
            </w:r>
          </w:p>
          <w:p>
            <w:pPr>
              <w:spacing w:before="0" w:after="80" w:line="280"/>
              <w:jc w:val="left"/>
            </w:pPr>
            <w:r>
              <w:rPr>
                <w:rFonts w:ascii="Arial" w:cs="Arial" w:eastAsia="Arial" w:hAnsi="Arial"/>
                <w:color w:val="2D3340"/>
                <w:sz w:val="19"/>
                <w:szCs w:val="19"/>
              </w:rPr>
              <w:t xml:space="preserve">Pro-rata rights on follow-on rounds  |  Information rights (quarterly financials)  |  MFN clause  |  No board seat at seed (observer rights available at $250K+)  |  Standard YC SAFE with Post-Money Valuation Cap  |  Discount: 20% on Series A  |  Conversion triggers: Series A ($2M+ qualified financing), IPO, acquisition, or dissolution  |  1x non-participating liquidation preference</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AECEF" w:sz="6" w:space="1"/>
      </w:pBdr>
      <w:tabs>
        <w:tab w:val="right" w:pos="9360"/>
      </w:tabs>
      <w:spacing w:before="80" w:after="0"/>
    </w:pPr>
    <w:r>
      <w:rPr>
        <w:rFonts w:ascii="Arial" w:cs="Arial" w:eastAsia="Arial" w:hAnsi="Arial"/>
        <w:color w:val="9BA3AF"/>
        <w:sz w:val="15"/>
        <w:szCs w:val="15"/>
      </w:rPr>
      <w:t xml:space="preserve">Base L2 $0.000825/tx  |  3054x cheaper than Visa  |  </w:t>
    </w:r>
    <w:r>
      <w:rPr>
        <w:rFonts w:ascii="Arial" w:cs="Arial" w:eastAsia="Arial" w:hAnsi="Arial"/>
      </w:rPr>
      <w:t xml:space="preserve">	</w:t>
    </w:r>
    <w:r>
      <w:rPr>
        <w:rFonts w:ascii="Arial" w:cs="Arial" w:eastAsia="Arial" w:hAnsi="Arial"/>
        <w:color w:val="9BA3AF"/>
        <w:sz w:val="15"/>
        <w:szCs w:val="15"/>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53" w:sz="8" w:space="1"/>
      </w:pBdr>
      <w:tabs>
        <w:tab w:val="right" w:pos="9360"/>
      </w:tabs>
      <w:spacing w:before="0" w:after="80"/>
    </w:pPr>
    <w:r>
      <w:rPr>
        <w:rFonts w:ascii="Arial" w:cs="Arial" w:eastAsia="Arial" w:hAnsi="Arial"/>
        <w:color w:val="9BA3AF"/>
        <w:sz w:val="16"/>
        <w:szCs w:val="16"/>
      </w:rPr>
      <w:t xml:space="preserve">RAWagon Systems, LLC  |  Confidential Investment Memorandum</w:t>
    </w:r>
    <w:r>
      <w:rPr>
        <w:rFonts w:ascii="Arial" w:cs="Arial" w:eastAsia="Arial" w:hAnsi="Arial"/>
      </w:rPr>
      <w:t xml:space="preserve">	</w:t>
    </w:r>
    <w:r>
      <w:rPr>
        <w:rFonts w:ascii="Arial" w:cs="Arial" w:eastAsia="Arial" w:hAnsi="Arial"/>
        <w:b/>
        <w:bCs/>
        <w:color w:val="8B1A1A"/>
        <w:sz w:val="16"/>
        <w:szCs w:val="16"/>
      </w:rPr>
      <w:t xml:space="preserve">CONFIDENTIAL — DO NOT DISTRIBUTE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00" w:after="100"/>
      <w:outlineLvl w:val="0"/>
    </w:pPr>
    <w:rPr>
      <w:rFonts w:ascii="Georgia" w:cs="Georgia" w:eastAsia="Georgia" w:hAnsi="Georgia"/>
      <w:b/>
      <w:bCs/>
      <w:color w:val="0D1B2A"/>
      <w:sz w:val="34"/>
      <w:szCs w:val="34"/>
    </w:rPr>
  </w:style>
  <w:style w:type="paragraph" w:styleId="Heading2">
    <w:name w:val="Heading 2"/>
    <w:basedOn w:val="Normal"/>
    <w:next w:val="Normal"/>
    <w:qFormat/>
    <w:pPr>
      <w:spacing w:before="160" w:after="60"/>
      <w:outlineLvl w:val="1"/>
    </w:pPr>
    <w:rPr>
      <w:rFonts w:ascii="Georgia" w:cs="Georgia" w:eastAsia="Georgia" w:hAnsi="Georgia"/>
      <w:b/>
      <w:bCs/>
      <w:color w:val="0D1B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2026-03-22T05:52:35.289Z</dcterms:created>
  <dcterms:modified xsi:type="dcterms:W3CDTF">2026-03-22T05:52:35.290Z</dcterms:modified>
</cp:coreProperties>
</file>

<file path=docProps/custom.xml><?xml version="1.0" encoding="utf-8"?>
<Properties xmlns="http://schemas.openxmlformats.org/officeDocument/2006/custom-properties" xmlns:vt="http://schemas.openxmlformats.org/officeDocument/2006/docPropsVTypes"/>
</file>