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before="0" w:after="40" w:line="300"/>
        <w:jc w:val="center"/>
      </w:pPr>
      <w:r>
        <w:rPr>
          <w:rFonts w:ascii="Arial" w:cs="Arial" w:eastAsia="Arial" w:hAnsi="Arial"/>
          <w:b/>
          <w:bCs/>
          <w:color w:val="9BA3AF"/>
          <w:sz w:val="18"/>
          <w:szCs w:val="18"/>
        </w:rPr>
        <w:t xml:space="preserve">UNITED STATES PATENT AND TRADEMARK OFFICE</w:t>
      </w:r>
    </w:p>
    <w:p>
      <w:pPr>
        <w:spacing w:before="0" w:after="60" w:line="300"/>
        <w:jc w:val="center"/>
      </w:pPr>
      <w:r>
        <w:rPr>
          <w:rFonts w:ascii="Arial" w:cs="Arial" w:eastAsia="Arial" w:hAnsi="Arial"/>
          <w:b/>
          <w:bCs/>
          <w:color w:val="9BA3AF"/>
          <w:sz w:val="18"/>
          <w:szCs w:val="18"/>
        </w:rPr>
        <w:t xml:space="preserve">PROVISIONAL PATENT APPLICATION</w:t>
      </w:r>
    </w:p>
    <w:p>
      <w:pPr>
        <w:pBdr>
          <w:bottom w:val="single" w:color="8B6914" w:sz="6" w:space="1"/>
        </w:pBdr>
        <w:spacing w:before="0" w:after="8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6"/>
              <w:left w:val="single" w:color="0D1B2A" w:sz="6"/>
              <w:bottom w:val="single" w:color="0D1B2A" w:sz="6"/>
              <w:right w:val="single" w:color="0D1B2A" w:sz="6"/>
            </w:tcBorders>
            <w:shd w:fill="0D1B2A" w:val="clear"/>
            <w:tcMar>
              <w:top w:type="dxa" w:w="180"/>
              <w:left w:type="dxa" w:w="240"/>
              <w:bottom w:type="dxa" w:w="180"/>
              <w:right w:type="dxa" w:w="240"/>
            </w:tcMar>
          </w:tcPr>
          <w:p>
            <w:pPr>
              <w:spacing w:before="0" w:after="40" w:line="300"/>
              <w:jc w:val="center"/>
            </w:pPr>
            <w:r>
              <w:rPr>
                <w:rFonts w:ascii="Times New Roman" w:cs="Times New Roman" w:eastAsia="Times New Roman" w:hAnsi="Times New Roman"/>
                <w:b/>
                <w:bCs/>
                <w:color w:val="FFFFFF"/>
                <w:sz w:val="26"/>
                <w:szCs w:val="26"/>
              </w:rPr>
              <w:t xml:space="preserve">SYSTEMS AND METHODS FOR BLOCKCHAIN-BASED PAYMENT INFRASTRUCTURE,</w:t>
            </w:r>
          </w:p>
          <w:p>
            <w:pPr>
              <w:spacing w:before="0" w:after="40" w:line="300"/>
              <w:jc w:val="center"/>
            </w:pPr>
            <w:r>
              <w:rPr>
                <w:rFonts w:ascii="Times New Roman" w:cs="Times New Roman" w:eastAsia="Times New Roman" w:hAnsi="Times New Roman"/>
                <w:b/>
                <w:bCs/>
                <w:color w:val="FFFFFF"/>
                <w:sz w:val="26"/>
                <w:szCs w:val="26"/>
              </w:rPr>
              <w:t xml:space="preserve">ZERO-KNOWLEDGE IDENTITY VERIFICATION, BEHAVIORAL BIOMETRIC</w:t>
            </w:r>
          </w:p>
          <w:p>
            <w:pPr>
              <w:spacing w:before="0" w:after="40" w:line="300"/>
              <w:jc w:val="center"/>
            </w:pPr>
            <w:r>
              <w:rPr>
                <w:rFonts w:ascii="Times New Roman" w:cs="Times New Roman" w:eastAsia="Times New Roman" w:hAnsi="Times New Roman"/>
                <w:b/>
                <w:bCs/>
                <w:color w:val="FFFFFF"/>
                <w:sz w:val="26"/>
                <w:szCs w:val="26"/>
              </w:rPr>
              <w:t xml:space="preserve">KEY DERIVATION, PERFORMANCE-LINKED FEE ROUTING, AND</w:t>
            </w:r>
          </w:p>
          <w:p>
            <w:pPr>
              <w:spacing w:before="0" w:after="80" w:line="300"/>
              <w:jc w:val="center"/>
            </w:pPr>
            <w:r>
              <w:rPr>
                <w:rFonts w:ascii="Times New Roman" w:cs="Times New Roman" w:eastAsia="Times New Roman" w:hAnsi="Times New Roman"/>
                <w:b/>
                <w:bCs/>
                <w:color w:val="FFFFFF"/>
                <w:sz w:val="26"/>
                <w:szCs w:val="26"/>
              </w:rPr>
              <w:t xml:space="preserve">LIFECYCLE OWNERSHIP TRANSITION FOR COMMERCE NETWORKS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AED" w:sz="6"/>
              <w:left w:val="single" w:color="E8EAED" w:sz="6"/>
              <w:bottom w:val="single" w:color="E8EAED" w:sz="6"/>
              <w:right w:val="single" w:color="E8EAED" w:sz="6"/>
            </w:tcBorders>
            <w:shd w:fill="F7F8FA" w:val="clear"/>
            <w:tcMar>
              <w:top w:type="dxa" w:w="70"/>
              <w:left w:type="dxa" w:w="110"/>
              <w:bottom w:type="dxa" w:w="70"/>
              <w:right w:type="dxa" w:w="110"/>
            </w:tcMar>
          </w:tcPr>
          <w:p>
            <w:pPr>
              <w:spacing w:before="0" w:after="80" w:line="300"/>
              <w:jc w:val="left"/>
            </w:pPr>
            <w:r>
              <w:rPr>
                <w:rFonts w:ascii="Arial" w:cs="Arial" w:eastAsia="Arial" w:hAnsi="Arial"/>
                <w:b/>
                <w:bCs/>
                <w:color w:val="0D1B2A"/>
                <w:sz w:val="19"/>
                <w:szCs w:val="19"/>
              </w:rPr>
              <w:t xml:space="preserve">Application Number</w:t>
            </w:r>
          </w:p>
        </w:tc>
        <w:tc>
          <w:tcPr>
            <w:tcW w:type="dxa" w:w="6560"/>
            <w:tcBorders>
              <w:top w:val="single" w:color="E8EAED" w:sz="6"/>
              <w:left w:val="single" w:color="E8EAED" w:sz="6"/>
              <w:bottom w:val="single" w:color="E8EAED" w:sz="6"/>
              <w:right w:val="single" w:color="E8EAED" w:sz="6"/>
            </w:tcBorders>
            <w:shd w:fill="F7F8FA" w:val="clear"/>
            <w:tcMar>
              <w:top w:type="dxa" w:w="70"/>
              <w:left w:type="dxa" w:w="110"/>
              <w:bottom w:type="dxa" w:w="70"/>
              <w:right w:type="dxa" w:w="110"/>
            </w:tcMar>
          </w:tcPr>
          <w:p>
            <w:pPr>
              <w:spacing w:before="0" w:after="80" w:line="300"/>
              <w:jc w:val="left"/>
            </w:pPr>
            <w:r>
              <w:rPr>
                <w:rFonts w:ascii="Arial" w:cs="Arial" w:eastAsia="Arial" w:hAnsi="Arial"/>
                <w:b w:val="false"/>
                <w:bCs w:val="false"/>
                <w:color w:val="1F2937"/>
                <w:sz w:val="19"/>
                <w:szCs w:val="19"/>
              </w:rPr>
              <w:t xml:space="preserve">RAW-2026-PROV-001</w:t>
            </w:r>
          </w:p>
        </w:tc>
      </w:tr>
      <w:tr>
        <w:tc>
          <w:tcPr>
            <w:tcW w:type="dxa" w:w="2800"/>
            <w:tcBorders>
              <w:top w:val="single" w:color="E8EAED" w:sz="6"/>
              <w:left w:val="single" w:color="E8EAED" w:sz="6"/>
              <w:bottom w:val="single" w:color="E8EAED" w:sz="6"/>
              <w:right w:val="single" w:color="E8EAED" w:sz="6"/>
            </w:tcBorders>
            <w:shd w:fill="FFFFFF" w:val="clear"/>
            <w:tcMar>
              <w:top w:type="dxa" w:w="70"/>
              <w:left w:type="dxa" w:w="110"/>
              <w:bottom w:type="dxa" w:w="70"/>
              <w:right w:type="dxa" w:w="110"/>
            </w:tcMar>
          </w:tcPr>
          <w:p>
            <w:pPr>
              <w:spacing w:before="0" w:after="80" w:line="300"/>
              <w:jc w:val="left"/>
            </w:pPr>
            <w:r>
              <w:rPr>
                <w:rFonts w:ascii="Arial" w:cs="Arial" w:eastAsia="Arial" w:hAnsi="Arial"/>
                <w:b/>
                <w:bCs/>
                <w:color w:val="0D1B2A"/>
                <w:sz w:val="19"/>
                <w:szCs w:val="19"/>
              </w:rPr>
              <w:t xml:space="preserve">Filing Date</w:t>
            </w:r>
          </w:p>
        </w:tc>
        <w:tc>
          <w:tcPr>
            <w:tcW w:type="dxa" w:w="6560"/>
            <w:tcBorders>
              <w:top w:val="single" w:color="E8EAED" w:sz="6"/>
              <w:left w:val="single" w:color="E8EAED" w:sz="6"/>
              <w:bottom w:val="single" w:color="E8EAED" w:sz="6"/>
              <w:right w:val="single" w:color="E8EAED" w:sz="6"/>
            </w:tcBorders>
            <w:shd w:fill="FFFFFF" w:val="clear"/>
            <w:tcMar>
              <w:top w:type="dxa" w:w="70"/>
              <w:left w:type="dxa" w:w="110"/>
              <w:bottom w:type="dxa" w:w="70"/>
              <w:right w:type="dxa" w:w="110"/>
            </w:tcMar>
          </w:tcPr>
          <w:p>
            <w:pPr>
              <w:spacing w:before="0" w:after="80" w:line="300"/>
              <w:jc w:val="left"/>
            </w:pPr>
            <w:r>
              <w:rPr>
                <w:rFonts w:ascii="Arial" w:cs="Arial" w:eastAsia="Arial" w:hAnsi="Arial"/>
                <w:b w:val="false"/>
                <w:bCs w:val="false"/>
                <w:color w:val="1F2937"/>
                <w:sz w:val="19"/>
                <w:szCs w:val="19"/>
              </w:rPr>
              <w:t xml:space="preserve">March 22, 2026</w:t>
            </w:r>
          </w:p>
        </w:tc>
      </w:tr>
      <w:tr>
        <w:tc>
          <w:tcPr>
            <w:tcW w:type="dxa" w:w="2800"/>
            <w:tcBorders>
              <w:top w:val="single" w:color="E8EAED" w:sz="6"/>
              <w:left w:val="single" w:color="E8EAED" w:sz="6"/>
              <w:bottom w:val="single" w:color="E8EAED" w:sz="6"/>
              <w:right w:val="single" w:color="E8EAED" w:sz="6"/>
            </w:tcBorders>
            <w:shd w:fill="F7F8FA" w:val="clear"/>
            <w:tcMar>
              <w:top w:type="dxa" w:w="70"/>
              <w:left w:type="dxa" w:w="110"/>
              <w:bottom w:type="dxa" w:w="70"/>
              <w:right w:type="dxa" w:w="110"/>
            </w:tcMar>
          </w:tcPr>
          <w:p>
            <w:pPr>
              <w:spacing w:before="0" w:after="80" w:line="300"/>
              <w:jc w:val="left"/>
            </w:pPr>
            <w:r>
              <w:rPr>
                <w:rFonts w:ascii="Arial" w:cs="Arial" w:eastAsia="Arial" w:hAnsi="Arial"/>
                <w:b/>
                <w:bCs/>
                <w:color w:val="0D1B2A"/>
                <w:sz w:val="19"/>
                <w:szCs w:val="19"/>
              </w:rPr>
              <w:t xml:space="preserve">Applicant / Inventor</w:t>
            </w:r>
          </w:p>
        </w:tc>
        <w:tc>
          <w:tcPr>
            <w:tcW w:type="dxa" w:w="6560"/>
            <w:tcBorders>
              <w:top w:val="single" w:color="E8EAED" w:sz="6"/>
              <w:left w:val="single" w:color="E8EAED" w:sz="6"/>
              <w:bottom w:val="single" w:color="E8EAED" w:sz="6"/>
              <w:right w:val="single" w:color="E8EAED" w:sz="6"/>
            </w:tcBorders>
            <w:shd w:fill="F7F8FA" w:val="clear"/>
            <w:tcMar>
              <w:top w:type="dxa" w:w="70"/>
              <w:left w:type="dxa" w:w="110"/>
              <w:bottom w:type="dxa" w:w="70"/>
              <w:right w:type="dxa" w:w="110"/>
            </w:tcMar>
          </w:tcPr>
          <w:p>
            <w:pPr>
              <w:spacing w:before="0" w:after="80" w:line="300"/>
              <w:jc w:val="left"/>
            </w:pPr>
            <w:r>
              <w:rPr>
                <w:rFonts w:ascii="Arial" w:cs="Arial" w:eastAsia="Arial" w:hAnsi="Arial"/>
                <w:b w:val="false"/>
                <w:bCs w:val="false"/>
                <w:color w:val="1F2937"/>
                <w:sz w:val="19"/>
                <w:szCs w:val="19"/>
              </w:rPr>
              <w:t xml:space="preserve">RAWagon Systems, LLC — All rights reserved</w:t>
            </w:r>
          </w:p>
        </w:tc>
      </w:tr>
      <w:tr>
        <w:tc>
          <w:tcPr>
            <w:tcW w:type="dxa" w:w="2800"/>
            <w:tcBorders>
              <w:top w:val="single" w:color="E8EAED" w:sz="6"/>
              <w:left w:val="single" w:color="E8EAED" w:sz="6"/>
              <w:bottom w:val="single" w:color="E8EAED" w:sz="6"/>
              <w:right w:val="single" w:color="E8EAED" w:sz="6"/>
            </w:tcBorders>
            <w:shd w:fill="FFFFFF" w:val="clear"/>
            <w:tcMar>
              <w:top w:type="dxa" w:w="70"/>
              <w:left w:type="dxa" w:w="110"/>
              <w:bottom w:type="dxa" w:w="70"/>
              <w:right w:type="dxa" w:w="110"/>
            </w:tcMar>
          </w:tcPr>
          <w:p>
            <w:pPr>
              <w:spacing w:before="0" w:after="80" w:line="300"/>
              <w:jc w:val="left"/>
            </w:pPr>
            <w:r>
              <w:rPr>
                <w:rFonts w:ascii="Arial" w:cs="Arial" w:eastAsia="Arial" w:hAnsi="Arial"/>
                <w:b/>
                <w:bCs/>
                <w:color w:val="0D1B2A"/>
                <w:sz w:val="19"/>
                <w:szCs w:val="19"/>
              </w:rPr>
              <w:t xml:space="preserve">Correspondence Address</w:t>
            </w:r>
          </w:p>
        </w:tc>
        <w:tc>
          <w:tcPr>
            <w:tcW w:type="dxa" w:w="6560"/>
            <w:tcBorders>
              <w:top w:val="single" w:color="E8EAED" w:sz="6"/>
              <w:left w:val="single" w:color="E8EAED" w:sz="6"/>
              <w:bottom w:val="single" w:color="E8EAED" w:sz="6"/>
              <w:right w:val="single" w:color="E8EAED" w:sz="6"/>
            </w:tcBorders>
            <w:shd w:fill="FFFFFF" w:val="clear"/>
            <w:tcMar>
              <w:top w:type="dxa" w:w="70"/>
              <w:left w:type="dxa" w:w="110"/>
              <w:bottom w:type="dxa" w:w="70"/>
              <w:right w:type="dxa" w:w="110"/>
            </w:tcMar>
          </w:tcPr>
          <w:p>
            <w:pPr>
              <w:spacing w:before="0" w:after="80" w:line="300"/>
              <w:jc w:val="left"/>
            </w:pPr>
            <w:r>
              <w:rPr>
                <w:rFonts w:ascii="Arial" w:cs="Arial" w:eastAsia="Arial" w:hAnsi="Arial"/>
                <w:b w:val="false"/>
                <w:bCs w:val="false"/>
                <w:color w:val="1F2937"/>
                <w:sz w:val="19"/>
                <w:szCs w:val="19"/>
              </w:rPr>
              <w:t xml:space="preserve">RAWagon Systems, LLC | rawagon.io | hello@rawagon.io</w:t>
            </w:r>
          </w:p>
        </w:tc>
      </w:tr>
      <w:tr>
        <w:tc>
          <w:tcPr>
            <w:tcW w:type="dxa" w:w="2800"/>
            <w:tcBorders>
              <w:top w:val="single" w:color="E8EAED" w:sz="6"/>
              <w:left w:val="single" w:color="E8EAED" w:sz="6"/>
              <w:bottom w:val="single" w:color="E8EAED" w:sz="6"/>
              <w:right w:val="single" w:color="E8EAED" w:sz="6"/>
            </w:tcBorders>
            <w:shd w:fill="F7F8FA" w:val="clear"/>
            <w:tcMar>
              <w:top w:type="dxa" w:w="70"/>
              <w:left w:type="dxa" w:w="110"/>
              <w:bottom w:type="dxa" w:w="70"/>
              <w:right w:type="dxa" w:w="110"/>
            </w:tcMar>
          </w:tcPr>
          <w:p>
            <w:pPr>
              <w:spacing w:before="0" w:after="80" w:line="300"/>
              <w:jc w:val="left"/>
            </w:pPr>
            <w:r>
              <w:rPr>
                <w:rFonts w:ascii="Arial" w:cs="Arial" w:eastAsia="Arial" w:hAnsi="Arial"/>
                <w:b/>
                <w:bCs/>
                <w:color w:val="0D1B2A"/>
                <w:sz w:val="19"/>
                <w:szCs w:val="19"/>
              </w:rPr>
              <w:t xml:space="preserve">Attorney Docket No.</w:t>
            </w:r>
          </w:p>
        </w:tc>
        <w:tc>
          <w:tcPr>
            <w:tcW w:type="dxa" w:w="6560"/>
            <w:tcBorders>
              <w:top w:val="single" w:color="E8EAED" w:sz="6"/>
              <w:left w:val="single" w:color="E8EAED" w:sz="6"/>
              <w:bottom w:val="single" w:color="E8EAED" w:sz="6"/>
              <w:right w:val="single" w:color="E8EAED" w:sz="6"/>
            </w:tcBorders>
            <w:shd w:fill="F7F8FA" w:val="clear"/>
            <w:tcMar>
              <w:top w:type="dxa" w:w="70"/>
              <w:left w:type="dxa" w:w="110"/>
              <w:bottom w:type="dxa" w:w="70"/>
              <w:right w:type="dxa" w:w="110"/>
            </w:tcMar>
          </w:tcPr>
          <w:p>
            <w:pPr>
              <w:spacing w:before="0" w:after="80" w:line="300"/>
              <w:jc w:val="left"/>
            </w:pPr>
            <w:r>
              <w:rPr>
                <w:rFonts w:ascii="Arial" w:cs="Arial" w:eastAsia="Arial" w:hAnsi="Arial"/>
                <w:b w:val="false"/>
                <w:bCs w:val="false"/>
                <w:color w:val="1F2937"/>
                <w:sz w:val="19"/>
                <w:szCs w:val="19"/>
              </w:rPr>
              <w:t xml:space="preserve">RAW-2026-001-PROV</w:t>
            </w:r>
          </w:p>
        </w:tc>
      </w:tr>
      <w:tr>
        <w:tc>
          <w:tcPr>
            <w:tcW w:type="dxa" w:w="2800"/>
            <w:tcBorders>
              <w:top w:val="single" w:color="E8EAED" w:sz="6"/>
              <w:left w:val="single" w:color="E8EAED" w:sz="6"/>
              <w:bottom w:val="single" w:color="E8EAED" w:sz="6"/>
              <w:right w:val="single" w:color="E8EAED" w:sz="6"/>
            </w:tcBorders>
            <w:shd w:fill="FFFFFF" w:val="clear"/>
            <w:tcMar>
              <w:top w:type="dxa" w:w="70"/>
              <w:left w:type="dxa" w:w="110"/>
              <w:bottom w:type="dxa" w:w="70"/>
              <w:right w:type="dxa" w:w="110"/>
            </w:tcMar>
          </w:tcPr>
          <w:p>
            <w:pPr>
              <w:spacing w:before="0" w:after="80" w:line="300"/>
              <w:jc w:val="left"/>
            </w:pPr>
            <w:r>
              <w:rPr>
                <w:rFonts w:ascii="Arial" w:cs="Arial" w:eastAsia="Arial" w:hAnsi="Arial"/>
                <w:b/>
                <w:bCs/>
                <w:color w:val="0D1B2A"/>
                <w:sz w:val="19"/>
                <w:szCs w:val="19"/>
              </w:rPr>
              <w:t xml:space="preserve">Priority Claim</w:t>
            </w:r>
          </w:p>
        </w:tc>
        <w:tc>
          <w:tcPr>
            <w:tcW w:type="dxa" w:w="6560"/>
            <w:tcBorders>
              <w:top w:val="single" w:color="E8EAED" w:sz="6"/>
              <w:left w:val="single" w:color="E8EAED" w:sz="6"/>
              <w:bottom w:val="single" w:color="E8EAED" w:sz="6"/>
              <w:right w:val="single" w:color="E8EAED" w:sz="6"/>
            </w:tcBorders>
            <w:shd w:fill="FFFFFF" w:val="clear"/>
            <w:tcMar>
              <w:top w:type="dxa" w:w="70"/>
              <w:left w:type="dxa" w:w="110"/>
              <w:bottom w:type="dxa" w:w="70"/>
              <w:right w:type="dxa" w:w="110"/>
            </w:tcMar>
          </w:tcPr>
          <w:p>
            <w:pPr>
              <w:spacing w:before="0" w:after="80" w:line="300"/>
              <w:jc w:val="left"/>
            </w:pPr>
            <w:r>
              <w:rPr>
                <w:rFonts w:ascii="Arial" w:cs="Arial" w:eastAsia="Arial" w:hAnsi="Arial"/>
                <w:b w:val="false"/>
                <w:bCs w:val="false"/>
                <w:color w:val="1F2937"/>
                <w:sz w:val="19"/>
                <w:szCs w:val="19"/>
              </w:rPr>
              <w:t xml:space="preserve">This application claims priority under 35 U.S.C. § 119(e)</w:t>
            </w:r>
          </w:p>
        </w:tc>
      </w:tr>
      <w:tr>
        <w:tc>
          <w:tcPr>
            <w:tcW w:type="dxa" w:w="2800"/>
            <w:tcBorders>
              <w:top w:val="single" w:color="E8EAED" w:sz="6"/>
              <w:left w:val="single" w:color="E8EAED" w:sz="6"/>
              <w:bottom w:val="single" w:color="E8EAED" w:sz="6"/>
              <w:right w:val="single" w:color="E8EAED" w:sz="6"/>
            </w:tcBorders>
            <w:shd w:fill="F7F8FA" w:val="clear"/>
            <w:tcMar>
              <w:top w:type="dxa" w:w="70"/>
              <w:left w:type="dxa" w:w="110"/>
              <w:bottom w:type="dxa" w:w="70"/>
              <w:right w:type="dxa" w:w="110"/>
            </w:tcMar>
          </w:tcPr>
          <w:p>
            <w:pPr>
              <w:spacing w:before="0" w:after="80" w:line="300"/>
              <w:jc w:val="left"/>
            </w:pPr>
            <w:r>
              <w:rPr>
                <w:rFonts w:ascii="Arial" w:cs="Arial" w:eastAsia="Arial" w:hAnsi="Arial"/>
                <w:b/>
                <w:bCs/>
                <w:color w:val="0D1B2A"/>
                <w:sz w:val="19"/>
                <w:szCs w:val="19"/>
              </w:rPr>
              <w:t xml:space="preserve">Classification (CPC)</w:t>
            </w:r>
          </w:p>
        </w:tc>
        <w:tc>
          <w:tcPr>
            <w:tcW w:type="dxa" w:w="6560"/>
            <w:tcBorders>
              <w:top w:val="single" w:color="E8EAED" w:sz="6"/>
              <w:left w:val="single" w:color="E8EAED" w:sz="6"/>
              <w:bottom w:val="single" w:color="E8EAED" w:sz="6"/>
              <w:right w:val="single" w:color="E8EAED" w:sz="6"/>
            </w:tcBorders>
            <w:shd w:fill="F7F8FA" w:val="clear"/>
            <w:tcMar>
              <w:top w:type="dxa" w:w="70"/>
              <w:left w:type="dxa" w:w="110"/>
              <w:bottom w:type="dxa" w:w="70"/>
              <w:right w:type="dxa" w:w="110"/>
            </w:tcMar>
          </w:tcPr>
          <w:p>
            <w:pPr>
              <w:spacing w:before="0" w:after="80" w:line="300"/>
              <w:jc w:val="left"/>
            </w:pPr>
            <w:r>
              <w:rPr>
                <w:rFonts w:ascii="Arial" w:cs="Arial" w:eastAsia="Arial" w:hAnsi="Arial"/>
                <w:b w:val="false"/>
                <w:bCs w:val="false"/>
                <w:color w:val="1F2937"/>
                <w:sz w:val="19"/>
                <w:szCs w:val="19"/>
              </w:rPr>
              <w:t xml:space="preserve">G06Q 20/38 | G06Q 20/06 | H04L 9/08 | H04L 9/32 | G06F 21/32</w:t>
            </w:r>
          </w:p>
        </w:tc>
      </w:tr>
    </w:tbl>
    <w:p>
      <w:pPr>
        <w:spacing w:before="80" w:after="0"/>
      </w:pPr>
    </w:p>
    <w:p>
      <w:pPr>
        <w:spacing w:before="0" w:after="80" w:line="280"/>
        <w:jc w:val="left"/>
      </w:pPr>
      <w:r>
        <w:rPr>
          <w:rFonts w:ascii="Times New Roman" w:cs="Times New Roman" w:eastAsia="Times New Roman" w:hAnsi="Times New Roman"/>
          <w:i/>
          <w:iCs/>
          <w:color w:val="555F6D"/>
          <w:sz w:val="18"/>
          <w:szCs w:val="18"/>
        </w:rPr>
        <w:t xml:space="preserve">NOTICE: This provisional patent application establishes a priority date for the inventions described herein. The applicant has twelve (12) months from the filing date to file a non-provisional patent application claiming the benefit of this provisional application under 35 U.S.C. § 111(b) and 35 U.S.C. § 119(e). This document constitutes a complete written description of the inventions.</w:t>
      </w:r>
    </w:p>
    <w:p>
      <w:pPr>
        <w:pageBreakBefore/>
        <w:spacing w:before="0" w:after="0"/>
      </w:pPr>
      <w:fldSimple w:instr="[object Object]"/>
    </w:p>
    <w:p>
      <w:pPr>
        <w:spacing w:before="180" w:after="0"/>
      </w:pPr>
    </w:p>
    <w:p>
      <w:pPr>
        <w:pStyle w:val="Heading1"/>
        <w:spacing w:before="0" w:after="80"/>
      </w:pPr>
      <w:r>
        <w:rPr>
          <w:rFonts w:ascii="Times New Roman" w:cs="Times New Roman" w:eastAsia="Times New Roman" w:hAnsi="Times New Roman"/>
          <w:b/>
          <w:bCs/>
          <w:color w:val="0D1B2A"/>
          <w:sz w:val="28"/>
          <w:szCs w:val="28"/>
        </w:rPr>
        <w:t xml:space="preserve">I. TECHNICAL FIELD</w:t>
      </w:r>
    </w:p>
    <w:p>
      <w:pPr>
        <w:pBdr>
          <w:bottom w:val="single" w:color="0D1B2A" w:sz="10" w:space="1"/>
        </w:pBdr>
        <w:spacing w:before="0" w:after="80"/>
      </w:pPr>
    </w:p>
    <w:p>
      <w:pPr>
        <w:spacing w:before="0" w:after="80" w:line="300"/>
        <w:jc w:val="left"/>
      </w:pPr>
      <w:r>
        <w:rPr>
          <w:rFonts w:ascii="Times New Roman" w:cs="Times New Roman" w:eastAsia="Times New Roman" w:hAnsi="Times New Roman"/>
          <w:color w:val="1F2937"/>
          <w:sz w:val="24"/>
          <w:szCs w:val="24"/>
        </w:rPr>
        <w:t xml:space="preserve">The present inventions relate generally to financial technology infrastructure, and more particularly to: (1) blockchain-based payment processing systems using Layer 2 network architecture; (2) zero-knowledge proof systems for identity verification in commercial transactions; (3) behavioral biometric systems for cryptographic key derivation; (4) smart contract architectures for performance-linked fee distribution; and (5) tokenomic systems implementing lifecycle ownership transitions that convert payment system customers into network stakeholders.</w:t>
      </w:r>
    </w:p>
    <w:p>
      <w:pPr>
        <w:spacing w:before="180" w:after="0"/>
      </w:pPr>
    </w:p>
    <w:p>
      <w:pPr>
        <w:pStyle w:val="Heading1"/>
        <w:spacing w:before="0" w:after="80"/>
      </w:pPr>
      <w:r>
        <w:rPr>
          <w:rFonts w:ascii="Times New Roman" w:cs="Times New Roman" w:eastAsia="Times New Roman" w:hAnsi="Times New Roman"/>
          <w:b/>
          <w:bCs/>
          <w:color w:val="0D1B2A"/>
          <w:sz w:val="28"/>
          <w:szCs w:val="28"/>
        </w:rPr>
        <w:t xml:space="preserve">II. BACKGROUND OF THE INVENTION</w:t>
      </w:r>
    </w:p>
    <w:p>
      <w:pPr>
        <w:pBdr>
          <w:bottom w:val="single" w:color="0D1B2A" w:sz="10" w:space="1"/>
        </w:pBdr>
        <w:spacing w:before="0" w:after="80"/>
      </w:pPr>
    </w:p>
    <w:p>
      <w:pPr>
        <w:spacing w:before="0" w:after="80" w:line="300"/>
        <w:jc w:val="left"/>
      </w:pPr>
      <w:r>
        <w:rPr>
          <w:rFonts w:ascii="Times New Roman" w:cs="Times New Roman" w:eastAsia="Times New Roman" w:hAnsi="Times New Roman"/>
          <w:color w:val="1F2937"/>
          <w:sz w:val="24"/>
          <w:szCs w:val="24"/>
        </w:rPr>
        <w:t xml:space="preserve">Traditional payment card networks, including those operated under the Visa, Mastercard, American Express, and Discover brands, impose merchant processing fees ranging from 1.5% to 3.5% of each transaction value, representing approximately $100 billion in annual fees in the United States alone. These fees are extracted from merchants by intermediary networks with no corresponding value delivered beyond transaction routing — a function now executable by blockchain smart contracts at a cost of less than $0.001 per transaction.</w:t>
      </w:r>
    </w:p>
    <w:p>
      <w:pPr>
        <w:spacing w:before="0" w:after="80" w:line="300"/>
        <w:jc w:val="left"/>
      </w:pPr>
      <w:r>
        <w:rPr>
          <w:rFonts w:ascii="Times New Roman" w:cs="Times New Roman" w:eastAsia="Times New Roman" w:hAnsi="Times New Roman"/>
          <w:color w:val="1F2937"/>
          <w:sz w:val="24"/>
          <w:szCs w:val="24"/>
        </w:rPr>
        <w:t xml:space="preserve">Existing blockchain payment systems fail to address three critical barriers to merchant adoption: (1) the absence of a verifiable, merchant-facing savings calculation that proves return on investment at the point of adoption; (2) the absence of a privacy-preserving customer identity system that satisfies KYC/AML requirements without creating a centralized PII database subject to breach liability; and (3) the absence of a long-term pricing mechanism that remains economically rational for both the network operator and the merchant after blockchain payment rails become the market standard rather than an alternative to legacy rails.</w:t>
      </w:r>
    </w:p>
    <w:p>
      <w:pPr>
        <w:spacing w:before="0" w:after="80" w:line="300"/>
        <w:jc w:val="left"/>
      </w:pPr>
      <w:r>
        <w:rPr>
          <w:rFonts w:ascii="Times New Roman" w:cs="Times New Roman" w:eastAsia="Times New Roman" w:hAnsi="Times New Roman"/>
          <w:color w:val="1F2937"/>
          <w:sz w:val="24"/>
          <w:szCs w:val="24"/>
        </w:rPr>
        <w:t xml:space="preserve">Furthermore, existing digital identity systems require the transmission and central storage of sensitive personally identifiable information (PII), including Social Security numbers, financial account credentials, biometric templates, and government-issued identifier numbers, creating significant regulatory compliance burdens under GDPR, CCPA, HIPAA, and PCI DSS frameworks.</w:t>
      </w:r>
    </w:p>
    <w:p>
      <w:pPr>
        <w:spacing w:before="0" w:after="80" w:line="300"/>
        <w:jc w:val="left"/>
      </w:pPr>
      <w:r>
        <w:rPr>
          <w:rFonts w:ascii="Times New Roman" w:cs="Times New Roman" w:eastAsia="Times New Roman" w:hAnsi="Times New Roman"/>
          <w:color w:val="1F2937"/>
          <w:sz w:val="24"/>
          <w:szCs w:val="24"/>
        </w:rPr>
        <w:t xml:space="preserve">The present inventions address all of the foregoing deficiencies through novel systems and methods described herein.</w:t>
      </w:r>
    </w:p>
    <w:p>
      <w:pPr>
        <w:pageBreakBefore/>
        <w:spacing w:before="0" w:after="0"/>
      </w:pPr>
      <w:fldSimple w:instr="[object Object]"/>
    </w:p>
    <w:p>
      <w:pPr>
        <w:spacing w:before="180" w:after="0"/>
      </w:pPr>
    </w:p>
    <w:p>
      <w:pPr>
        <w:pStyle w:val="Heading1"/>
        <w:spacing w:before="0" w:after="80"/>
      </w:pPr>
      <w:r>
        <w:rPr>
          <w:rFonts w:ascii="Times New Roman" w:cs="Times New Roman" w:eastAsia="Times New Roman" w:hAnsi="Times New Roman"/>
          <w:b/>
          <w:bCs/>
          <w:color w:val="0D1B2A"/>
          <w:sz w:val="28"/>
          <w:szCs w:val="28"/>
        </w:rPr>
        <w:t xml:space="preserve">III. SUMMARY OF THE INVENTIONS</w:t>
      </w:r>
    </w:p>
    <w:p>
      <w:pPr>
        <w:pBdr>
          <w:bottom w:val="single" w:color="0D1B2A" w:sz="10" w:space="1"/>
        </w:pBdr>
        <w:spacing w:before="0" w:after="80"/>
      </w:pPr>
    </w:p>
    <w:p>
      <w:pPr>
        <w:spacing w:before="0" w:after="80" w:line="300"/>
        <w:jc w:val="left"/>
      </w:pPr>
      <w:r>
        <w:rPr>
          <w:rFonts w:ascii="Times New Roman" w:cs="Times New Roman" w:eastAsia="Times New Roman" w:hAnsi="Times New Roman"/>
          <w:color w:val="1F2937"/>
          <w:sz w:val="24"/>
          <w:szCs w:val="24"/>
        </w:rPr>
        <w:t xml:space="preserve">The present disclosure encompasses five distinct and separately patentable inventions, each independently novel and non-obvious, that together form an integrated commerce network infrastructure. The inventions may be practiced independently or in combination.</w:t>
      </w:r>
    </w:p>
    <w:p>
      <w:pPr>
        <w:spacing w:before="0" w:after="80" w:line="300"/>
        <w:ind w:left="360" w:hanging="360"/>
        <w:jc w:val="left"/>
      </w:pPr>
      <w:r>
        <w:rPr>
          <w:rFonts w:ascii="Times New Roman" w:cs="Times New Roman" w:eastAsia="Times New Roman" w:hAnsi="Times New Roman"/>
          <w:b/>
          <w:bCs/>
          <w:color w:val="1F2937"/>
          <w:sz w:val="24"/>
          <w:szCs w:val="24"/>
        </w:rPr>
        <w:t xml:space="preserve">Invention 1: </w:t>
      </w:r>
      <w:r>
        <w:rPr>
          <w:rFonts w:ascii="Times New Roman" w:cs="Times New Roman" w:eastAsia="Times New Roman" w:hAnsi="Times New Roman"/>
          <w:b/>
          <w:bCs/>
          <w:color w:val="0D1B2A"/>
          <w:sz w:val="24"/>
          <w:szCs w:val="24"/>
        </w:rPr>
        <w:t xml:space="preserve">Deterministic Shifting Payment Account Number (PAN) System</w:t>
      </w:r>
      <w:r>
        <w:rPr>
          <w:rFonts w:ascii="Times New Roman" w:cs="Times New Roman" w:eastAsia="Times New Roman" w:hAnsi="Times New Roman"/>
          <w:color w:val="1F2937"/>
          <w:sz w:val="24"/>
          <w:szCs w:val="24"/>
        </w:rPr>
        <w:t xml:space="preserve">. </w:t>
      </w:r>
      <w:r>
        <w:rPr>
          <w:rFonts w:ascii="Times New Roman" w:cs="Times New Roman" w:eastAsia="Times New Roman" w:hAnsi="Times New Roman"/>
          <w:color w:val="1F2937"/>
          <w:sz w:val="24"/>
          <w:szCs w:val="24"/>
        </w:rPr>
        <w:t xml:space="preserve">A system for generating transaction-specific, single-use payment account numbers derived deterministically from a master cryptographic key using Hierarchical Deterministic (HD) derivation paths, wherein each derived number is valid for exactly one transaction and is automatically invalidated upon use, preventing payment fraud without requiring the merchant to store card credentials.</w:t>
      </w:r>
    </w:p>
    <w:p>
      <w:pPr>
        <w:spacing w:before="0" w:after="80" w:line="300"/>
        <w:ind w:left="360" w:hanging="360"/>
        <w:jc w:val="left"/>
      </w:pPr>
      <w:r>
        <w:rPr>
          <w:rFonts w:ascii="Times New Roman" w:cs="Times New Roman" w:eastAsia="Times New Roman" w:hAnsi="Times New Roman"/>
          <w:b/>
          <w:bCs/>
          <w:color w:val="1F2937"/>
          <w:sz w:val="24"/>
          <w:szCs w:val="24"/>
        </w:rPr>
        <w:t xml:space="preserve">Invention 2: </w:t>
      </w:r>
      <w:r>
        <w:rPr>
          <w:rFonts w:ascii="Times New Roman" w:cs="Times New Roman" w:eastAsia="Times New Roman" w:hAnsi="Times New Roman"/>
          <w:b/>
          <w:bCs/>
          <w:color w:val="0D1B2A"/>
          <w:sz w:val="24"/>
          <w:szCs w:val="24"/>
        </w:rPr>
        <w:t xml:space="preserve">Behavioral Biometric Cryptographic Key Derivation System (AuraMe Engine)</w:t>
      </w:r>
      <w:r>
        <w:rPr>
          <w:rFonts w:ascii="Times New Roman" w:cs="Times New Roman" w:eastAsia="Times New Roman" w:hAnsi="Times New Roman"/>
          <w:color w:val="1F2937"/>
          <w:sz w:val="24"/>
          <w:szCs w:val="24"/>
        </w:rPr>
        <w:t xml:space="preserve">. </w:t>
      </w:r>
      <w:r>
        <w:rPr>
          <w:rFonts w:ascii="Times New Roman" w:cs="Times New Roman" w:eastAsia="Times New Roman" w:hAnsi="Times New Roman"/>
          <w:color w:val="1F2937"/>
          <w:sz w:val="24"/>
          <w:szCs w:val="24"/>
        </w:rPr>
        <w:t xml:space="preserve">A system and method for generating a cryptographic master key from behavioral biometric signals including keystroke dynamics, voice print analysis, gait pattern recognition, and transaction behavioral patterns, wherein the biometric signals are processed entirely on the user's device within a secure enclave, and wherein the derived key never leaves the device in any form, enabling cryptographic authentication without any remote biometric template storage.</w:t>
      </w:r>
    </w:p>
    <w:p>
      <w:pPr>
        <w:spacing w:before="0" w:after="80" w:line="300"/>
        <w:ind w:left="360" w:hanging="360"/>
        <w:jc w:val="left"/>
      </w:pPr>
      <w:r>
        <w:rPr>
          <w:rFonts w:ascii="Times New Roman" w:cs="Times New Roman" w:eastAsia="Times New Roman" w:hAnsi="Times New Roman"/>
          <w:b/>
          <w:bCs/>
          <w:color w:val="1F2937"/>
          <w:sz w:val="24"/>
          <w:szCs w:val="24"/>
        </w:rPr>
        <w:t xml:space="preserve">Invention 3: </w:t>
      </w:r>
      <w:r>
        <w:rPr>
          <w:rFonts w:ascii="Times New Roman" w:cs="Times New Roman" w:eastAsia="Times New Roman" w:hAnsi="Times New Roman"/>
          <w:b/>
          <w:bCs/>
          <w:color w:val="0D1B2A"/>
          <w:sz w:val="24"/>
          <w:szCs w:val="24"/>
        </w:rPr>
        <w:t xml:space="preserve">Zero-Knowledge Proof Smart Contract Commerce System</w:t>
      </w:r>
      <w:r>
        <w:rPr>
          <w:rFonts w:ascii="Times New Roman" w:cs="Times New Roman" w:eastAsia="Times New Roman" w:hAnsi="Times New Roman"/>
          <w:color w:val="1F2937"/>
          <w:sz w:val="24"/>
          <w:szCs w:val="24"/>
        </w:rPr>
        <w:t xml:space="preserve">. </w:t>
      </w:r>
      <w:r>
        <w:rPr>
          <w:rFonts w:ascii="Times New Roman" w:cs="Times New Roman" w:eastAsia="Times New Roman" w:hAnsi="Times New Roman"/>
          <w:color w:val="1F2937"/>
          <w:sz w:val="24"/>
          <w:szCs w:val="24"/>
        </w:rPr>
        <w:t xml:space="preserve">A system enabling commercial transactions between businesses and consumers wherein the consumer's personal information (identity, age, financial credentials, medical status) is verified through zero-knowledge proofs without the business receiving, storing, or processing any raw personal data, wherein the smart contract receives only a cryptographic attestation of the required attribute and returns only a binary verification result.</w:t>
      </w:r>
    </w:p>
    <w:p>
      <w:pPr>
        <w:spacing w:before="0" w:after="80" w:line="300"/>
        <w:ind w:left="360" w:hanging="360"/>
        <w:jc w:val="left"/>
      </w:pPr>
      <w:r>
        <w:rPr>
          <w:rFonts w:ascii="Times New Roman" w:cs="Times New Roman" w:eastAsia="Times New Roman" w:hAnsi="Times New Roman"/>
          <w:b/>
          <w:bCs/>
          <w:color w:val="1F2937"/>
          <w:sz w:val="24"/>
          <w:szCs w:val="24"/>
        </w:rPr>
        <w:t xml:space="preserve">Invention 4: </w:t>
      </w:r>
      <w:r>
        <w:rPr>
          <w:rFonts w:ascii="Times New Roman" w:cs="Times New Roman" w:eastAsia="Times New Roman" w:hAnsi="Times New Roman"/>
          <w:b/>
          <w:bCs/>
          <w:color w:val="0D1B2A"/>
          <w:sz w:val="24"/>
          <w:szCs w:val="24"/>
        </w:rPr>
        <w:t xml:space="preserve">Performance-Linked Fee Distribution Protocol (FeeDistributor Architecture)</w:t>
      </w:r>
      <w:r>
        <w:rPr>
          <w:rFonts w:ascii="Times New Roman" w:cs="Times New Roman" w:eastAsia="Times New Roman" w:hAnsi="Times New Roman"/>
          <w:color w:val="1F2937"/>
          <w:sz w:val="24"/>
          <w:szCs w:val="24"/>
        </w:rPr>
        <w:t xml:space="preserve">. </w:t>
      </w:r>
      <w:r>
        <w:rPr>
          <w:rFonts w:ascii="Times New Roman" w:cs="Times New Roman" w:eastAsia="Times New Roman" w:hAnsi="Times New Roman"/>
          <w:color w:val="1F2937"/>
          <w:sz w:val="24"/>
          <w:szCs w:val="24"/>
        </w:rPr>
        <w:t xml:space="preserve">A smart contract architecture and associated business method wherein payment system subscription fees are calculated as a percentage of verifiable cost savings delivered to the subscriber, compared against a measurable baseline (legacy payment processor rate), with fees automatically routed from subscriber wallets to the protocol treasury via smart contract, and wherein fee calculation is independently verifiable on-chain by any party without disclosing the subscriber's transaction volume.</w:t>
      </w:r>
    </w:p>
    <w:p>
      <w:pPr>
        <w:spacing w:before="0" w:after="80" w:line="300"/>
        <w:ind w:left="360" w:hanging="360"/>
        <w:jc w:val="left"/>
      </w:pPr>
      <w:r>
        <w:rPr>
          <w:rFonts w:ascii="Times New Roman" w:cs="Times New Roman" w:eastAsia="Times New Roman" w:hAnsi="Times New Roman"/>
          <w:b/>
          <w:bCs/>
          <w:color w:val="1F2937"/>
          <w:sz w:val="24"/>
          <w:szCs w:val="24"/>
        </w:rPr>
        <w:t xml:space="preserve">Invention 5: </w:t>
      </w:r>
      <w:r>
        <w:rPr>
          <w:rFonts w:ascii="Times New Roman" w:cs="Times New Roman" w:eastAsia="Times New Roman" w:hAnsi="Times New Roman"/>
          <w:b/>
          <w:bCs/>
          <w:color w:val="0D1B2A"/>
          <w:sz w:val="24"/>
          <w:szCs w:val="24"/>
        </w:rPr>
        <w:t xml:space="preserve">Lifecycle Ownership Transition System for Commerce Networks</w:t>
      </w:r>
      <w:r>
        <w:rPr>
          <w:rFonts w:ascii="Times New Roman" w:cs="Times New Roman" w:eastAsia="Times New Roman" w:hAnsi="Times New Roman"/>
          <w:color w:val="1F2937"/>
          <w:sz w:val="24"/>
          <w:szCs w:val="24"/>
        </w:rPr>
        <w:t xml:space="preserve">. </w:t>
      </w:r>
      <w:r>
        <w:rPr>
          <w:rFonts w:ascii="Times New Roman" w:cs="Times New Roman" w:eastAsia="Times New Roman" w:hAnsi="Times New Roman"/>
          <w:color w:val="1F2937"/>
          <w:sz w:val="24"/>
          <w:szCs w:val="24"/>
        </w:rPr>
        <w:t xml:space="preserve">A tokenomic system and associated business model wherein new subscribers to a commerce network pay performance-based fees during an initial adoption phase, accumulate governance and utility tokens through network participation, reach a transition point at which token staking yield equals or exceeds subscription fees, and thereafter operate as network stakeholders earning net positive income from the network rather than paying net subscription costs, creating a mathematically defined transition from customer status to owner status.</w:t>
      </w:r>
    </w:p>
    <w:p>
      <w:pPr>
        <w:pageBreakBefore/>
        <w:spacing w:before="0" w:after="0"/>
      </w:pPr>
      <w:fldSimple w:instr="[object Object]"/>
    </w:p>
    <w:p>
      <w:pPr>
        <w:spacing w:before="180" w:after="0"/>
      </w:pPr>
    </w:p>
    <w:p>
      <w:pPr>
        <w:pStyle w:val="Heading1"/>
        <w:spacing w:before="0" w:after="80"/>
      </w:pPr>
      <w:r>
        <w:rPr>
          <w:rFonts w:ascii="Times New Roman" w:cs="Times New Roman" w:eastAsia="Times New Roman" w:hAnsi="Times New Roman"/>
          <w:b/>
          <w:bCs/>
          <w:color w:val="0D1B2A"/>
          <w:sz w:val="28"/>
          <w:szCs w:val="28"/>
        </w:rPr>
        <w:t xml:space="preserve">IV. DETAILED DESCRIPTION OF THE INVENTIONS</w:t>
      </w:r>
    </w:p>
    <w:p>
      <w:pPr>
        <w:pBdr>
          <w:bottom w:val="single" w:color="0D1B2A" w:sz="10" w:space="1"/>
        </w:pBdr>
        <w:spacing w:before="0" w:after="80"/>
      </w:pPr>
    </w:p>
    <w:p>
      <w:pPr>
        <w:pStyle w:val="Heading2"/>
        <w:spacing w:before="160" w:after="60"/>
      </w:pPr>
      <w:r>
        <w:rPr>
          <w:rFonts w:ascii="Times New Roman" w:cs="Times New Roman" w:eastAsia="Times New Roman" w:hAnsi="Times New Roman"/>
          <w:b/>
          <w:bCs/>
          <w:color w:val="0D1B2A"/>
          <w:sz w:val="24"/>
          <w:szCs w:val="24"/>
        </w:rPr>
        <w:t xml:space="preserve">A. Invention 1: Deterministic Shifting Payment Account Number System</w:t>
      </w:r>
    </w:p>
    <w:p>
      <w:pPr>
        <w:spacing w:before="0" w:after="80" w:line="300"/>
        <w:jc w:val="left"/>
      </w:pPr>
      <w:r>
        <w:rPr>
          <w:rFonts w:ascii="Times New Roman" w:cs="Times New Roman" w:eastAsia="Times New Roman" w:hAnsi="Times New Roman"/>
          <w:color w:val="1F2937"/>
          <w:sz w:val="24"/>
          <w:szCs w:val="24"/>
        </w:rPr>
        <w:t xml:space="preserve">In a preferred embodiment, the Shifting PAN system comprises: (a) a master private key stored exclusively in a device-level secure enclave, generated from the user's behavioral biometric signals as described in Invention 2; (b) a deterministic derivation function f(masterKey, path) where path = m/44'/60'/0'/0/n, and n is a monotonically increasing transaction nonce; (c) a 16-digit Primary Account Number (PAN) derived from the first 64 bits of the HMAC-SHA256 output of f, formatted to conform to the ISO/IEC 7812 standard with a valid Luhn check digit; and (d) a smart contract registry on a Layer 2 blockchain network that records the commitment hash of each derived PAN without storing the PAN itself.</w:t>
      </w:r>
    </w:p>
    <w:p>
      <w:pPr>
        <w:spacing w:before="0" w:after="80" w:line="300"/>
        <w:jc w:val="left"/>
      </w:pPr>
      <w:r>
        <w:rPr>
          <w:rFonts w:ascii="Times New Roman" w:cs="Times New Roman" w:eastAsia="Times New Roman" w:hAnsi="Times New Roman"/>
          <w:color w:val="1F2937"/>
          <w:sz w:val="24"/>
          <w:szCs w:val="24"/>
        </w:rPr>
        <w:t xml:space="preserve">The derived PAN is transmitted to the merchant payment terminal for the sole purpose of processing a single transaction. Upon successful transaction confirmation on-chain, the smart contract automatically invalidates the derived PAN by recording its hash in a spent-nonces mapping, preventing replay attacks. The merchant's payment terminal receives a cryptographic proof of payment without ever having access to the master key or any prior or future derived PANs.</w:t>
      </w:r>
    </w:p>
    <w:p>
      <w:pPr>
        <w:spacing w:before="0" w:after="80" w:line="300"/>
        <w:jc w:val="left"/>
      </w:pPr>
      <w:r>
        <w:rPr>
          <w:rFonts w:ascii="Times New Roman" w:cs="Times New Roman" w:eastAsia="Times New Roman" w:hAnsi="Times New Roman"/>
          <w:color w:val="1F2937"/>
          <w:sz w:val="24"/>
          <w:szCs w:val="24"/>
        </w:rPr>
        <w:t xml:space="preserve">A physical card embodiment comprises a card substrate displaying only a derived public identifier valid at time of issuance. The physical card contains no static account number, no CVV, and no direct link to the cardholder's base financial account. Loss or theft of the physical card exposes no exploitable payment credential.</w:t>
      </w:r>
    </w:p>
    <w:p>
      <w:pPr>
        <w:spacing w:before="0" w:after="80" w:line="300"/>
        <w:jc w:val="left"/>
      </w:pPr>
      <w:r>
        <w:rPr>
          <w:rFonts w:ascii="Times New Roman" w:cs="Times New Roman" w:eastAsia="Times New Roman" w:hAnsi="Times New Roman"/>
          <w:color w:val="1F2937"/>
          <w:sz w:val="24"/>
          <w:szCs w:val="24"/>
        </w:rPr>
        <w:t xml:space="preserve">The inventive step over prior art includes: (1) the application of HD wallet path derivation, previously limited to cryptocurrency address generation, to payment card number generation; (2) the on-chain invalidation mechanism that prevents nonce reuse without requiring a centralized authorization server; and (3) the physical card embodiment that presents only a derived public identifier, achieving zero-knowledge physical payment.</w:t>
      </w:r>
    </w:p>
    <w:p>
      <w:pPr>
        <w:pStyle w:val="Heading2"/>
        <w:spacing w:before="160" w:after="60"/>
      </w:pPr>
      <w:r>
        <w:rPr>
          <w:rFonts w:ascii="Times New Roman" w:cs="Times New Roman" w:eastAsia="Times New Roman" w:hAnsi="Times New Roman"/>
          <w:b/>
          <w:bCs/>
          <w:color w:val="0D1B2A"/>
          <w:sz w:val="24"/>
          <w:szCs w:val="24"/>
        </w:rPr>
        <w:t xml:space="preserve">B. Invention 2: Behavioral Biometric Cryptographic Key Derivation System</w:t>
      </w:r>
    </w:p>
    <w:p>
      <w:pPr>
        <w:spacing w:before="0" w:after="80" w:line="300"/>
        <w:jc w:val="left"/>
      </w:pPr>
      <w:r>
        <w:rPr>
          <w:rFonts w:ascii="Times New Roman" w:cs="Times New Roman" w:eastAsia="Times New Roman" w:hAnsi="Times New Roman"/>
          <w:color w:val="1F2937"/>
          <w:sz w:val="24"/>
          <w:szCs w:val="24"/>
        </w:rPr>
        <w:t xml:space="preserve">In a preferred embodiment, the AuraMe Engine comprises: (a) a multi-modal behavioral signal collector operating entirely within the device's application layer, capturing keystroke timing intervals (dwell time, flight time, n-graph statistics), voice fundamental frequency, formant transitions and speaking rate variability, and accelerometer-derived gait cycle parameters; (b) a feature extraction module that reduces captured signals to a normalized behavioral feature vector of dimension d ≥ 256; (c) a key derivation function KDF(featureVector, salt, iterations) producing a 256-bit cryptographic key using PBKDF2 with HMAC-SHA256; and (d) a secure enclave storage module that retains the derived key in hardware-isolated memory unavailable to the operating system or any application.</w:t>
      </w:r>
    </w:p>
    <w:p>
      <w:pPr>
        <w:spacing w:before="0" w:after="80" w:line="300"/>
        <w:jc w:val="left"/>
      </w:pPr>
      <w:r>
        <w:rPr>
          <w:rFonts w:ascii="Times New Roman" w:cs="Times New Roman" w:eastAsia="Times New Roman" w:hAnsi="Times New Roman"/>
          <w:color w:val="1F2937"/>
          <w:sz w:val="24"/>
          <w:szCs w:val="24"/>
        </w:rPr>
        <w:t xml:space="preserve">Critically, the behavioral feature vector is not stored at any point. The key derivation process is one-directional: given the derived key, it is computationally infeasible to reconstruct the behavioral feature vector. Given the behavioral feature vector, the derived key is deterministically reproducible. The system thus provides biometric-equivalent security without storing biometric data in any form.</w:t>
      </w:r>
    </w:p>
    <w:p>
      <w:pPr>
        <w:spacing w:before="0" w:after="80" w:line="300"/>
        <w:jc w:val="left"/>
      </w:pPr>
      <w:r>
        <w:rPr>
          <w:rFonts w:ascii="Times New Roman" w:cs="Times New Roman" w:eastAsia="Times New Roman" w:hAnsi="Times New Roman"/>
          <w:color w:val="1F2937"/>
          <w:sz w:val="24"/>
          <w:szCs w:val="24"/>
        </w:rPr>
        <w:t xml:space="preserve">A confidence scoring subsystem continuously evaluates the behavioral signals against the enrolled pattern, generating a real-time confidence score c ∈ [0,100]. Transactions are authorized only when c exceeds a configurable threshold t, and the threshold may be dynamically adjusted based on transaction risk classification (e.g., t = 75 for routine purchases, t = 95 for high-value transfers).</w:t>
      </w:r>
    </w:p>
    <w:p>
      <w:pPr>
        <w:pStyle w:val="Heading2"/>
        <w:spacing w:before="160" w:after="60"/>
      </w:pPr>
      <w:r>
        <w:rPr>
          <w:rFonts w:ascii="Times New Roman" w:cs="Times New Roman" w:eastAsia="Times New Roman" w:hAnsi="Times New Roman"/>
          <w:b/>
          <w:bCs/>
          <w:color w:val="0D1B2A"/>
          <w:sz w:val="24"/>
          <w:szCs w:val="24"/>
        </w:rPr>
        <w:t xml:space="preserve">C. Invention 3: Zero-Knowledge Proof Smart Contract Commerce System</w:t>
      </w:r>
    </w:p>
    <w:p>
      <w:pPr>
        <w:spacing w:before="0" w:after="80" w:line="300"/>
        <w:jc w:val="left"/>
      </w:pPr>
      <w:r>
        <w:rPr>
          <w:rFonts w:ascii="Times New Roman" w:cs="Times New Roman" w:eastAsia="Times New Roman" w:hAnsi="Times New Roman"/>
          <w:color w:val="1F2937"/>
          <w:sz w:val="24"/>
          <w:szCs w:val="24"/>
        </w:rPr>
        <w:t xml:space="preserve">In a preferred embodiment, the ZK Commerce System comprises: (a) a client-side ZK proof generator that produces a Groth16 zero-knowledge succinct non-interactive argument of knowledge (zk-SNARK) for a requested attribute predicate; (b) a smart contract verifier deployed on a Layer 2 blockchain that verifies the submitted proof against a committed credential root without accessing any underlying credential data; and (c) a result router that returns only the binary verification result and any explicitly pre-authorized attribute values to the requesting business entity.</w:t>
      </w:r>
    </w:p>
    <w:p>
      <w:pPr>
        <w:spacing w:before="0" w:after="80" w:line="300"/>
        <w:jc w:val="left"/>
      </w:pPr>
      <w:r>
        <w:rPr>
          <w:rFonts w:ascii="Times New Roman" w:cs="Times New Roman" w:eastAsia="Times New Roman" w:hAnsi="Times New Roman"/>
          <w:color w:val="1F2937"/>
          <w:sz w:val="24"/>
          <w:szCs w:val="24"/>
        </w:rPr>
        <w:t xml:space="preserve">Supported attribute predicates include but are not limited to: identity_is_verified(minimum_confidence: uint8) → bool; age_is_at_least(minimum_age: uint8) → bool; account_balance_exceeds(threshold: uint256, currency: address) → bool; credential_is_valid(credential_type: bytes32) → bool; and custom_attribute_proof(attribute_hash: bytes32, predicate: bytes) → bool.</w:t>
      </w:r>
    </w:p>
    <w:p>
      <w:pPr>
        <w:spacing w:before="0" w:after="80" w:line="300"/>
        <w:jc w:val="left"/>
      </w:pPr>
      <w:r>
        <w:rPr>
          <w:rFonts w:ascii="Times New Roman" w:cs="Times New Roman" w:eastAsia="Times New Roman" w:hAnsi="Times New Roman"/>
          <w:color w:val="1F2937"/>
          <w:sz w:val="24"/>
          <w:szCs w:val="24"/>
        </w:rPr>
        <w:t xml:space="preserve">The EmployeeVault embodiment stores an AES-256-GCM encrypted vault root commitment on-chain. The vault root is the Merkle root of all employee credential entries. An employer system may request verification of any attribute (employment status, professional license validity, payroll authorization) by providing a ZK proof derived from the employee's AllCard device. The smart contract verifies the proof against the stored commitment and returns a scoped authorization token. Raw employee PII is never present in any system controlled by the employer.</w:t>
      </w:r>
    </w:p>
    <w:p>
      <w:pPr>
        <w:pStyle w:val="Heading2"/>
        <w:spacing w:before="160" w:after="60"/>
      </w:pPr>
      <w:r>
        <w:rPr>
          <w:rFonts w:ascii="Times New Roman" w:cs="Times New Roman" w:eastAsia="Times New Roman" w:hAnsi="Times New Roman"/>
          <w:b/>
          <w:bCs/>
          <w:color w:val="0D1B2A"/>
          <w:sz w:val="24"/>
          <w:szCs w:val="24"/>
        </w:rPr>
        <w:t xml:space="preserve">D. Invention 4: Performance-Linked Fee Distribution Protocol</w:t>
      </w:r>
    </w:p>
    <w:p>
      <w:pPr>
        <w:spacing w:before="0" w:after="80" w:line="300"/>
        <w:jc w:val="left"/>
      </w:pPr>
      <w:r>
        <w:rPr>
          <w:rFonts w:ascii="Times New Roman" w:cs="Times New Roman" w:eastAsia="Times New Roman" w:hAnsi="Times New Roman"/>
          <w:color w:val="1F2937"/>
          <w:sz w:val="24"/>
          <w:szCs w:val="24"/>
        </w:rPr>
        <w:t xml:space="preserve">In a preferred embodiment, the FeeDistributor Architecture comprises: (a) a baseline oracle that reads the current standard payment processing rate for the subscriber's business category from an authoritative rate feed; (b) a transaction volume accumulator that records the subscriber's on-chain transaction volume during each billing period without revealing individual transaction details; (c) a savings calculation function S = V × (r_baseline - r_protocol) where V is transaction volume, r_baseline is the oracle-sourced standard rate, and r_protocol is the QWKS protocol's actual per-transaction cost; (d) a fee calculation function F = S × p where p is the agreed performance percentage (default 10%); and (e) a distribution smart contract that automatically routes F to the protocol treasury, and S × (1-p) is confirmed as retained by the subscriber.</w:t>
      </w:r>
    </w:p>
    <w:p>
      <w:pPr>
        <w:spacing w:before="0" w:after="80" w:line="300"/>
        <w:jc w:val="left"/>
      </w:pPr>
      <w:r>
        <w:rPr>
          <w:rFonts w:ascii="Times New Roman" w:cs="Times New Roman" w:eastAsia="Times New Roman" w:hAnsi="Times New Roman"/>
          <w:color w:val="1F2937"/>
          <w:sz w:val="24"/>
          <w:szCs w:val="24"/>
        </w:rPr>
        <w:t xml:space="preserve">The inventive step over prior art includes: (1) the use of an on-chain oracle to establish a verifiable, tamper-proof savings baseline rather than a self-reported comparison; (2) the smart contract enforcement of performance-linked pricing, eliminating the need for billing disputes or audit procedures; and (3) the mathematical guarantee that the subscriber's net position is always positive (S × (1-p) &gt; 0 whenever any savings are generated), providing a provable economic guarantee in contract form.</w:t>
      </w:r>
    </w:p>
    <w:p>
      <w:pPr>
        <w:pStyle w:val="Heading2"/>
        <w:spacing w:before="160" w:after="60"/>
      </w:pPr>
      <w:r>
        <w:rPr>
          <w:rFonts w:ascii="Times New Roman" w:cs="Times New Roman" w:eastAsia="Times New Roman" w:hAnsi="Times New Roman"/>
          <w:b/>
          <w:bCs/>
          <w:color w:val="0D1B2A"/>
          <w:sz w:val="24"/>
          <w:szCs w:val="24"/>
        </w:rPr>
        <w:t xml:space="preserve">E. Invention 5: Lifecycle Ownership Transition System</w:t>
      </w:r>
    </w:p>
    <w:p>
      <w:pPr>
        <w:spacing w:before="0" w:after="80" w:line="300"/>
        <w:jc w:val="left"/>
      </w:pPr>
      <w:r>
        <w:rPr>
          <w:rFonts w:ascii="Times New Roman" w:cs="Times New Roman" w:eastAsia="Times New Roman" w:hAnsi="Times New Roman"/>
          <w:color w:val="1F2937"/>
          <w:sz w:val="24"/>
          <w:szCs w:val="24"/>
        </w:rPr>
        <w:t xml:space="preserve">In a preferred embodiment, the Lifecycle Ownership Transition System comprises: (a) a transaction reward accumulator that distributes a micro-quantity of governance token T for each network transaction processed by subscriber S, following the distribution function r_s = k × vol_s / vol_total where vol_s is the subscriber's transaction volume and vol_total is network-wide transaction volume; (b) a staking contract that accepts deposits of T and distributes staking yield funded by a fixed percentage q of all network transaction fees; (c) a transition point calculator that determines, for each subscriber, the staking position size P* at which annual staking yield Y = P* × APY equals or exceeds the subscriber's annual subscription fee F_sub; and (d) a lifecycle status registry that tracks each subscriber's position relative to P* and adjusts fee obligations accordingly.</w:t>
      </w:r>
    </w:p>
    <w:p>
      <w:pPr>
        <w:spacing w:before="0" w:after="80" w:line="300"/>
        <w:jc w:val="left"/>
      </w:pPr>
      <w:r>
        <w:rPr>
          <w:rFonts w:ascii="Times New Roman" w:cs="Times New Roman" w:eastAsia="Times New Roman" w:hAnsi="Times New Roman"/>
          <w:color w:val="1F2937"/>
          <w:sz w:val="24"/>
          <w:szCs w:val="24"/>
        </w:rPr>
        <w:t xml:space="preserve">The business method embodiment comprises the sequential phases: Phase 1 (Subscriber): entity pays performance-linked subscription fee and accumulates governance tokens through transaction volume; Phase 2 (Participant): accumulated staking yield partially offsets subscription fee; Phase 3 (Stakeholder): staking yield equals subscription fee, net cost approaches zero; Phase 4 (Owner): staking yield exceeds subscription fee, entity receives net income from the network; Phase 5 (Partner): high-tenure entity receives revenue share on new subscriber referrals, creating aligned economic incentives for network growth.</w:t>
      </w:r>
    </w:p>
    <w:p>
      <w:pPr>
        <w:spacing w:before="0" w:after="80" w:line="300"/>
        <w:jc w:val="left"/>
      </w:pPr>
      <w:r>
        <w:rPr>
          <w:rFonts w:ascii="Times New Roman" w:cs="Times New Roman" w:eastAsia="Times New Roman" w:hAnsi="Times New Roman"/>
          <w:color w:val="1F2937"/>
          <w:sz w:val="24"/>
          <w:szCs w:val="24"/>
        </w:rPr>
        <w:t xml:space="preserve">The inventive step over prior art includes: (1) the mathematical definition of a transition point P* at which customer status transitions to owner status, creating a contractual and economic obligation for the network to deliver this transition; (2) the use of on-chain governance tokens as the mechanism for this transition, eliminating the need for equity issuance or formal ownership transfer; and (3) the referral revenue share in Phase 5, which transforms network subscribers into a distributed sales and advocacy force with permanent economic alignment.</w:t>
      </w:r>
    </w:p>
    <w:p>
      <w:pPr>
        <w:pageBreakBefore/>
        <w:spacing w:before="0" w:after="0"/>
      </w:pPr>
      <w:fldSimple w:instr="[object Object]"/>
    </w:p>
    <w:p>
      <w:pPr>
        <w:spacing w:before="180" w:after="0"/>
      </w:pPr>
    </w:p>
    <w:p>
      <w:pPr>
        <w:pStyle w:val="Heading1"/>
        <w:spacing w:before="0" w:after="80"/>
      </w:pPr>
      <w:r>
        <w:rPr>
          <w:rFonts w:ascii="Times New Roman" w:cs="Times New Roman" w:eastAsia="Times New Roman" w:hAnsi="Times New Roman"/>
          <w:b/>
          <w:bCs/>
          <w:color w:val="0D1B2A"/>
          <w:sz w:val="28"/>
          <w:szCs w:val="28"/>
        </w:rPr>
        <w:t xml:space="preserve">V. CLAIMS</w:t>
      </w:r>
    </w:p>
    <w:p>
      <w:pPr>
        <w:pBdr>
          <w:bottom w:val="single" w:color="0D1B2A" w:sz="10" w:space="1"/>
        </w:pBdr>
        <w:spacing w:before="0" w:after="80"/>
      </w:pPr>
    </w:p>
    <w:p>
      <w:pPr>
        <w:spacing w:before="0" w:after="80" w:line="300"/>
        <w:jc w:val="left"/>
      </w:pPr>
      <w:r>
        <w:rPr>
          <w:rFonts w:ascii="Times New Roman" w:cs="Times New Roman" w:eastAsia="Times New Roman" w:hAnsi="Times New Roman"/>
          <w:b/>
          <w:bCs/>
          <w:color w:val="1F2937"/>
          <w:sz w:val="24"/>
          <w:szCs w:val="24"/>
        </w:rPr>
        <w:t xml:space="preserve">What is claimed is:</w:t>
      </w:r>
    </w:p>
    <w:p>
      <w:pPr>
        <w:spacing w:before="0" w:after="60" w:line="320"/>
        <w:jc w:val="left"/>
      </w:pPr>
      <w:r>
        <w:rPr>
          <w:rFonts w:ascii="Times New Roman" w:cs="Times New Roman" w:eastAsia="Times New Roman" w:hAnsi="Times New Roman"/>
          <w:b/>
          <w:bCs/>
          <w:color w:val="1F2937"/>
          <w:sz w:val="24"/>
          <w:szCs w:val="24"/>
        </w:rPr>
        <w:t xml:space="preserve">1. </w:t>
      </w:r>
      <w:r>
        <w:rPr>
          <w:rFonts w:ascii="Times New Roman" w:cs="Times New Roman" w:eastAsia="Times New Roman" w:hAnsi="Times New Roman"/>
          <w:color w:val="1F2937"/>
          <w:sz w:val="24"/>
          <w:szCs w:val="24"/>
        </w:rPr>
        <w:t xml:space="preserve">A computer-implemented payment system comprising: a secure enclave on a user device storing a master cryptographic key; a deterministic derivation module configured to generate a unique single-use payment account number for each transaction by applying a hierarchical deterministic derivation function to the master cryptographic key and a monotonically increasing transaction nonce; a blockchain smart contract configured to record a commitment hash of each derived payment account number and invalidate each hash upon transaction confirmation; and a payment processing interface configured to transmit the derived single-use account number to a merchant terminal for a single authorized transaction, wherein the master cryptographic key is not transmitted to any external system at any time.</w:t>
      </w:r>
    </w:p>
    <w:p>
      <w:pPr>
        <w:spacing w:before="0" w:after="60" w:line="320"/>
        <w:ind w:left="720" w:hanging="0"/>
        <w:jc w:val="left"/>
      </w:pPr>
      <w:r>
        <w:rPr>
          <w:rFonts w:ascii="Times New Roman" w:cs="Times New Roman" w:eastAsia="Times New Roman" w:hAnsi="Times New Roman"/>
          <w:b/>
          <w:bCs/>
          <w:color w:val="1F2937"/>
          <w:sz w:val="24"/>
          <w:szCs w:val="24"/>
        </w:rPr>
        <w:t xml:space="preserve">2. </w:t>
      </w:r>
      <w:r>
        <w:rPr>
          <w:rFonts w:ascii="Times New Roman" w:cs="Times New Roman" w:eastAsia="Times New Roman" w:hAnsi="Times New Roman"/>
          <w:color w:val="1F2937"/>
          <w:sz w:val="24"/>
          <w:szCs w:val="24"/>
        </w:rPr>
        <w:t xml:space="preserve">The system of claim 1, wherein the deterministic derivation function is HMAC-SHA256 applied to a BIP-44 hierarchical deterministic wallet derivation path of the form m/44'/60'/0'/0/n, where n is the transaction nonce.</w:t>
      </w:r>
    </w:p>
    <w:p>
      <w:pPr>
        <w:spacing w:before="0" w:after="60" w:line="320"/>
        <w:ind w:left="720" w:hanging="0"/>
        <w:jc w:val="left"/>
      </w:pPr>
      <w:r>
        <w:rPr>
          <w:rFonts w:ascii="Times New Roman" w:cs="Times New Roman" w:eastAsia="Times New Roman" w:hAnsi="Times New Roman"/>
          <w:b/>
          <w:bCs/>
          <w:color w:val="1F2937"/>
          <w:sz w:val="24"/>
          <w:szCs w:val="24"/>
        </w:rPr>
        <w:t xml:space="preserve">3. </w:t>
      </w:r>
      <w:r>
        <w:rPr>
          <w:rFonts w:ascii="Times New Roman" w:cs="Times New Roman" w:eastAsia="Times New Roman" w:hAnsi="Times New Roman"/>
          <w:color w:val="1F2937"/>
          <w:sz w:val="24"/>
          <w:szCs w:val="24"/>
        </w:rPr>
        <w:t xml:space="preserve">The system of claim 1, further comprising a physical card substrate displaying only a derived public identifier generated from the master cryptographic key at time of card issuance, wherein the physical card contains no static account number and no direct reference to any underlying financial account.</w:t>
      </w:r>
    </w:p>
    <w:p>
      <w:pPr>
        <w:spacing w:before="0" w:after="60" w:line="320"/>
        <w:jc w:val="left"/>
      </w:pPr>
      <w:r>
        <w:rPr>
          <w:rFonts w:ascii="Times New Roman" w:cs="Times New Roman" w:eastAsia="Times New Roman" w:hAnsi="Times New Roman"/>
          <w:b/>
          <w:bCs/>
          <w:color w:val="1F2937"/>
          <w:sz w:val="24"/>
          <w:szCs w:val="24"/>
        </w:rPr>
        <w:t xml:space="preserve">4. </w:t>
      </w:r>
      <w:r>
        <w:rPr>
          <w:rFonts w:ascii="Times New Roman" w:cs="Times New Roman" w:eastAsia="Times New Roman" w:hAnsi="Times New Roman"/>
          <w:color w:val="1F2937"/>
          <w:sz w:val="24"/>
          <w:szCs w:val="24"/>
        </w:rPr>
        <w:t xml:space="preserve">A computer-implemented biometric cryptographic key derivation system comprising: a multi-modal behavioral signal collector operating within a device application layer configured to capture keystroke dynamics, voice print parameters, and gait cycle data; a feature extraction module configured to reduce captured signals to a normalized behavioral feature vector; a key derivation function configured to generate a 256-bit cryptographic master key from the behavioral feature vector using PBKDF2 with HMAC-SHA256; and a secure enclave storage module configured to store the derived master key in hardware-isolated memory, wherein the behavioral feature vector is not stored in any form after key derivation.</w:t>
      </w:r>
    </w:p>
    <w:p>
      <w:pPr>
        <w:spacing w:before="0" w:after="60" w:line="320"/>
        <w:ind w:left="720" w:hanging="0"/>
        <w:jc w:val="left"/>
      </w:pPr>
      <w:r>
        <w:rPr>
          <w:rFonts w:ascii="Times New Roman" w:cs="Times New Roman" w:eastAsia="Times New Roman" w:hAnsi="Times New Roman"/>
          <w:b/>
          <w:bCs/>
          <w:color w:val="1F2937"/>
          <w:sz w:val="24"/>
          <w:szCs w:val="24"/>
        </w:rPr>
        <w:t xml:space="preserve">5. </w:t>
      </w:r>
      <w:r>
        <w:rPr>
          <w:rFonts w:ascii="Times New Roman" w:cs="Times New Roman" w:eastAsia="Times New Roman" w:hAnsi="Times New Roman"/>
          <w:color w:val="1F2937"/>
          <w:sz w:val="24"/>
          <w:szCs w:val="24"/>
        </w:rPr>
        <w:t xml:space="preserve">The system of claim 4, wherein the key derivation is one-directional such that reconstruction of the behavioral feature vector from the derived master key is computationally infeasible.</w:t>
      </w:r>
    </w:p>
    <w:p>
      <w:pPr>
        <w:spacing w:before="0" w:after="60" w:line="320"/>
        <w:ind w:left="720" w:hanging="0"/>
        <w:jc w:val="left"/>
      </w:pPr>
      <w:r>
        <w:rPr>
          <w:rFonts w:ascii="Times New Roman" w:cs="Times New Roman" w:eastAsia="Times New Roman" w:hAnsi="Times New Roman"/>
          <w:b/>
          <w:bCs/>
          <w:color w:val="1F2937"/>
          <w:sz w:val="24"/>
          <w:szCs w:val="24"/>
        </w:rPr>
        <w:t xml:space="preserve">6. </w:t>
      </w:r>
      <w:r>
        <w:rPr>
          <w:rFonts w:ascii="Times New Roman" w:cs="Times New Roman" w:eastAsia="Times New Roman" w:hAnsi="Times New Roman"/>
          <w:color w:val="1F2937"/>
          <w:sz w:val="24"/>
          <w:szCs w:val="24"/>
        </w:rPr>
        <w:t xml:space="preserve">The system of claim 4, further comprising a continuous confidence scoring subsystem configured to evaluate real-time behavioral signals against the enrolled behavioral pattern and generate a confidence score, wherein transactions are authorized only when the confidence score exceeds a configurable threshold.</w:t>
      </w:r>
    </w:p>
    <w:p>
      <w:pPr>
        <w:spacing w:before="0" w:after="60" w:line="320"/>
        <w:jc w:val="left"/>
      </w:pPr>
      <w:r>
        <w:rPr>
          <w:rFonts w:ascii="Times New Roman" w:cs="Times New Roman" w:eastAsia="Times New Roman" w:hAnsi="Times New Roman"/>
          <w:b/>
          <w:bCs/>
          <w:color w:val="1F2937"/>
          <w:sz w:val="24"/>
          <w:szCs w:val="24"/>
        </w:rPr>
        <w:t xml:space="preserve">7. </w:t>
      </w:r>
      <w:r>
        <w:rPr>
          <w:rFonts w:ascii="Times New Roman" w:cs="Times New Roman" w:eastAsia="Times New Roman" w:hAnsi="Times New Roman"/>
          <w:color w:val="1F2937"/>
          <w:sz w:val="24"/>
          <w:szCs w:val="24"/>
        </w:rPr>
        <w:t xml:space="preserve">A blockchain-based commerce system comprising: a client-side zero-knowledge proof generator configured to produce a zk-SNARK for a requested attribute predicate regarding a user credential; a smart contract verifier deployed on a blockchain network configured to verify the zero-knowledge proof against a committed credential root without accessing any underlying credential data; and a result router configured to return only a binary verification result to a requesting business entity, wherein no raw personally identifiable information is transmitted to or stored by the business entity at any point in the verification process.</w:t>
      </w:r>
    </w:p>
    <w:p>
      <w:pPr>
        <w:spacing w:before="0" w:after="60" w:line="320"/>
        <w:ind w:left="720" w:hanging="0"/>
        <w:jc w:val="left"/>
      </w:pPr>
      <w:r>
        <w:rPr>
          <w:rFonts w:ascii="Times New Roman" w:cs="Times New Roman" w:eastAsia="Times New Roman" w:hAnsi="Times New Roman"/>
          <w:b/>
          <w:bCs/>
          <w:color w:val="1F2937"/>
          <w:sz w:val="24"/>
          <w:szCs w:val="24"/>
        </w:rPr>
        <w:t xml:space="preserve">8. </w:t>
      </w:r>
      <w:r>
        <w:rPr>
          <w:rFonts w:ascii="Times New Roman" w:cs="Times New Roman" w:eastAsia="Times New Roman" w:hAnsi="Times New Roman"/>
          <w:color w:val="1F2937"/>
          <w:sz w:val="24"/>
          <w:szCs w:val="24"/>
        </w:rPr>
        <w:t xml:space="preserve">The system of claim 7, wherein the committed credential root is the Merkle root of an AES-256-GCM encrypted credential vault, and wherein the credential vault is stored exclusively on the user's device.</w:t>
      </w:r>
    </w:p>
    <w:p>
      <w:pPr>
        <w:spacing w:before="0" w:after="60" w:line="320"/>
        <w:ind w:left="720" w:hanging="0"/>
        <w:jc w:val="left"/>
      </w:pPr>
      <w:r>
        <w:rPr>
          <w:rFonts w:ascii="Times New Roman" w:cs="Times New Roman" w:eastAsia="Times New Roman" w:hAnsi="Times New Roman"/>
          <w:b/>
          <w:bCs/>
          <w:color w:val="1F2937"/>
          <w:sz w:val="24"/>
          <w:szCs w:val="24"/>
        </w:rPr>
        <w:t xml:space="preserve">9. </w:t>
      </w:r>
      <w:r>
        <w:rPr>
          <w:rFonts w:ascii="Times New Roman" w:cs="Times New Roman" w:eastAsia="Times New Roman" w:hAnsi="Times New Roman"/>
          <w:color w:val="1F2937"/>
          <w:sz w:val="24"/>
          <w:szCs w:val="24"/>
        </w:rPr>
        <w:t xml:space="preserve">The system of claim 7, wherein supported attribute predicates comprise at least: identity verification with confidence threshold, age verification with minimum age parameter, account balance threshold verification, professional credential validity verification, and employment status verification.</w:t>
      </w:r>
    </w:p>
    <w:p>
      <w:pPr>
        <w:spacing w:before="0" w:after="60" w:line="320"/>
        <w:ind w:left="720" w:hanging="0"/>
        <w:jc w:val="left"/>
      </w:pPr>
      <w:r>
        <w:rPr>
          <w:rFonts w:ascii="Times New Roman" w:cs="Times New Roman" w:eastAsia="Times New Roman" w:hAnsi="Times New Roman"/>
          <w:b/>
          <w:bCs/>
          <w:color w:val="1F2937"/>
          <w:sz w:val="24"/>
          <w:szCs w:val="24"/>
        </w:rPr>
        <w:t xml:space="preserve">10. </w:t>
      </w:r>
      <w:r>
        <w:rPr>
          <w:rFonts w:ascii="Times New Roman" w:cs="Times New Roman" w:eastAsia="Times New Roman" w:hAnsi="Times New Roman"/>
          <w:color w:val="1F2937"/>
          <w:sz w:val="24"/>
          <w:szCs w:val="24"/>
        </w:rPr>
        <w:t xml:space="preserve">The system of claim 7, wherein an employer system receives authorization to verify employee attributes through a smart contract requiring the employee's zero-knowledge proof for each access request, and wherein no raw employee personally identifiable information is present in any employer-controlled system.</w:t>
      </w:r>
    </w:p>
    <w:p>
      <w:pPr>
        <w:spacing w:before="0" w:after="60" w:line="320"/>
        <w:jc w:val="left"/>
      </w:pPr>
      <w:r>
        <w:rPr>
          <w:rFonts w:ascii="Times New Roman" w:cs="Times New Roman" w:eastAsia="Times New Roman" w:hAnsi="Times New Roman"/>
          <w:b/>
          <w:bCs/>
          <w:color w:val="1F2937"/>
          <w:sz w:val="24"/>
          <w:szCs w:val="24"/>
        </w:rPr>
        <w:t xml:space="preserve">11. </w:t>
      </w:r>
      <w:r>
        <w:rPr>
          <w:rFonts w:ascii="Times New Roman" w:cs="Times New Roman" w:eastAsia="Times New Roman" w:hAnsi="Times New Roman"/>
          <w:color w:val="1F2937"/>
          <w:sz w:val="24"/>
          <w:szCs w:val="24"/>
        </w:rPr>
        <w:t xml:space="preserve">A smart contract-based performance-linked fee distribution system comprising: a baseline oracle configured to read a standard payment processing rate for a subscriber's business category from an authoritative data feed; a transaction volume accumulator configured to record the subscriber's on-chain transaction volume during each billing period; a savings calculation function configured to compute verified savings as the product of transaction volume and the difference between the baseline rate and the actual protocol transaction cost; a fee calculation function configured to compute a performance fee as a configurable percentage of verified savings; and a distribution smart contract configured to automatically route the performance fee to a protocol treasury address upon billing period close.</w:t>
      </w:r>
    </w:p>
    <w:p>
      <w:pPr>
        <w:spacing w:before="0" w:after="60" w:line="320"/>
        <w:ind w:left="720" w:hanging="0"/>
        <w:jc w:val="left"/>
      </w:pPr>
      <w:r>
        <w:rPr>
          <w:rFonts w:ascii="Times New Roman" w:cs="Times New Roman" w:eastAsia="Times New Roman" w:hAnsi="Times New Roman"/>
          <w:b/>
          <w:bCs/>
          <w:color w:val="1F2937"/>
          <w:sz w:val="24"/>
          <w:szCs w:val="24"/>
        </w:rPr>
        <w:t xml:space="preserve">12. </w:t>
      </w:r>
      <w:r>
        <w:rPr>
          <w:rFonts w:ascii="Times New Roman" w:cs="Times New Roman" w:eastAsia="Times New Roman" w:hAnsi="Times New Roman"/>
          <w:color w:val="1F2937"/>
          <w:sz w:val="24"/>
          <w:szCs w:val="24"/>
        </w:rPr>
        <w:t xml:space="preserve">The system of claim 11, wherein the savings calculation and fee routing are executed automatically by smart contract without requiring human intervention, billing dispute resolution, or audit procedures.</w:t>
      </w:r>
    </w:p>
    <w:p>
      <w:pPr>
        <w:spacing w:before="0" w:after="60" w:line="320"/>
        <w:ind w:left="720" w:hanging="0"/>
        <w:jc w:val="left"/>
      </w:pPr>
      <w:r>
        <w:rPr>
          <w:rFonts w:ascii="Times New Roman" w:cs="Times New Roman" w:eastAsia="Times New Roman" w:hAnsi="Times New Roman"/>
          <w:b/>
          <w:bCs/>
          <w:color w:val="1F2937"/>
          <w:sz w:val="24"/>
          <w:szCs w:val="24"/>
        </w:rPr>
        <w:t xml:space="preserve">13. </w:t>
      </w:r>
      <w:r>
        <w:rPr>
          <w:rFonts w:ascii="Times New Roman" w:cs="Times New Roman" w:eastAsia="Times New Roman" w:hAnsi="Times New Roman"/>
          <w:color w:val="1F2937"/>
          <w:sz w:val="24"/>
          <w:szCs w:val="24"/>
        </w:rPr>
        <w:t xml:space="preserve">The system of claim 11, wherein the mathematical structure of the performance fee guarantees that the subscriber's net economic position is positive whenever any savings are generated, providing a verifiable economic guarantee enforceable as a smart contract obligation.</w:t>
      </w:r>
    </w:p>
    <w:p>
      <w:pPr>
        <w:spacing w:before="0" w:after="60" w:line="320"/>
        <w:jc w:val="left"/>
      </w:pPr>
      <w:r>
        <w:rPr>
          <w:rFonts w:ascii="Times New Roman" w:cs="Times New Roman" w:eastAsia="Times New Roman" w:hAnsi="Times New Roman"/>
          <w:b/>
          <w:bCs/>
          <w:color w:val="1F2937"/>
          <w:sz w:val="24"/>
          <w:szCs w:val="24"/>
        </w:rPr>
        <w:t xml:space="preserve">14. </w:t>
      </w:r>
      <w:r>
        <w:rPr>
          <w:rFonts w:ascii="Times New Roman" w:cs="Times New Roman" w:eastAsia="Times New Roman" w:hAnsi="Times New Roman"/>
          <w:color w:val="1F2937"/>
          <w:sz w:val="24"/>
          <w:szCs w:val="24"/>
        </w:rPr>
        <w:t xml:space="preserve">A computer-implemented lifecycle ownership transition system for commerce networks comprising: a transaction reward accumulator configured to distribute governance tokens to network subscribers proportional to transaction volume processed; a staking contract configured to accept governance token deposits and distribute staking yield funded by a percentage of all network transaction fees; a transition point calculator configured to determine, for each subscriber, the governance token staking position at which annual staking yield equals or exceeds the subscriber's annual subscription fee; and a lifecycle status registry configured to track each subscriber's position relative to the transition point and adjust fee obligations according to a defined multi-phase lifecycle.</w:t>
      </w:r>
    </w:p>
    <w:p>
      <w:pPr>
        <w:spacing w:before="0" w:after="60" w:line="320"/>
        <w:ind w:left="720" w:hanging="0"/>
        <w:jc w:val="left"/>
      </w:pPr>
      <w:r>
        <w:rPr>
          <w:rFonts w:ascii="Times New Roman" w:cs="Times New Roman" w:eastAsia="Times New Roman" w:hAnsi="Times New Roman"/>
          <w:b/>
          <w:bCs/>
          <w:color w:val="1F2937"/>
          <w:sz w:val="24"/>
          <w:szCs w:val="24"/>
        </w:rPr>
        <w:t xml:space="preserve">15. </w:t>
      </w:r>
      <w:r>
        <w:rPr>
          <w:rFonts w:ascii="Times New Roman" w:cs="Times New Roman" w:eastAsia="Times New Roman" w:hAnsi="Times New Roman"/>
          <w:color w:val="1F2937"/>
          <w:sz w:val="24"/>
          <w:szCs w:val="24"/>
        </w:rPr>
        <w:t xml:space="preserve">The system of claim 14, wherein the multi-phase lifecycle comprises: a subscriber phase wherein performance-linked subscription fees are charged and governance tokens are accumulated; a participant phase wherein staking yield partially offsets subscription fees; a stakeholder phase wherein staking yield equals subscription fees and net cost approaches zero; an owner phase wherein staking yield exceeds subscription fees and the subscriber receives net income from the network; and a partner phase wherein revenue share on new subscriber referrals is provided to high-tenure subscribers.</w:t>
      </w:r>
    </w:p>
    <w:p>
      <w:pPr>
        <w:spacing w:before="0" w:after="60" w:line="320"/>
        <w:ind w:left="720" w:hanging="0"/>
        <w:jc w:val="left"/>
      </w:pPr>
      <w:r>
        <w:rPr>
          <w:rFonts w:ascii="Times New Roman" w:cs="Times New Roman" w:eastAsia="Times New Roman" w:hAnsi="Times New Roman"/>
          <w:b/>
          <w:bCs/>
          <w:color w:val="1F2937"/>
          <w:sz w:val="24"/>
          <w:szCs w:val="24"/>
        </w:rPr>
        <w:t xml:space="preserve">16. </w:t>
      </w:r>
      <w:r>
        <w:rPr>
          <w:rFonts w:ascii="Times New Roman" w:cs="Times New Roman" w:eastAsia="Times New Roman" w:hAnsi="Times New Roman"/>
          <w:color w:val="1F2937"/>
          <w:sz w:val="24"/>
          <w:szCs w:val="24"/>
        </w:rPr>
        <w:t xml:space="preserve">The system of claim 14, wherein the transition from subscriber status to owner status is a mathematically defined event enforced by smart contract, creating a binding economic obligation on the network protocol to deliver the transition when the defined staking threshold is reached.</w:t>
      </w:r>
    </w:p>
    <w:p>
      <w:pPr>
        <w:spacing w:before="0" w:after="60" w:line="320"/>
        <w:jc w:val="left"/>
      </w:pPr>
      <w:r>
        <w:rPr>
          <w:rFonts w:ascii="Times New Roman" w:cs="Times New Roman" w:eastAsia="Times New Roman" w:hAnsi="Times New Roman"/>
          <w:b/>
          <w:bCs/>
          <w:color w:val="1F2937"/>
          <w:sz w:val="24"/>
          <w:szCs w:val="24"/>
        </w:rPr>
        <w:t xml:space="preserve">17. </w:t>
      </w:r>
      <w:r>
        <w:rPr>
          <w:rFonts w:ascii="Times New Roman" w:cs="Times New Roman" w:eastAsia="Times New Roman" w:hAnsi="Times New Roman"/>
          <w:color w:val="1F2937"/>
          <w:sz w:val="24"/>
          <w:szCs w:val="24"/>
        </w:rPr>
        <w:t xml:space="preserve">A method of operating a commerce network payment infrastructure, comprising: receiving payment transactions from merchant subscribers via blockchain smart contract; calculating per-subscriber verified savings as the difference between standard payment processing fees and actual blockchain transaction costs; charging each subscriber a performance fee equal to a configurable percentage of verified savings; distributing governance tokens to each subscriber proportional to transaction volume processed; and transitioning each subscriber from fee-paying status to net-income-receiving status upon accumulation of a governance token staking position whose yield equals or exceeds the subscriber's subscription fee.</w:t>
      </w:r>
    </w:p>
    <w:p>
      <w:pPr>
        <w:pageBreakBefore/>
        <w:spacing w:before="0" w:after="0"/>
      </w:pPr>
      <w:fldSimple w:instr="[object Object]"/>
    </w:p>
    <w:p>
      <w:pPr>
        <w:spacing w:before="180" w:after="0"/>
      </w:pPr>
    </w:p>
    <w:p>
      <w:pPr>
        <w:pStyle w:val="Heading1"/>
        <w:spacing w:before="0" w:after="80"/>
      </w:pPr>
      <w:r>
        <w:rPr>
          <w:rFonts w:ascii="Times New Roman" w:cs="Times New Roman" w:eastAsia="Times New Roman" w:hAnsi="Times New Roman"/>
          <w:b/>
          <w:bCs/>
          <w:color w:val="0D1B2A"/>
          <w:sz w:val="28"/>
          <w:szCs w:val="28"/>
        </w:rPr>
        <w:t xml:space="preserve">VI. ABSTRACT</w:t>
      </w:r>
    </w:p>
    <w:p>
      <w:pPr>
        <w:pBdr>
          <w:bottom w:val="single" w:color="0D1B2A" w:sz="10" w:space="1"/>
        </w:pBdr>
        <w:spacing w:before="0" w:after="80"/>
      </w:pPr>
    </w:p>
    <w:p>
      <w:pPr>
        <w:spacing w:before="0" w:after="80" w:line="300"/>
        <w:jc w:val="left"/>
      </w:pPr>
      <w:r>
        <w:rPr>
          <w:rFonts w:ascii="Times New Roman" w:cs="Times New Roman" w:eastAsia="Times New Roman" w:hAnsi="Times New Roman"/>
          <w:color w:val="1F2937"/>
          <w:sz w:val="24"/>
          <w:szCs w:val="24"/>
        </w:rPr>
        <w:t xml:space="preserve">Systems and methods are disclosed for blockchain-based commercial payment infrastructure incorporating five novel inventions: (1) a Deterministic Shifting Payment Account Number system that generates unique single-use payment credentials per transaction from a master cryptographic key stored in a device secure enclave, preventing payment fraud without requiring merchant storage of card credentials; (2) a Behavioral Biometric Cryptographic Key Derivation system that generates the master cryptographic key from keystroke dynamics, voice print, and gait signals processed entirely on-device, without storing biometric templates; (3) a Zero-Knowledge Proof Smart Contract Commerce system enabling identity and credential verification without transmission of personally identifiable information to merchants, achieving GDPR and CCPA compliance by architectural design; (4) a Performance-Linked Fee Distribution Protocol wherein subscriber fees are calculated as a percentage of on-chain verifiable payment processing savings compared to a baseline oracle rate, with fee routing enforced by smart contract; and (5) a Lifecycle Ownership Transition system wherein merchant subscribers accumulate governance tokens through network participation, reaching a mathematically defined transition point at which staking yield equals subscription fees, thereafter receiving net income from the network rather than paying net subscription costs. The inventions are deployed on a Layer 2 Ethereum blockchain achieving transaction costs below $0.001, representing a structural cost advantage over legacy payment card networks of greater than 3,000x.</w:t>
      </w:r>
    </w:p>
    <w:p>
      <w:pPr>
        <w:spacing w:before="120" w:after="0"/>
      </w:pPr>
    </w:p>
    <w:p>
      <w:pPr>
        <w:pBdr>
          <w:bottom w:val="single" w:color="0D1B2A" w:sz="8" w:space="1"/>
        </w:pBdr>
        <w:spacing w:before="0" w:after="8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AED" w:sz="6"/>
              <w:left w:val="single" w:color="E8EAED" w:sz="6"/>
              <w:bottom w:val="single" w:color="E8EAED" w:sz="6"/>
              <w:right w:val="single" w:color="E8EAED" w:sz="6"/>
            </w:tcBorders>
            <w:shd w:fill="F7F8FA" w:val="clear"/>
            <w:tcMar>
              <w:top w:type="dxa" w:w="100"/>
              <w:left w:type="dxa" w:w="140"/>
              <w:bottom w:type="dxa" w:w="100"/>
              <w:right w:type="dxa" w:w="140"/>
            </w:tcMar>
          </w:tcPr>
          <w:p>
            <w:pPr>
              <w:spacing w:before="0" w:after="30" w:line="300"/>
              <w:jc w:val="left"/>
            </w:pPr>
            <w:r>
              <w:rPr>
                <w:rFonts w:ascii="Arial" w:cs="Arial" w:eastAsia="Arial" w:hAnsi="Arial"/>
                <w:b/>
                <w:bCs/>
                <w:color w:val="0D1B2A"/>
                <w:sz w:val="20"/>
                <w:szCs w:val="20"/>
              </w:rPr>
              <w:t xml:space="preserve">Applicant Signature:</w:t>
            </w:r>
          </w:p>
          <w:p>
            <w:pPr>
              <w:spacing w:before="0" w:after="50" w:line="300"/>
              <w:jc w:val="left"/>
            </w:pPr>
            <w:r>
              <w:rPr>
                <w:rFonts w:ascii="Arial" w:cs="Arial" w:eastAsia="Arial" w:hAnsi="Arial"/>
                <w:color w:val="9BA3AF"/>
                <w:sz w:val="20"/>
                <w:szCs w:val="20"/>
              </w:rPr>
              <w:t xml:space="preserve">__________________________________</w:t>
            </w:r>
          </w:p>
          <w:p>
            <w:pPr>
              <w:spacing w:before="0" w:after="30" w:line="300"/>
              <w:jc w:val="left"/>
            </w:pPr>
            <w:r>
              <w:rPr>
                <w:rFonts w:ascii="Arial" w:cs="Arial" w:eastAsia="Arial" w:hAnsi="Arial"/>
                <w:color w:val="555F6D"/>
                <w:sz w:val="19"/>
                <w:szCs w:val="19"/>
              </w:rPr>
              <w:t xml:space="preserve">Authorized Representative, RAWagon Systems, LLC</w:t>
            </w:r>
          </w:p>
          <w:p>
            <w:pPr>
              <w:spacing w:before="0" w:after="80" w:line="300"/>
              <w:jc w:val="left"/>
            </w:pPr>
            <w:r>
              <w:rPr>
                <w:rFonts w:ascii="Arial" w:cs="Arial" w:eastAsia="Arial" w:hAnsi="Arial"/>
                <w:color w:val="555F6D"/>
                <w:sz w:val="19"/>
                <w:szCs w:val="19"/>
              </w:rPr>
              <w:t xml:space="preserve">Date: March 22, 2026</w:t>
            </w:r>
          </w:p>
        </w:tc>
        <w:tc>
          <w:tcPr>
            <w:tcW w:type="dxa" w:w="4680"/>
            <w:tcBorders>
              <w:top w:val="single" w:color="E8EAED" w:sz="6"/>
              <w:left w:val="single" w:color="E8EAED" w:sz="6"/>
              <w:bottom w:val="single" w:color="E8EAED" w:sz="6"/>
              <w:right w:val="single" w:color="E8EAED" w:sz="6"/>
            </w:tcBorders>
            <w:shd w:fill="F7F8FA" w:val="clear"/>
            <w:tcMar>
              <w:top w:type="dxa" w:w="100"/>
              <w:left w:type="dxa" w:w="140"/>
              <w:bottom w:type="dxa" w:w="100"/>
              <w:right w:type="dxa" w:w="140"/>
            </w:tcMar>
          </w:tcPr>
          <w:p>
            <w:pPr>
              <w:spacing w:before="0" w:after="30" w:line="300"/>
              <w:jc w:val="left"/>
            </w:pPr>
            <w:r>
              <w:rPr>
                <w:rFonts w:ascii="Arial" w:cs="Arial" w:eastAsia="Arial" w:hAnsi="Arial"/>
                <w:b/>
                <w:bCs/>
                <w:color w:val="0D1B2A"/>
                <w:sz w:val="20"/>
                <w:szCs w:val="20"/>
              </w:rPr>
              <w:t xml:space="preserve">Filing Reference:</w:t>
            </w:r>
          </w:p>
          <w:p>
            <w:pPr>
              <w:spacing w:before="0" w:after="50" w:line="300"/>
              <w:jc w:val="left"/>
            </w:pPr>
            <w:r>
              <w:rPr>
                <w:rFonts w:ascii="Arial" w:cs="Arial" w:eastAsia="Arial" w:hAnsi="Arial"/>
                <w:color w:val="8B6914"/>
                <w:sz w:val="20"/>
                <w:szCs w:val="20"/>
              </w:rPr>
              <w:t xml:space="preserve">RAW-2026-PROV-001</w:t>
            </w:r>
          </w:p>
          <w:p>
            <w:pPr>
              <w:spacing w:before="0" w:after="30" w:line="300"/>
              <w:jc w:val="left"/>
            </w:pPr>
            <w:r>
              <w:rPr>
                <w:rFonts w:ascii="Arial" w:cs="Arial" w:eastAsia="Arial" w:hAnsi="Arial"/>
                <w:color w:val="555F6D"/>
                <w:sz w:val="19"/>
                <w:szCs w:val="19"/>
              </w:rPr>
              <w:t xml:space="preserve">Priority date established upon receipt by USPTO</w:t>
            </w:r>
          </w:p>
          <w:p>
            <w:pPr>
              <w:spacing w:before="0" w:after="80" w:line="300"/>
              <w:jc w:val="left"/>
            </w:pPr>
            <w:r>
              <w:rPr>
                <w:rFonts w:ascii="Arial" w:cs="Arial" w:eastAsia="Arial" w:hAnsi="Arial"/>
                <w:color w:val="8B1A1A"/>
                <w:sz w:val="19"/>
                <w:szCs w:val="19"/>
              </w:rPr>
              <w:t xml:space="preserve">Non-provisional due: March 22, 2027</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AED" w:sz="6" w:space="1"/>
      </w:pBdr>
      <w:tabs>
        <w:tab w:val="right" w:pos="9360"/>
      </w:tabs>
      <w:spacing w:before="80" w:after="0"/>
    </w:pPr>
    <w:r>
      <w:rPr>
        <w:rFonts w:ascii="Arial" w:cs="Arial" w:eastAsia="Arial" w:hAnsi="Arial"/>
        <w:color w:val="9BA3AF"/>
        <w:sz w:val="15"/>
        <w:szCs w:val="15"/>
      </w:rPr>
      <w:t xml:space="preserve">The information in this application is confidential and constitutes a trade secret of RAWagon Systems, LLC.  |  </w:t>
    </w:r>
    <w:r>
      <w:rPr>
        <w:rFonts w:ascii="Arial" w:cs="Arial" w:eastAsia="Arial" w:hAnsi="Arial"/>
      </w:rPr>
      <w:t xml:space="preserve">	</w:t>
    </w:r>
    <w:r>
      <w:rPr>
        <w:rFonts w:ascii="Arial" w:cs="Arial" w:eastAsia="Arial" w:hAnsi="Arial"/>
        <w:color w:val="9BA3AF"/>
        <w:sz w:val="15"/>
        <w:szCs w:val="15"/>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8" w:space="1"/>
      </w:pBdr>
      <w:tabs>
        <w:tab w:val="right" w:pos="9360"/>
      </w:tabs>
      <w:spacing w:before="0" w:after="80"/>
    </w:pPr>
    <w:r>
      <w:rPr>
        <w:rFonts w:ascii="Arial" w:cs="Arial" w:eastAsia="Arial" w:hAnsi="Arial"/>
        <w:color w:val="9BA3AF"/>
        <w:sz w:val="16"/>
        <w:szCs w:val="16"/>
      </w:rPr>
      <w:t xml:space="preserve">RAW-2026-PROV-001  |  RAWagon Systems — CONFIDENTIAL  |  </w:t>
    </w:r>
    <w:r>
      <w:rPr>
        <w:rFonts w:ascii="Arial" w:cs="Arial" w:eastAsia="Arial" w:hAnsi="Arial"/>
      </w:rPr>
      <w:t xml:space="preserve">	</w:t>
    </w:r>
    <w:r>
      <w:rPr>
        <w:rFonts w:ascii="Arial" w:cs="Arial" w:eastAsia="Arial" w:hAnsi="Arial"/>
        <w:color w:val="555F6D"/>
        <w:sz w:val="16"/>
        <w:szCs w:val="16"/>
      </w:rPr>
      <w:t xml:space="preserve">Provisional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80" w:after="80"/>
      <w:outlineLvl w:val="0"/>
    </w:pPr>
    <w:rPr>
      <w:rFonts w:ascii="Arial" w:cs="Arial" w:eastAsia="Arial" w:hAnsi="Arial"/>
      <w:b/>
      <w:bCs/>
      <w:color w:val="0D1B2A"/>
      <w:sz w:val="28"/>
      <w:szCs w:val="28"/>
    </w:rPr>
  </w:style>
  <w:style w:type="paragraph" w:styleId="Heading2">
    <w:name w:val="Heading 2"/>
    <w:basedOn w:val="Normal"/>
    <w:next w:val="Normal"/>
    <w:qFormat/>
    <w:pPr>
      <w:spacing w:before="140" w:after="6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2026-03-22T05:55:34.883Z</dcterms:created>
  <dcterms:modified xsi:type="dcterms:W3CDTF">2026-03-22T05:55:34.883Z</dcterms:modified>
</cp:coreProperties>
</file>

<file path=docProps/custom.xml><?xml version="1.0" encoding="utf-8"?>
<Properties xmlns="http://schemas.openxmlformats.org/officeDocument/2006/custom-properties" xmlns:vt="http://schemas.openxmlformats.org/officeDocument/2006/docPropsVTypes"/>
</file>