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2.png" ContentType="image/png"/>
  <Override PartName="/word/media/rId24.jpg" ContentType="image/jpeg"/>
  <Override PartName="/word/media/rId27.jpg" ContentType="image/jpeg"/>
  <Override PartName="/word/media/rId25.jpg" ContentType="image/jpeg"/>
  <Override PartName="/word/media/rId26.jpg" ContentType="image/jpeg"/>
  <Override PartName="/word/media/rId30.jpg" ContentType="image/jpeg"/>
  <Override PartName="/word/media/rId31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d228r</w:t>
      </w:r>
      <w:r>
        <w:t xml:space="preserve"> </w:t>
      </w:r>
      <w:r>
        <w:t xml:space="preserve">professional</w:t>
      </w:r>
      <w:r>
        <w:t xml:space="preserve"> </w:t>
      </w:r>
      <w:r>
        <w:t xml:space="preserve">spec</w:t>
      </w:r>
    </w:p>
    <w:p>
      <w:pPr>
        <w:pStyle w:val="Author"/>
      </w:pPr>
      <w:r>
        <w:t xml:space="preserve">dimmalex@gmail.com</w:t>
      </w:r>
    </w:p>
    <w:p>
      <w:pPr>
        <w:pStyle w:val="Date"/>
      </w:pPr>
      <w:r>
        <w:t xml:space="preserve">April</w:t>
      </w:r>
      <w:r>
        <w:t xml:space="preserve"> </w:t>
      </w:r>
      <w:r>
        <w:t xml:space="preserve">29,</w:t>
      </w:r>
      <w:r>
        <w:t xml:space="preserve"> </w:t>
      </w:r>
      <w:r>
        <w:t xml:space="preserve">2026</w:t>
      </w:r>
    </w:p>
    <w:p>
      <w:pPr>
        <w:pStyle w:val="Heading2"/>
      </w:pPr>
      <w:bookmarkStart w:id="20" w:name="d228r-产品规格书"/>
      <w:r>
        <w:t xml:space="preserve">D228R 产品规格书</w:t>
      </w:r>
      <w:bookmarkEnd w:id="20"/>
    </w:p>
    <w:p>
      <w:pPr>
        <w:pStyle w:val="Heading2"/>
      </w:pPr>
      <w:bookmarkStart w:id="21" w:name="产品概述"/>
      <w:r>
        <w:t xml:space="preserve">1. 产品概述</w:t>
      </w:r>
      <w:bookmarkEnd w:id="21"/>
    </w:p>
    <w:p>
      <w:pPr>
        <w:pStyle w:val="FirstParagraph"/>
      </w:pPr>
      <w:r>
        <w:t xml:space="preserve">D228R 是面向工业与车载场景的 NR/LTE 网关模块，集成蜂窝、双频 Wi-Fi 和双千兆以太网，支持多链路并发、备份与负载均衡，并提供串口/IO/I2C/GPS 边缘接入能力。</w:t>
      </w:r>
    </w:p>
    <w:p>
      <w:pPr>
        <w:pStyle w:val="BodyText"/>
      </w:pPr>
      <w:r>
        <w:t xml:space="preserve">核心定位：</w:t>
      </w:r>
    </w:p>
    <w:p>
      <w:pPr>
        <w:pStyle w:val="Compact"/>
        <w:numPr>
          <w:numId w:val="1001"/>
          <w:ilvl w:val="0"/>
        </w:numPr>
      </w:pPr>
      <w:r>
        <w:t xml:space="preserve">工业数据采集与远程管理网关</w:t>
      </w:r>
    </w:p>
    <w:p>
      <w:pPr>
        <w:pStyle w:val="Compact"/>
        <w:numPr>
          <w:numId w:val="1001"/>
          <w:ilvl w:val="0"/>
        </w:numPr>
      </w:pPr>
      <w:r>
        <w:t xml:space="preserve">面向移动与复杂网络环境的视频传输网关</w:t>
      </w:r>
    </w:p>
    <w:p>
      <w:pPr>
        <w:pStyle w:val="Compact"/>
        <w:numPr>
          <w:numId w:val="1001"/>
          <w:ilvl w:val="0"/>
        </w:numPr>
      </w:pPr>
      <w:r>
        <w:t xml:space="preserve">多链路冗余与高可用通信节点</w:t>
      </w:r>
    </w:p>
    <w:p>
      <w:pPr>
        <w:pStyle w:val="Compact"/>
        <w:numPr>
          <w:numId w:val="1001"/>
          <w:ilvl w:val="0"/>
        </w:numPr>
      </w:pPr>
      <w:r>
        <w:t xml:space="preserve">支持二次开发与协议定制的开放平台</w:t>
      </w:r>
    </w:p>
    <w:p>
      <w:pPr>
        <w:pStyle w:val="Heading2"/>
      </w:pPr>
      <w:bookmarkStart w:id="22" w:name="外观与机械信息"/>
      <w:r>
        <w:t xml:space="preserve">2. 外观与机械信息</w:t>
      </w:r>
      <w:bookmarkEnd w:id="22"/>
    </w:p>
    <w:p>
      <w:pPr>
        <w:pStyle w:val="Heading3"/>
      </w:pPr>
      <w:bookmarkStart w:id="23" w:name="模块图"/>
      <w:r>
        <w:t xml:space="preserve">2.1 模块图</w:t>
      </w:r>
      <w:bookmarkEnd w:id="23"/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avatar" title="" id="1" name="Picture"/>
            <a:graphic>
              <a:graphicData uri="http://schemas.openxmlformats.org/drawingml/2006/picture">
                <pic:pic>
                  <pic:nvPicPr>
                    <pic:cNvPr descr="./m_20.jpe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810000" cy="2540000"/>
            <wp:effectExtent b="0" l="0" r="0" t="0"/>
            <wp:docPr descr="avatar" title="" id="1" name="Picture"/>
            <a:graphic>
              <a:graphicData uri="http://schemas.openxmlformats.org/drawingml/2006/picture">
                <pic:pic>
                  <pic:nvPicPr>
                    <pic:cNvPr descr="./m_22.jpe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810000" cy="2540000"/>
            <wp:effectExtent b="0" l="0" r="0" t="0"/>
            <wp:docPr descr="avatar" title="" id="1" name="Picture"/>
            <a:graphic>
              <a:graphicData uri="http://schemas.openxmlformats.org/drawingml/2006/picture">
                <pic:pic>
                  <pic:nvPicPr>
                    <pic:cNvPr descr="./m_23.jpe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810000" cy="2540000"/>
            <wp:effectExtent b="0" l="0" r="0" t="0"/>
            <wp:docPr descr="avatar" title="" id="1" name="Picture"/>
            <a:graphic>
              <a:graphicData uri="http://schemas.openxmlformats.org/drawingml/2006/picture">
                <pic:pic>
                  <pic:nvPicPr>
                    <pic:cNvPr descr="./m_21.jpe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28" w:name="外形与安装"/>
      <w:r>
        <w:t xml:space="preserve">2.2 外形与安装</w:t>
      </w:r>
      <w:bookmarkEnd w:id="28"/>
    </w:p>
    <w:p>
      <w:pPr>
        <w:pStyle w:val="Compact"/>
        <w:numPr>
          <w:numId w:val="1002"/>
          <w:ilvl w:val="0"/>
        </w:numPr>
      </w:pPr>
      <w:r>
        <w:t xml:space="preserve">尺寸：73.4 mm x 42 mm x 15 mm</w:t>
      </w:r>
    </w:p>
    <w:p>
      <w:pPr>
        <w:pStyle w:val="Compact"/>
        <w:numPr>
          <w:numId w:val="1002"/>
          <w:ilvl w:val="0"/>
        </w:numPr>
      </w:pPr>
      <w:r>
        <w:t xml:space="preserve">定位孔：8 个</w:t>
      </w:r>
    </w:p>
    <w:p>
      <w:pPr>
        <w:pStyle w:val="Compact"/>
        <w:numPr>
          <w:numId w:val="1002"/>
          <w:ilvl w:val="0"/>
        </w:numPr>
      </w:pPr>
      <w:r>
        <w:t xml:space="preserve">机械尺寸基准：以 DXF 文件为准</w:t>
      </w:r>
    </w:p>
    <w:p>
      <w:pPr>
        <w:pStyle w:val="Heading3"/>
      </w:pPr>
      <w:bookmarkStart w:id="29" w:name="接口图"/>
      <w:r>
        <w:t xml:space="preserve">2.3 接口图</w:t>
      </w:r>
      <w:bookmarkEnd w:id="29"/>
    </w:p>
    <w:p>
      <w:pPr>
        <w:pStyle w:val="FirstParagraph"/>
      </w:pPr>
      <w:r>
        <w:drawing>
          <wp:inline>
            <wp:extent cx="5334000" cy="3737693"/>
            <wp:effectExtent b="0" l="0" r="0" t="0"/>
            <wp:docPr descr="avatar" title="" id="1" name="Picture"/>
            <a:graphic>
              <a:graphicData uri="http://schemas.openxmlformats.org/drawingml/2006/picture">
                <pic:pic>
                  <pic:nvPicPr>
                    <pic:cNvPr descr="./正面接口图.jpe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7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846972"/>
            <wp:effectExtent b="0" l="0" r="0" t="0"/>
            <wp:docPr descr="avatar" title="" id="1" name="Picture"/>
            <a:graphic>
              <a:graphicData uri="http://schemas.openxmlformats.org/drawingml/2006/picture">
                <pic:pic>
                  <pic:nvPicPr>
                    <pic:cNvPr descr="./背面接口图.jpe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6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连接器规格图：</w:t>
      </w:r>
    </w:p>
    <w:p>
      <w:pPr>
        <w:pStyle w:val="BodyText"/>
      </w:pPr>
      <w:r>
        <w:drawing>
          <wp:inline>
            <wp:extent cx="5334000" cy="3600527"/>
            <wp:effectExtent b="0" l="0" r="0" t="0"/>
            <wp:docPr descr="avatar" title="" id="1" name="Picture"/>
            <a:graphic>
              <a:graphicData uri="http://schemas.openxmlformats.org/drawingml/2006/picture">
                <pic:pic>
                  <pic:nvPicPr>
                    <pic:cNvPr descr="./8PIN接口规格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600527"/>
            <wp:effectExtent b="0" l="0" r="0" t="0"/>
            <wp:docPr descr="avatar" title="" id="1" name="Picture"/>
            <a:graphic>
              <a:graphicData uri="http://schemas.openxmlformats.org/drawingml/2006/picture">
                <pic:pic>
                  <pic:nvPicPr>
                    <pic:cNvPr descr="./8PIN接口规格-立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4" w:name="硬件规格"/>
      <w:r>
        <w:t xml:space="preserve">3. 硬件规格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蜂窝基带</w:t>
            </w:r>
          </w:p>
        </w:tc>
        <w:tc>
          <w:p>
            <w:pPr>
              <w:pStyle w:val="Compact"/>
              <w:jc w:val="left"/>
            </w:pPr>
            <w:r>
              <w:t xml:space="preserve">默认 RM500U-CN（支持按项目替换）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蜂窝制式</w:t>
            </w:r>
          </w:p>
        </w:tc>
        <w:tc>
          <w:p>
            <w:pPr>
              <w:pStyle w:val="Compact"/>
              <w:jc w:val="left"/>
            </w:pPr>
            <w:r>
              <w:t xml:space="preserve">3G/4G/5G（LTE/NR）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5G 频段</w:t>
            </w:r>
          </w:p>
        </w:tc>
        <w:tc>
          <w:p>
            <w:pPr>
              <w:pStyle w:val="Compact"/>
              <w:jc w:val="left"/>
            </w:pPr>
            <w:r>
              <w:t xml:space="preserve">NR NSA: n41/n78/n79；NR SA: n1/n28*/n41/n77/n78/n79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4G 频段</w:t>
            </w:r>
          </w:p>
        </w:tc>
        <w:tc>
          <w:p>
            <w:pPr>
              <w:pStyle w:val="Compact"/>
              <w:jc w:val="left"/>
            </w:pPr>
            <w:r>
              <w:t xml:space="preserve">FDD: B1/B2/B3/B5/B7/B8/B20/B28；TDD: B34/B38/B39/B40/B41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3G 频段</w:t>
            </w:r>
          </w:p>
        </w:tc>
        <w:tc>
          <w:p>
            <w:pPr>
              <w:pStyle w:val="Compact"/>
              <w:jc w:val="left"/>
            </w:pPr>
            <w:r>
              <w:t xml:space="preserve">WCDMA: B1/B2/B5/B8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5G 带宽能力</w:t>
            </w:r>
          </w:p>
        </w:tc>
        <w:tc>
          <w:p>
            <w:pPr>
              <w:pStyle w:val="Compact"/>
              <w:jc w:val="left"/>
            </w:pPr>
            <w:r>
              <w:t xml:space="preserve">SA: DL 2Gbps / UL 1Gbps；NSA: DL 2.2Gbps / UL 575Mbps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LTE 带宽能力</w:t>
            </w:r>
          </w:p>
        </w:tc>
        <w:tc>
          <w:p>
            <w:pPr>
              <w:pStyle w:val="Compact"/>
              <w:jc w:val="left"/>
            </w:pPr>
            <w:r>
              <w:t xml:space="preserve">DL 600Mbps / UL 150Mbps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Wi-Fi 2.4G</w:t>
            </w:r>
          </w:p>
        </w:tc>
        <w:tc>
          <w:p>
            <w:pPr>
              <w:pStyle w:val="Compact"/>
              <w:jc w:val="left"/>
            </w:pPr>
            <w:r>
              <w:t xml:space="preserve">IEEE 802.11b/g/n，2T2R，300Mbps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Wi-Fi 5.8G</w:t>
            </w:r>
          </w:p>
        </w:tc>
        <w:tc>
          <w:p>
            <w:pPr>
              <w:pStyle w:val="Compact"/>
              <w:jc w:val="left"/>
            </w:pPr>
            <w:r>
              <w:t xml:space="preserve">IEEE 802.11a/n/ac，2T2R，866Mbps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以太网接口</w:t>
            </w:r>
          </w:p>
        </w:tc>
        <w:tc>
          <w:p>
            <w:pPr>
              <w:pStyle w:val="Compact"/>
              <w:jc w:val="left"/>
            </w:pPr>
            <w:r>
              <w:t xml:space="preserve">2 x 100/1000Mbps（WAN/LAN）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串口接口</w:t>
            </w:r>
          </w:p>
        </w:tc>
        <w:tc>
          <w:p>
            <w:pPr>
              <w:pStyle w:val="Compact"/>
              <w:jc w:val="left"/>
            </w:pPr>
            <w:r>
              <w:t xml:space="preserve">3 x TTL 串口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 接口</w:t>
            </w:r>
          </w:p>
        </w:tc>
        <w:tc>
          <w:p>
            <w:pPr>
              <w:pStyle w:val="Compact"/>
              <w:jc w:val="left"/>
            </w:pPr>
            <w:r>
              <w:t xml:space="preserve">3 路 IO（可配置 I2C）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天线接口</w:t>
            </w:r>
          </w:p>
        </w:tc>
        <w:tc>
          <w:p>
            <w:pPr>
              <w:pStyle w:val="Compact"/>
              <w:jc w:val="left"/>
            </w:pPr>
            <w:r>
              <w:t xml:space="preserve">2 x IPEX-1（Wi-Fi 2.4/5.8G），4 x IPEX-4（LTE/NR）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p>
            <w:pPr>
              <w:pStyle w:val="Compact"/>
              <w:jc w:val="left"/>
            </w:pPr>
            <w:r>
              <w:t xml:space="preserve">Nano SIM（可选 eSIM）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电源</w:t>
            </w:r>
          </w:p>
        </w:tc>
        <w:tc>
          <w:p>
            <w:pPr>
              <w:pStyle w:val="Compact"/>
              <w:jc w:val="left"/>
            </w:pPr>
            <w:r>
              <w:t xml:space="preserve">7-15V，立式/卧式 4PIN 电源接口各 1 个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典型功耗</w:t>
            </w:r>
          </w:p>
        </w:tc>
        <w:tc>
          <w:p>
            <w:pPr>
              <w:pStyle w:val="Compact"/>
              <w:jc w:val="left"/>
            </w:pPr>
            <w:r>
              <w:t xml:space="preserve">满负荷小于 5W（峰值与环境相关）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工作温度</w:t>
            </w:r>
          </w:p>
        </w:tc>
        <w:tc>
          <w:p>
            <w:pPr>
              <w:pStyle w:val="Compact"/>
              <w:jc w:val="left"/>
            </w:pPr>
            <w:r>
              <w:t xml:space="preserve">-40℃ ~ +65℃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工业保护</w:t>
            </w:r>
          </w:p>
        </w:tc>
        <w:tc>
          <w:p>
            <w:pPr>
              <w:pStyle w:val="Compact"/>
              <w:jc w:val="left"/>
            </w:pPr>
            <w:r>
              <w:t xml:space="preserve">硬件看门狗、防静电保护、多路独立电源监控</w:t>
            </w:r>
          </w:p>
        </w:tc>
      </w:tr>
    </w:tbl>
    <w:p>
      <w:pPr>
        <w:pStyle w:val="Heading2"/>
      </w:pPr>
      <w:bookmarkStart w:id="35" w:name="接口资源与电气定义"/>
      <w:r>
        <w:t xml:space="preserve">4. 接口资源与电气定义</w:t>
      </w:r>
      <w:bookmarkEnd w:id="35"/>
    </w:p>
    <w:p>
      <w:pPr>
        <w:pStyle w:val="Heading3"/>
      </w:pPr>
      <w:bookmarkStart w:id="36" w:name="网络与射频接口"/>
      <w:r>
        <w:t xml:space="preserve">4.1 网络与射频接口</w:t>
      </w:r>
      <w:bookmarkEnd w:id="36"/>
    </w:p>
    <w:p>
      <w:pPr>
        <w:pStyle w:val="Compact"/>
        <w:numPr>
          <w:numId w:val="1003"/>
          <w:ilvl w:val="0"/>
        </w:numPr>
      </w:pPr>
      <w:r>
        <w:t xml:space="preserve">WAN：8PIN（1.25mm），100/1000Mbps 自适应</w:t>
      </w:r>
    </w:p>
    <w:p>
      <w:pPr>
        <w:pStyle w:val="Compact"/>
        <w:numPr>
          <w:numId w:val="1003"/>
          <w:ilvl w:val="0"/>
        </w:numPr>
      </w:pPr>
      <w:r>
        <w:t xml:space="preserve">LAN：8PIN（1.25mm），100/1000Mbps 自适应</w:t>
      </w:r>
    </w:p>
    <w:p>
      <w:pPr>
        <w:pStyle w:val="Compact"/>
        <w:numPr>
          <w:numId w:val="1003"/>
          <w:ilvl w:val="0"/>
        </w:numPr>
      </w:pPr>
      <w:r>
        <w:t xml:space="preserve">Wi-Fi 天线：WIFI-1/WIFI-2（IPEX-1）</w:t>
      </w:r>
    </w:p>
    <w:p>
      <w:pPr>
        <w:pStyle w:val="Compact"/>
        <w:numPr>
          <w:numId w:val="1003"/>
          <w:ilvl w:val="0"/>
        </w:numPr>
      </w:pPr>
      <w:r>
        <w:t xml:space="preserve">蜂窝天线：LTE/NR-1~4（IPEX-4）</w:t>
      </w:r>
    </w:p>
    <w:p>
      <w:pPr>
        <w:pStyle w:val="Heading3"/>
      </w:pPr>
      <w:bookmarkStart w:id="37" w:name="串口与-io"/>
      <w:r>
        <w:t xml:space="preserve">4.2 串口与 IO</w:t>
      </w:r>
      <w:bookmarkEnd w:id="37"/>
    </w:p>
    <w:p>
      <w:pPr>
        <w:pStyle w:val="Compact"/>
        <w:numPr>
          <w:numId w:val="1004"/>
          <w:ilvl w:val="0"/>
        </w:numPr>
      </w:pPr>
      <w:r>
        <w:t xml:space="preserve">UART：3 路 TTL（UART1/UART2/UART3），支持并行工作</w:t>
      </w:r>
    </w:p>
    <w:p>
      <w:pPr>
        <w:pStyle w:val="Compact"/>
        <w:numPr>
          <w:numId w:val="1004"/>
          <w:ilvl w:val="0"/>
        </w:numPr>
      </w:pPr>
      <w:r>
        <w:t xml:space="preserve">IO：3 路可编程输入/输出，支持远程协议与 MQTT 控制</w:t>
      </w:r>
    </w:p>
    <w:p>
      <w:pPr>
        <w:pStyle w:val="Compact"/>
        <w:numPr>
          <w:numId w:val="1004"/>
          <w:ilvl w:val="0"/>
        </w:numPr>
      </w:pPr>
      <w:r>
        <w:t xml:space="preserve">I2C：IO 可复用为 I2C 引脚，用于外设扩展</w:t>
      </w:r>
    </w:p>
    <w:p>
      <w:pPr>
        <w:pStyle w:val="Heading3"/>
      </w:pPr>
      <w:bookmarkStart w:id="38" w:name="供电sim按键与指示灯"/>
      <w:r>
        <w:t xml:space="preserve">4.3 供电、SIM、按键与指示灯</w:t>
      </w:r>
      <w:bookmarkEnd w:id="38"/>
    </w:p>
    <w:p>
      <w:pPr>
        <w:pStyle w:val="Compact"/>
        <w:numPr>
          <w:numId w:val="1005"/>
          <w:ilvl w:val="0"/>
        </w:numPr>
      </w:pPr>
      <w:r>
        <w:t xml:space="preserve">供电：VCC+/VCC-，支持立式与卧式 4PIN 供电接口</w:t>
      </w:r>
    </w:p>
    <w:p>
      <w:pPr>
        <w:pStyle w:val="Compact"/>
        <w:numPr>
          <w:numId w:val="1005"/>
          <w:ilvl w:val="0"/>
        </w:numPr>
      </w:pPr>
      <w:r>
        <w:t xml:space="preserve">SIM：Nano SIM 卡槽</w:t>
      </w:r>
    </w:p>
    <w:p>
      <w:pPr>
        <w:pStyle w:val="Compact"/>
        <w:numPr>
          <w:numId w:val="1005"/>
          <w:ilvl w:val="0"/>
        </w:numPr>
      </w:pPr>
      <w:r>
        <w:t xml:space="preserve">按键：RESET（恢复出厂）</w:t>
      </w:r>
    </w:p>
    <w:p>
      <w:pPr>
        <w:pStyle w:val="Compact"/>
        <w:numPr>
          <w:numId w:val="1005"/>
          <w:ilvl w:val="0"/>
        </w:numPr>
      </w:pPr>
      <w:r>
        <w:t xml:space="preserve">指示灯：</w:t>
      </w:r>
    </w:p>
    <w:p>
      <w:pPr>
        <w:pStyle w:val="Compact"/>
        <w:numPr>
          <w:numId w:val="1006"/>
          <w:ilvl w:val="1"/>
        </w:numPr>
      </w:pPr>
      <w:r>
        <w:t xml:space="preserve">SYS（蓝）：上电、启动、拨号、联网状态</w:t>
      </w:r>
    </w:p>
    <w:p>
      <w:pPr>
        <w:pStyle w:val="Compact"/>
        <w:numPr>
          <w:numId w:val="1006"/>
          <w:ilvl w:val="1"/>
        </w:numPr>
      </w:pPr>
      <w:r>
        <w:t xml:space="preserve">Weak（红）：蜂窝信号弱</w:t>
      </w:r>
    </w:p>
    <w:p>
      <w:pPr>
        <w:pStyle w:val="Compact"/>
        <w:numPr>
          <w:numId w:val="1006"/>
          <w:ilvl w:val="1"/>
        </w:numPr>
      </w:pPr>
      <w:r>
        <w:t xml:space="preserve">Strong（绿）：蜂窝信号强</w:t>
      </w:r>
    </w:p>
    <w:p>
      <w:pPr>
        <w:pStyle w:val="Heading2"/>
      </w:pPr>
      <w:bookmarkStart w:id="39" w:name="联网与路由能力"/>
      <w:r>
        <w:t xml:space="preserve">5. 联网与路由能力</w:t>
      </w:r>
      <w:bookmarkEnd w:id="39"/>
    </w:p>
    <w:p>
      <w:pPr>
        <w:pStyle w:val="Heading3"/>
      </w:pPr>
      <w:bookmarkStart w:id="40" w:name="单链路接入"/>
      <w:r>
        <w:t xml:space="preserve">5.1 单链路接入</w:t>
      </w:r>
      <w:bookmarkEnd w:id="40"/>
    </w:p>
    <w:p>
      <w:pPr>
        <w:pStyle w:val="Compact"/>
        <w:numPr>
          <w:numId w:val="1007"/>
          <w:ilvl w:val="0"/>
        </w:numPr>
      </w:pPr>
      <w:r>
        <w:t xml:space="preserve">3G/4G/5G 蜂窝接入</w:t>
      </w:r>
    </w:p>
    <w:p>
      <w:pPr>
        <w:pStyle w:val="Compact"/>
        <w:numPr>
          <w:numId w:val="1007"/>
          <w:ilvl w:val="0"/>
        </w:numPr>
      </w:pPr>
      <w:r>
        <w:t xml:space="preserve">蜂窝 Modem 透传模式</w:t>
      </w:r>
    </w:p>
    <w:p>
      <w:pPr>
        <w:pStyle w:val="Compact"/>
        <w:numPr>
          <w:numId w:val="1007"/>
          <w:ilvl w:val="0"/>
        </w:numPr>
      </w:pPr>
      <w:r>
        <w:t xml:space="preserve">有线 WAN 接入互联网</w:t>
      </w:r>
    </w:p>
    <w:p>
      <w:pPr>
        <w:pStyle w:val="Compact"/>
        <w:numPr>
          <w:numId w:val="1007"/>
          <w:ilvl w:val="0"/>
        </w:numPr>
      </w:pPr>
      <w:r>
        <w:t xml:space="preserve">2.4G/5.8G 无线接入、桥接、中继、多 SSID 优先连接</w:t>
      </w:r>
    </w:p>
    <w:p>
      <w:pPr>
        <w:pStyle w:val="Heading3"/>
      </w:pPr>
      <w:bookmarkStart w:id="41" w:name="多链路与策略路由"/>
      <w:r>
        <w:t xml:space="preserve">5.2 多链路与策略路由</w:t>
      </w:r>
      <w:bookmarkEnd w:id="41"/>
    </w:p>
    <w:p>
      <w:pPr>
        <w:pStyle w:val="Compact"/>
        <w:numPr>
          <w:numId w:val="1008"/>
          <w:ilvl w:val="0"/>
        </w:numPr>
      </w:pPr>
      <w:r>
        <w:t xml:space="preserve">蜂窝 + 有线 WAN 同时工作（冷备份/热备份/负载均衡）</w:t>
      </w:r>
    </w:p>
    <w:p>
      <w:pPr>
        <w:pStyle w:val="Compact"/>
        <w:numPr>
          <w:numId w:val="1008"/>
          <w:ilvl w:val="0"/>
        </w:numPr>
      </w:pPr>
      <w:r>
        <w:t xml:space="preserve">蜂窝 + 无线接入同时工作（冷备份/热备份/负载均衡）</w:t>
      </w:r>
    </w:p>
    <w:p>
      <w:pPr>
        <w:pStyle w:val="Compact"/>
        <w:numPr>
          <w:numId w:val="1008"/>
          <w:ilvl w:val="0"/>
        </w:numPr>
      </w:pPr>
      <w:r>
        <w:t xml:space="preserve">无线 + 有线 WAN 同时工作（冷备份/热备份/负载均衡）</w:t>
      </w:r>
    </w:p>
    <w:p>
      <w:pPr>
        <w:pStyle w:val="Compact"/>
        <w:numPr>
          <w:numId w:val="1008"/>
          <w:ilvl w:val="0"/>
        </w:numPr>
      </w:pPr>
      <w:r>
        <w:t xml:space="preserve">支持按客户端或应用强制指定出口链路</w:t>
      </w:r>
    </w:p>
    <w:p>
      <w:pPr>
        <w:pStyle w:val="Compact"/>
        <w:numPr>
          <w:numId w:val="1008"/>
          <w:ilvl w:val="0"/>
        </w:numPr>
      </w:pPr>
      <w:r>
        <w:t xml:space="preserve">支持按场景策略扩展更复杂的接入编排</w:t>
      </w:r>
    </w:p>
    <w:p>
      <w:pPr>
        <w:pStyle w:val="Heading2"/>
      </w:pPr>
      <w:bookmarkStart w:id="42" w:name="业务协议与应用能力"/>
      <w:r>
        <w:t xml:space="preserve">6. 业务协议与应用能力</w:t>
      </w:r>
      <w:bookmarkEnd w:id="42"/>
    </w:p>
    <w:p>
      <w:pPr>
        <w:pStyle w:val="Heading3"/>
      </w:pPr>
      <w:bookmarkStart w:id="43" w:name="视频传输定位与场景"/>
      <w:r>
        <w:t xml:space="preserve">6.0 视频传输定位与场景</w:t>
      </w:r>
      <w:bookmarkEnd w:id="43"/>
    </w:p>
    <w:p>
      <w:pPr>
        <w:pStyle w:val="Compact"/>
        <w:numPr>
          <w:numId w:val="1009"/>
          <w:ilvl w:val="0"/>
        </w:numPr>
      </w:pPr>
      <w:r>
        <w:t xml:space="preserve">核心定位：作为前端摄像设备到平台侧的稳定视频传输链路节点</w:t>
      </w:r>
    </w:p>
    <w:p>
      <w:pPr>
        <w:pStyle w:val="Compact"/>
        <w:numPr>
          <w:numId w:val="1009"/>
          <w:ilvl w:val="0"/>
        </w:numPr>
      </w:pPr>
      <w:r>
        <w:t xml:space="preserve">典型场景：车载移动视频回传、无人值守点位视频上行、临时布控视频接入</w:t>
      </w:r>
    </w:p>
    <w:p>
      <w:pPr>
        <w:pStyle w:val="Compact"/>
        <w:numPr>
          <w:numId w:val="1009"/>
          <w:ilvl w:val="0"/>
        </w:numPr>
      </w:pPr>
      <w:r>
        <w:t xml:space="preserve">价值重点：在蜂窝/有线/Wi-Fi 多网络间实现更稳定的视频上行与链路连续性</w:t>
      </w:r>
    </w:p>
    <w:p>
      <w:pPr>
        <w:pStyle w:val="Heading3"/>
      </w:pPr>
      <w:bookmarkStart w:id="44" w:name="串口协议能力"/>
      <w:r>
        <w:t xml:space="preserve">6.1 串口协议能力</w:t>
      </w:r>
      <w:bookmarkEnd w:id="44"/>
    </w:p>
    <w:p>
      <w:pPr>
        <w:pStyle w:val="Compact"/>
        <w:numPr>
          <w:numId w:val="1010"/>
          <w:ilvl w:val="0"/>
        </w:numPr>
      </w:pPr>
      <w:r>
        <w:t xml:space="preserve">透传：注册包/激活包/保活包、包前后缀、流量统计</w:t>
      </w:r>
    </w:p>
    <w:p>
      <w:pPr>
        <w:pStyle w:val="Compact"/>
        <w:numPr>
          <w:numId w:val="1010"/>
          <w:ilvl w:val="0"/>
        </w:numPr>
      </w:pPr>
      <w:r>
        <w:t xml:space="preserve">ModbusRTU 转 ModbusTCP</w:t>
      </w:r>
    </w:p>
    <w:p>
      <w:pPr>
        <w:pStyle w:val="Compact"/>
        <w:numPr>
          <w:numId w:val="1010"/>
          <w:ilvl w:val="0"/>
        </w:numPr>
      </w:pPr>
      <w:r>
        <w:t xml:space="preserve">MQTT 数据透传</w:t>
      </w:r>
    </w:p>
    <w:p>
      <w:pPr>
        <w:pStyle w:val="Compact"/>
        <w:numPr>
          <w:numId w:val="1010"/>
          <w:ilvl w:val="0"/>
        </w:numPr>
      </w:pPr>
      <w:r>
        <w:t xml:space="preserve">HTTP POST 数据上报</w:t>
      </w:r>
    </w:p>
    <w:p>
      <w:pPr>
        <w:pStyle w:val="Compact"/>
        <w:numPr>
          <w:numId w:val="1010"/>
          <w:ilvl w:val="0"/>
        </w:numPr>
      </w:pPr>
      <w:r>
        <w:t xml:space="preserve">指令模式网关管理</w:t>
      </w:r>
    </w:p>
    <w:p>
      <w:pPr>
        <w:pStyle w:val="Compact"/>
        <w:numPr>
          <w:numId w:val="1010"/>
          <w:ilvl w:val="0"/>
        </w:numPr>
      </w:pPr>
      <w:r>
        <w:t xml:space="preserve">支持串口外接 GPS/北斗及温感、烟感等传感器</w:t>
      </w:r>
    </w:p>
    <w:p>
      <w:pPr>
        <w:pStyle w:val="Heading3"/>
      </w:pPr>
      <w:bookmarkStart w:id="45" w:name="io-与工业控制"/>
      <w:r>
        <w:t xml:space="preserve">6.2 IO 与工业控制</w:t>
      </w:r>
      <w:bookmarkEnd w:id="45"/>
    </w:p>
    <w:p>
      <w:pPr>
        <w:pStyle w:val="Compact"/>
        <w:numPr>
          <w:numId w:val="1011"/>
          <w:ilvl w:val="0"/>
        </w:numPr>
      </w:pPr>
      <w:r>
        <w:t xml:space="preserve">IO 实时输入/输出切换</w:t>
      </w:r>
    </w:p>
    <w:p>
      <w:pPr>
        <w:pStyle w:val="Compact"/>
        <w:numPr>
          <w:numId w:val="1011"/>
          <w:ilvl w:val="0"/>
        </w:numPr>
      </w:pPr>
      <w:r>
        <w:t xml:space="preserve">IO 电平变化事件上报</w:t>
      </w:r>
    </w:p>
    <w:p>
      <w:pPr>
        <w:pStyle w:val="Compact"/>
        <w:numPr>
          <w:numId w:val="1011"/>
          <w:ilvl w:val="0"/>
        </w:numPr>
      </w:pPr>
      <w:r>
        <w:t xml:space="preserve">MQTT 订阅发布控制 IO</w:t>
      </w:r>
    </w:p>
    <w:p>
      <w:pPr>
        <w:pStyle w:val="Compact"/>
        <w:numPr>
          <w:numId w:val="1011"/>
          <w:ilvl w:val="0"/>
        </w:numPr>
      </w:pPr>
      <w:r>
        <w:t xml:space="preserve">支持远程协议控制 IO 模式与状态</w:t>
      </w:r>
    </w:p>
    <w:p>
      <w:pPr>
        <w:pStyle w:val="Compact"/>
        <w:numPr>
          <w:numId w:val="1011"/>
          <w:ilvl w:val="0"/>
        </w:numPr>
      </w:pPr>
      <w:r>
        <w:t xml:space="preserve">支持通过底座扩展更多 IO</w:t>
      </w:r>
    </w:p>
    <w:p>
      <w:pPr>
        <w:pStyle w:val="Heading3"/>
      </w:pPr>
      <w:bookmarkStart w:id="46" w:name="定位能力"/>
      <w:r>
        <w:t xml:space="preserve">6.3 定位能力</w:t>
      </w:r>
      <w:bookmarkEnd w:id="46"/>
    </w:p>
    <w:p>
      <w:pPr>
        <w:pStyle w:val="Compact"/>
        <w:numPr>
          <w:numId w:val="1012"/>
          <w:ilvl w:val="0"/>
        </w:numPr>
      </w:pPr>
      <w:r>
        <w:t xml:space="preserve">GPS/北斗定位采集</w:t>
      </w:r>
    </w:p>
    <w:p>
      <w:pPr>
        <w:pStyle w:val="Compact"/>
        <w:numPr>
          <w:numId w:val="1012"/>
          <w:ilvl w:val="0"/>
        </w:numPr>
      </w:pPr>
      <w:r>
        <w:t xml:space="preserve">NMEA 原始数据上报（可配置报头与间隔）</w:t>
      </w:r>
    </w:p>
    <w:p>
      <w:pPr>
        <w:pStyle w:val="Compact"/>
        <w:numPr>
          <w:numId w:val="1012"/>
          <w:ilvl w:val="0"/>
        </w:numPr>
      </w:pPr>
      <w:r>
        <w:t xml:space="preserve">MQTT 上报定位信息</w:t>
      </w:r>
    </w:p>
    <w:p>
      <w:pPr>
        <w:pStyle w:val="Compact"/>
        <w:numPr>
          <w:numId w:val="1012"/>
          <w:ilvl w:val="0"/>
        </w:numPr>
      </w:pPr>
      <w:r>
        <w:t xml:space="preserve">HTTP JSON 上报定位信息</w:t>
      </w:r>
    </w:p>
    <w:p>
      <w:pPr>
        <w:pStyle w:val="Compact"/>
        <w:numPr>
          <w:numId w:val="1012"/>
          <w:ilvl w:val="0"/>
        </w:numPr>
      </w:pPr>
      <w:r>
        <w:t xml:space="preserve">JT/T808 上报定位信息</w:t>
      </w:r>
    </w:p>
    <w:p>
      <w:pPr>
        <w:pStyle w:val="Heading3"/>
      </w:pPr>
      <w:bookmarkStart w:id="47" w:name="网络应用能力"/>
      <w:r>
        <w:t xml:space="preserve">6.4 网络应用能力</w:t>
      </w:r>
      <w:bookmarkEnd w:id="47"/>
    </w:p>
    <w:p>
      <w:pPr>
        <w:pStyle w:val="Compact"/>
        <w:numPr>
          <w:numId w:val="1013"/>
          <w:ilvl w:val="0"/>
        </w:numPr>
      </w:pPr>
      <w:r>
        <w:t xml:space="preserve">防火墙、NAT/DMZ、端口代理</w:t>
      </w:r>
    </w:p>
    <w:p>
      <w:pPr>
        <w:pStyle w:val="Compact"/>
        <w:numPr>
          <w:numId w:val="1013"/>
          <w:ilvl w:val="0"/>
        </w:numPr>
      </w:pPr>
      <w:r>
        <w:t xml:space="preserve">静态路由与高级路由（源地址/端口路由）</w:t>
      </w:r>
    </w:p>
    <w:p>
      <w:pPr>
        <w:pStyle w:val="Compact"/>
        <w:numPr>
          <w:numId w:val="1013"/>
          <w:ilvl w:val="0"/>
        </w:numPr>
      </w:pPr>
      <w:r>
        <w:t xml:space="preserve">DDNS、UPnP、域名重定向</w:t>
      </w:r>
    </w:p>
    <w:p>
      <w:pPr>
        <w:pStyle w:val="Compact"/>
        <w:numPr>
          <w:numId w:val="1013"/>
          <w:ilvl w:val="0"/>
        </w:numPr>
      </w:pPr>
      <w:r>
        <w:t xml:space="preserve">IGMP 正/反向代理</w:t>
      </w:r>
    </w:p>
    <w:p>
      <w:pPr>
        <w:pStyle w:val="Compact"/>
        <w:numPr>
          <w:numId w:val="1013"/>
          <w:ilvl w:val="0"/>
        </w:numPr>
      </w:pPr>
      <w:r>
        <w:t xml:space="preserve">动态路由：RIPv1/RIPv2/RIPng/OSPFv2/OSPFv3</w:t>
      </w:r>
    </w:p>
    <w:p>
      <w:pPr>
        <w:pStyle w:val="Compact"/>
        <w:numPr>
          <w:numId w:val="1013"/>
          <w:ilvl w:val="0"/>
        </w:numPr>
      </w:pPr>
      <w:r>
        <w:t xml:space="preserve">SNMP（支持自定义 OID）</w:t>
      </w:r>
    </w:p>
    <w:p>
      <w:pPr>
        <w:pStyle w:val="Compact"/>
        <w:numPr>
          <w:numId w:val="1013"/>
          <w:ilvl w:val="0"/>
        </w:numPr>
      </w:pPr>
      <w:r>
        <w:t xml:space="preserve">终端流量监控、访问控制、WOL</w:t>
      </w:r>
    </w:p>
    <w:p>
      <w:pPr>
        <w:pStyle w:val="Heading3"/>
      </w:pPr>
      <w:bookmarkStart w:id="48" w:name="vpn-与专网"/>
      <w:r>
        <w:t xml:space="preserve">6.5 VPN 与专网</w:t>
      </w:r>
      <w:bookmarkEnd w:id="48"/>
    </w:p>
    <w:p>
      <w:pPr>
        <w:pStyle w:val="Compact"/>
        <w:numPr>
          <w:numId w:val="1014"/>
          <w:ilvl w:val="0"/>
        </w:numPr>
      </w:pPr>
      <w:r>
        <w:t xml:space="preserve">PPTP、L2TP、IPSEC、GRE、OpenVPN、WireGuard</w:t>
      </w:r>
    </w:p>
    <w:p>
      <w:pPr>
        <w:pStyle w:val="Compact"/>
        <w:numPr>
          <w:numId w:val="1014"/>
          <w:ilvl w:val="0"/>
        </w:numPr>
      </w:pPr>
      <w:r>
        <w:t xml:space="preserve">自组网与内网穿透</w:t>
      </w:r>
    </w:p>
    <w:p>
      <w:pPr>
        <w:pStyle w:val="Compact"/>
        <w:numPr>
          <w:numId w:val="1014"/>
          <w:ilvl w:val="0"/>
        </w:numPr>
      </w:pPr>
      <w:r>
        <w:t xml:space="preserve">多网关 HA（VRRP）</w:t>
      </w:r>
    </w:p>
    <w:p>
      <w:pPr>
        <w:pStyle w:val="Heading2"/>
      </w:pPr>
      <w:bookmarkStart w:id="49" w:name="管理运维与开放能力"/>
      <w:r>
        <w:t xml:space="preserve">7. 管理、运维与开放能力</w:t>
      </w:r>
      <w:bookmarkEnd w:id="49"/>
    </w:p>
    <w:p>
      <w:pPr>
        <w:pStyle w:val="Heading3"/>
      </w:pPr>
      <w:bookmarkStart w:id="50" w:name="本地与远程管理"/>
      <w:r>
        <w:t xml:space="preserve">7.1 本地与远程管理</w:t>
      </w:r>
      <w:bookmarkEnd w:id="50"/>
    </w:p>
    <w:p>
      <w:pPr>
        <w:pStyle w:val="Compact"/>
        <w:numPr>
          <w:numId w:val="1015"/>
          <w:ilvl w:val="0"/>
        </w:numPr>
      </w:pPr>
      <w:r>
        <w:t xml:space="preserve">本地 TCP 控制、本地 HTTP 状态查询、局域网广播发现</w:t>
      </w:r>
    </w:p>
    <w:p>
      <w:pPr>
        <w:pStyle w:val="Compact"/>
        <w:numPr>
          <w:numId w:val="1015"/>
          <w:ilvl w:val="0"/>
        </w:numPr>
      </w:pPr>
      <w:r>
        <w:t xml:space="preserve">短信管理（重启/重置/查询/配置）</w:t>
      </w:r>
    </w:p>
    <w:p>
      <w:pPr>
        <w:pStyle w:val="Compact"/>
        <w:numPr>
          <w:numId w:val="1015"/>
          <w:ilvl w:val="0"/>
        </w:numPr>
      </w:pPr>
      <w:r>
        <w:t xml:space="preserve">远程 HTTP 状态上报与控制</w:t>
      </w:r>
    </w:p>
    <w:p>
      <w:pPr>
        <w:pStyle w:val="Compact"/>
        <w:numPr>
          <w:numId w:val="1015"/>
          <w:ilvl w:val="0"/>
        </w:numPr>
      </w:pPr>
      <w:r>
        <w:t xml:space="preserve">远程 MQTT 状态上报、告警与管理</w:t>
      </w:r>
    </w:p>
    <w:p>
      <w:pPr>
        <w:pStyle w:val="Compact"/>
        <w:numPr>
          <w:numId w:val="1015"/>
          <w:ilvl w:val="0"/>
        </w:numPr>
      </w:pPr>
      <w:r>
        <w:t xml:space="preserve">云平台批量管理、远程登录、远程维护</w:t>
      </w:r>
    </w:p>
    <w:p>
      <w:pPr>
        <w:pStyle w:val="Heading3"/>
      </w:pPr>
      <w:bookmarkStart w:id="51" w:name="升级与可靠性"/>
      <w:r>
        <w:t xml:space="preserve">7.2 升级与可靠性</w:t>
      </w:r>
      <w:bookmarkEnd w:id="51"/>
    </w:p>
    <w:p>
      <w:pPr>
        <w:pStyle w:val="Compact"/>
        <w:numPr>
          <w:numId w:val="1016"/>
          <w:ilvl w:val="0"/>
        </w:numPr>
      </w:pPr>
      <w:r>
        <w:t xml:space="preserve">支持本地升级、在线升级、局域网批量升级</w:t>
      </w:r>
    </w:p>
    <w:p>
      <w:pPr>
        <w:pStyle w:val="Compact"/>
        <w:numPr>
          <w:numId w:val="1016"/>
          <w:ilvl w:val="0"/>
        </w:numPr>
      </w:pPr>
      <w:r>
        <w:t xml:space="preserve">OTA 升级与升级失败恢复</w:t>
      </w:r>
    </w:p>
    <w:p>
      <w:pPr>
        <w:pStyle w:val="Compact"/>
        <w:numPr>
          <w:numId w:val="1016"/>
          <w:ilvl w:val="0"/>
        </w:numPr>
      </w:pPr>
      <w:r>
        <w:t xml:space="preserve">定时/定点/空闲自动重启</w:t>
      </w:r>
    </w:p>
    <w:p>
      <w:pPr>
        <w:pStyle w:val="Compact"/>
        <w:numPr>
          <w:numId w:val="1016"/>
          <w:ilvl w:val="0"/>
        </w:numPr>
      </w:pPr>
      <w:r>
        <w:t xml:space="preserve">多路供电单元互监控</w:t>
      </w:r>
    </w:p>
    <w:p>
      <w:pPr>
        <w:pStyle w:val="Heading3"/>
      </w:pPr>
      <w:bookmarkStart w:id="52" w:name="开发与定制"/>
      <w:r>
        <w:t xml:space="preserve">7.3 开发与定制</w:t>
      </w:r>
      <w:bookmarkEnd w:id="52"/>
    </w:p>
    <w:p>
      <w:pPr>
        <w:pStyle w:val="Compact"/>
        <w:numPr>
          <w:numId w:val="1017"/>
          <w:ilvl w:val="0"/>
        </w:numPr>
      </w:pPr>
      <w:r>
        <w:t xml:space="preserve">提供本地管理工具包与编程 API</w:t>
      </w:r>
    </w:p>
    <w:p>
      <w:pPr>
        <w:pStyle w:val="Compact"/>
        <w:numPr>
          <w:numId w:val="1017"/>
          <w:ilvl w:val="0"/>
        </w:numPr>
      </w:pPr>
      <w:r>
        <w:t xml:space="preserve">提供远程管理服务器 SDK</w:t>
      </w:r>
    </w:p>
    <w:p>
      <w:pPr>
        <w:pStyle w:val="Compact"/>
        <w:numPr>
          <w:numId w:val="1017"/>
          <w:ilvl w:val="0"/>
        </w:numPr>
      </w:pPr>
      <w:r>
        <w:t xml:space="preserve">支持 x86/aarch64 平台管理工具与 OTA 工具</w:t>
      </w:r>
    </w:p>
    <w:p>
      <w:pPr>
        <w:pStyle w:val="Compact"/>
        <w:numPr>
          <w:numId w:val="1017"/>
          <w:ilvl w:val="0"/>
        </w:numPr>
      </w:pPr>
      <w:r>
        <w:t xml:space="preserve">支持在线脚本开发、定时任务、事件触发脚本</w:t>
      </w:r>
    </w:p>
    <w:p>
      <w:pPr>
        <w:pStyle w:val="Compact"/>
        <w:numPr>
          <w:numId w:val="1017"/>
          <w:ilvl w:val="0"/>
        </w:numPr>
      </w:pPr>
      <w:r>
        <w:t xml:space="preserve">支持协议组件定制与客户项目二次开发</w:t>
      </w:r>
    </w:p>
    <w:p>
      <w:pPr>
        <w:pStyle w:val="Heading2"/>
      </w:pPr>
      <w:bookmarkStart w:id="53" w:name="型号配置"/>
      <w:r>
        <w:t xml:space="preserve">8. 型号配置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配置项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D228R 标准版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D228R-GPS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D228R 核心版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4G/5G（LTE/NR）全网通基带</w:t>
            </w:r>
          </w:p>
        </w:tc>
        <w:tc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GPS 定位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M.2 座子（自配 5G 模块）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V</w:t>
            </w:r>
          </w:p>
        </w:tc>
      </w:tr>
    </w:tbl>
    <w:p>
      <w:pPr>
        <w:pStyle w:val="Heading2"/>
      </w:pPr>
      <w:bookmarkStart w:id="54" w:name="系统与交付说明"/>
      <w:r>
        <w:t xml:space="preserve">9. 系统与交付说明</w:t>
      </w:r>
      <w:bookmarkEnd w:id="54"/>
    </w:p>
    <w:p>
      <w:pPr>
        <w:pStyle w:val="Compact"/>
        <w:numPr>
          <w:numId w:val="1018"/>
          <w:ilvl w:val="0"/>
        </w:numPr>
      </w:pPr>
      <w:r>
        <w:t xml:space="preserve">系统平台：Skin 嵌入式系统（支持组件化开发与接口扩展）</w:t>
      </w:r>
    </w:p>
    <w:p>
      <w:pPr>
        <w:pStyle w:val="Compact"/>
        <w:numPr>
          <w:numId w:val="1018"/>
          <w:ilvl w:val="0"/>
        </w:numPr>
      </w:pPr>
      <w:r>
        <w:t xml:space="preserve">文档配套：接口图、规格图、DXF</w:t>
      </w:r>
    </w:p>
    <w:p>
      <w:pPr>
        <w:pStyle w:val="Compact"/>
        <w:numPr>
          <w:numId w:val="1018"/>
          <w:ilvl w:val="0"/>
        </w:numPr>
      </w:pPr>
      <w:r>
        <w:t xml:space="preserve">DXF 文件：</w:t>
      </w:r>
      <w:r>
        <w:rPr>
          <w:rStyle w:val="VerbatimChar"/>
        </w:rPr>
        <w:t xml:space="preserve">D228R_DXF.dxf</w:t>
      </w:r>
    </w:p>
    <w:p>
      <w:pPr>
        <w:pStyle w:val="Compact"/>
        <w:numPr>
          <w:numId w:val="1018"/>
          <w:ilvl w:val="0"/>
        </w:numPr>
      </w:pPr>
      <w:r>
        <w:t xml:space="preserve">备注：如需特殊频段、接口、电源或协议能力，可按项目定制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32" Target="media/rId32.pn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25" Target="media/rId25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1" Target="media/rId31.jp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d228r professional spec</dc:title>
  <dc:creator>dimmalex@gmail.com</dc:creator>
  <cp:keywords/>
  <dcterms:created xsi:type="dcterms:W3CDTF">2026-04-29T12:28:50Z</dcterms:created>
  <dcterms:modified xsi:type="dcterms:W3CDTF">2026-04-29T12:28:50Z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