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Client A — Planning Session Notes</w:t>
      </w:r>
    </w:p>
    <w:p>
      <w:r>
        <w:t>Date: 2024-11-05</w:t>
      </w:r>
    </w:p>
    <w:p>
      <w:r>
        <w:t>Attendees: Lead Advisor (facilitator), Trustee (independent), Beneficiary A, Beneficiary B.</w:t>
      </w:r>
    </w:p>
    <w:p>
      <w:r>
        <w:t>Purpose: Clarify goals, inventory assets, outline next steps, and document charitable intent.</w:t>
      </w:r>
    </w:p>
    <w:p>
      <w:pPr>
        <w:pStyle w:val="Heading2"/>
      </w:pPr>
      <w:r>
        <w:t>Agenda</w:t>
      </w:r>
    </w:p>
    <w:p>
      <w:r>
        <w:t>• Review goals and constraints</w:t>
      </w:r>
    </w:p>
    <w:p>
      <w:r>
        <w:t>• Inventory current assets and liabilities</w:t>
      </w:r>
    </w:p>
    <w:p>
      <w:r>
        <w:t>• Trust distribution priorities for next 12 months</w:t>
      </w:r>
    </w:p>
    <w:p>
      <w:r>
        <w:t>• Education and entrepreneurship grants policy</w:t>
      </w:r>
    </w:p>
    <w:p>
      <w:r>
        <w:t>• Risk controls and liquidity plan</w:t>
      </w:r>
    </w:p>
    <w:p>
      <w:r>
        <w:t>• Action items and owners</w:t>
      </w:r>
    </w:p>
    <w:p>
      <w:pPr>
        <w:pStyle w:val="Heading2"/>
      </w:pPr>
      <w:r>
        <w:t>Highlights</w:t>
      </w:r>
    </w:p>
    <w:p>
      <w:r>
        <w:t>The group reconfirmed a conservative allocation policy with a focus on predictable distributions. Education support remains a priority subject to progress checks each term. Entrepreneurship grants will follow a staged approach with budget-to-actual reviews. Liquidity coverage will target nine months of expected distributions and taxes.</w:t>
      </w:r>
    </w:p>
    <w:p>
      <w:pPr>
        <w:pStyle w:val="Heading2"/>
      </w:pPr>
      <w:r>
        <w:t>Assets (Summary)</w:t>
      </w:r>
    </w:p>
    <w:p>
      <w:r>
        <w:t>- Brokerage account (diversified, low-cost funds)</w:t>
      </w:r>
    </w:p>
    <w:p>
      <w:r>
        <w:t>- Cash reserve account (operational needs)</w:t>
      </w:r>
    </w:p>
    <w:p>
      <w:r>
        <w:t>- Units in pass-through HoldCo (dividends variable)</w:t>
      </w:r>
    </w:p>
    <w:p>
      <w:r>
        <w:t>- No margin debt; credit facilities not in use</w:t>
      </w:r>
    </w:p>
    <w:p>
      <w:pPr>
        <w:pStyle w:val="Heading2"/>
      </w:pPr>
      <w:r>
        <w:t>Risk &amp; Liquidity</w:t>
      </w:r>
    </w:p>
    <w:p>
      <w:r>
        <w:t>Maximum equity allocation set with rebalancing bands. Concentrated positions will be trimmed on a schedule to manage tax impact. Emergency reserve is protected and not to be deployed for non-essential spending without trustee memo.</w:t>
      </w:r>
    </w:p>
    <w:p>
      <w:pPr>
        <w:pStyle w:val="Heading2"/>
      </w:pPr>
      <w:r>
        <w:t>Charitable Intent</w:t>
      </w:r>
    </w:p>
    <w:p>
      <w:r>
        <w:t>The family favors simple, high-impact gifts aligned with education and community development. Donor-advised contributions may be considered for flexibility, subject to annual review.</w:t>
      </w:r>
    </w:p>
    <w:p>
      <w:pPr>
        <w:pStyle w:val="Heading2"/>
      </w:pPr>
      <w:r>
        <w:t>Action Items</w:t>
      </w:r>
    </w:p>
    <w:p>
      <w:r>
        <w:t>- Owner: Trustee | Task: Draft distribution calendar for next 12 months | Due: 2024-12-01</w:t>
      </w:r>
    </w:p>
    <w:p>
      <w:r>
        <w:t>- Owner: Lead Advisor | Task: Prepare diversification plan for concentrated holdings | Due: 2024-11-20</w:t>
      </w:r>
    </w:p>
    <w:p>
      <w:r>
        <w:t>- Owner: Beneficiary A | Task: Submit education progress summary and budget | Due: 2024-11-25</w:t>
      </w:r>
    </w:p>
    <w:p>
      <w:r>
        <w:t>- Owner: Beneficiary B | Task: Outline entrepreneurship concept with 1-page budget | Due: 2024-11-30</w:t>
      </w:r>
    </w:p>
    <w:p>
      <w:r>
        <w:br w:type="page"/>
      </w:r>
    </w:p>
    <w:p>
      <w:pPr>
        <w:pStyle w:val="Heading2"/>
      </w:pPr>
      <w:r>
        <w:t>Discussion Notes (Detail)</w:t>
      </w:r>
    </w:p>
    <w:p>
      <w:r>
        <w:t>The trustee emphasized documentation for any discretionary distribution: factual summary, rationale, and decision outcome. Participants agreed to revisit the investment policy statement annually and to maintain an appeals process requiring a short written submission.</w:t>
      </w:r>
    </w:p>
    <w:p>
      <w:r>
        <w:t>The group discussed thresholds for reviewing illiquid assets, establishing a variance band for operating results that would trigger a review. A simple dashboard summarizing distributions, fees, and closing values each year will accompany the formal annual report.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