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4" w:name="content"/>
    <w:bookmarkStart w:id="103" w:name="Xc270407ac142e706738e83b15d9ccc74cd6ca86"/>
    <w:p>
      <w:pPr>
        <w:pStyle w:val="Heading1"/>
      </w:pPr>
      <w:r>
        <w:t xml:space="preserve">Deep Research: Neu geschriebenes SMC‑System in</w:t>
      </w:r>
      <w:r>
        <w:t xml:space="preserve"> </w:t>
      </w:r>
      <w:r>
        <w:rPr>
          <w:rStyle w:val="VerbatimChar"/>
        </w:rPr>
        <w:t xml:space="preserve">skipp-dev/skipp-algo</w:t>
      </w:r>
      <w:r>
        <w:t xml:space="preserve"> </w:t>
      </w:r>
      <w:r>
        <w:t xml:space="preserve">– Repo‑Extraktion, Vergleich, Literatur, Verbesserungen und v5.5b‑Artefakte</w:t>
      </w:r>
    </w:p>
    <w:bookmarkStart w:id="3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Das Repository</w:t>
      </w:r>
      <w:r>
        <w:t xml:space="preserve"> </w:t>
      </w:r>
      <w:r>
        <w:rPr>
          <w:rStyle w:val="VerbatimChar"/>
        </w:rPr>
        <w:t xml:space="preserve">skipp-dev/skipp-algo</w:t>
      </w:r>
      <w:r>
        <w:t xml:space="preserve"> </w:t>
      </w:r>
      <w:r>
        <w:t xml:space="preserve">implementiert ein</w:t>
      </w:r>
      <w:r>
        <w:t xml:space="preserve"> </w:t>
      </w:r>
      <w:r>
        <w:rPr>
          <w:b/>
          <w:bCs/>
        </w:rPr>
        <w:t xml:space="preserve">generator‑first, contract‑orientiertes SMC‑System</w:t>
      </w:r>
      <w:r>
        <w:t xml:space="preserve"> </w:t>
      </w:r>
      <w:r>
        <w:t xml:space="preserve">(SMC =</w:t>
      </w:r>
      <w:r>
        <w:t xml:space="preserve"> </w:t>
      </w:r>
      <w:r>
        <w:rPr>
          <w:i/>
          <w:iCs/>
        </w:rPr>
        <w:t xml:space="preserve">Smart Money Concepts / Market Structure</w:t>
      </w:r>
      <w:r>
        <w:t xml:space="preserve">), das kanonische Struktur‑Ereignisse (BOS, Order Blocks, Fair Value Gaps, Liquidity Sweeps) deterministisch aus OHLC‑Bars ableitet, anschließend durch</w:t>
      </w:r>
      <w:r>
        <w:t xml:space="preserve"> </w:t>
      </w:r>
      <w:r>
        <w:rPr>
          <w:b/>
          <w:bCs/>
        </w:rPr>
        <w:t xml:space="preserve">Meta‑Kontexte + Layering/ZoneStyles</w:t>
      </w:r>
      <w:r>
        <w:t xml:space="preserve"> </w:t>
      </w:r>
      <w:r>
        <w:t xml:space="preserve">qualifiziert und schließlich über eine</w:t>
      </w:r>
      <w:r>
        <w:t xml:space="preserve"> </w:t>
      </w:r>
      <w:r>
        <w:rPr>
          <w:b/>
          <w:bCs/>
        </w:rPr>
        <w:t xml:space="preserve">TradingView‑Bridge (FastAPI + Pine Consumer)</w:t>
      </w:r>
      <w:r>
        <w:t xml:space="preserve"> </w:t>
      </w:r>
      <w:r>
        <w:t xml:space="preserve">bzw. über CI‑gesteuerte Pine‑Library‑Refresh‑Pipelines ausliefert. Das System ist stark auf</w:t>
      </w:r>
      <w:r>
        <w:t xml:space="preserve"> </w:t>
      </w:r>
      <w:r>
        <w:rPr>
          <w:b/>
          <w:bCs/>
        </w:rPr>
        <w:t xml:space="preserve">Stabilität, Schema‑Governance, Release‑Gates und Parity‑Tests</w:t>
      </w:r>
      <w:r>
        <w:t xml:space="preserve"> </w:t>
      </w:r>
      <w:r>
        <w:t xml:space="preserve">ausgerichtet.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Das angehängte Zielarchitektur‑Dokument</w:t>
      </w:r>
      <w:r>
        <w:t xml:space="preserve"> </w:t>
      </w:r>
      <w:r>
        <w:rPr>
          <w:b/>
          <w:bCs/>
        </w:rPr>
        <w:t xml:space="preserve">v5.5a</w:t>
      </w:r>
      <w:r>
        <w:t xml:space="preserve"> </w:t>
      </w:r>
      <w:r>
        <w:t xml:space="preserve">priorisiert „lean“, „canonical‑only structure“, „scoring statt blocking“ und „no shadow logic“ als Leitprinzipien. fileciteturn95file0</w:t>
      </w:r>
      <w:r>
        <w:br/>
      </w:r>
      <w:r>
        <w:t xml:space="preserve">Der Repo‑Stand operationalisiert diese Prinzipien bereits an mehreren Stellen (Schema‑Enforcement, Engine‑Purity, Adapter/Parity‑Tests, CI‑Gates), weist aber auch</w:t>
      </w:r>
      <w:r>
        <w:t xml:space="preserve"> </w:t>
      </w:r>
      <w:r>
        <w:rPr>
          <w:b/>
          <w:bCs/>
        </w:rPr>
        <w:t xml:space="preserve">architekturrelevante Lücken</w:t>
      </w:r>
      <w:r>
        <w:t xml:space="preserve"> </w:t>
      </w:r>
      <w:r>
        <w:t xml:space="preserve">auf: (a) harte Timeframe‑ und Preis‑Quantisierung (Ticksize/Exchange‑Session nicht sauber gelöst), (b) potenzielle</w:t>
      </w:r>
      <w:r>
        <w:t xml:space="preserve"> </w:t>
      </w:r>
      <w:r>
        <w:rPr>
          <w:b/>
          <w:bCs/>
        </w:rPr>
        <w:t xml:space="preserve">Schema‑Version‑Drifts</w:t>
      </w:r>
      <w:r>
        <w:t xml:space="preserve"> </w:t>
      </w:r>
      <w:r>
        <w:t xml:space="preserve">zwischen Code und Beispielen sowie (c) teils nicht vollständig explizit dokumentierte Datenverträge der Meta‑Domains/Provider.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Für die nächste Evolutionsstufe (v5.5b) ist eine fachlich „lohnende“ Ergänzung nicht primär mehr SMC‑Heuristik, sondern</w:t>
      </w:r>
      <w:r>
        <w:t xml:space="preserve"> </w:t>
      </w:r>
      <w:r>
        <w:rPr>
          <w:b/>
          <w:bCs/>
        </w:rPr>
        <w:t xml:space="preserve">messbare probabilistische Signalqualität</w:t>
      </w:r>
      <w:r>
        <w:t xml:space="preserve">: Regime‑/Volatilitätsmodellierung (Hamilton‑Regime‑Switching; ARCH/GARCH), state‑space/Kalman‑basierte Latents, sowie proper scoring rules (Gneiting/Raftery) für Kalibrierung.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Lieferobjekte dieser Antwort:</w:t>
      </w:r>
      <w:r>
        <w:br/>
      </w:r>
      <w:r>
        <w:t xml:space="preserve">- Konsolidierte Zielarchitektur</w:t>
      </w:r>
      <w:r>
        <w:t xml:space="preserve"> </w:t>
      </w:r>
      <w:r>
        <w:rPr>
          <w:b/>
          <w:bCs/>
        </w:rPr>
        <w:t xml:space="preserve">v5.5b</w:t>
      </w:r>
      <w:r>
        <w:t xml:space="preserve"> </w:t>
      </w:r>
      <w:r>
        <w:t xml:space="preserve">als Markdown und Word:</w:t>
      </w:r>
      <w:r>
        <w:br/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Download v5.5b Markdown</w:t>
        </w:r>
      </w:hyperlink>
      <w:r>
        <w:br/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Download v5.5b Word (.docx)</w:t>
        </w:r>
      </w:hyperlink>
    </w:p>
    <w:bookmarkEnd w:id="31"/>
    <w:bookmarkStart w:id="56" w:name="Xd81a9c0cff81c84ceca7889b5a58693806b9f7f"/>
    <w:p>
      <w:pPr>
        <w:pStyle w:val="Heading2"/>
      </w:pPr>
      <w:r>
        <w:t xml:space="preserve">Repo‑Extraktion: Architektur, Module, Datenflüsse, Interfaces, I/O, Dependencies, Tests und Performance</w:t>
      </w:r>
    </w:p>
    <w:bookmarkStart w:id="36" w:name="X697f9a12005bf0f0806614bef2277ef72a28e03"/>
    <w:p>
      <w:pPr>
        <w:pStyle w:val="Heading3"/>
      </w:pPr>
      <w:r>
        <w:t xml:space="preserve">Systemarchitektur und Kernartefakt „SMC Snapshot“</w:t>
      </w:r>
    </w:p>
    <w:p>
      <w:pPr>
        <w:pStyle w:val="FirstParagraph"/>
      </w:pPr>
      <w:r>
        <w:t xml:space="preserve">Der SMC‑Kern ist als</w:t>
      </w:r>
      <w:r>
        <w:t xml:space="preserve"> </w:t>
      </w:r>
      <w:r>
        <w:rPr>
          <w:b/>
          <w:bCs/>
        </w:rPr>
        <w:t xml:space="preserve">Snapshot‑Artefakt</w:t>
      </w:r>
      <w:r>
        <w:t xml:space="preserve"> </w:t>
      </w:r>
      <w:r>
        <w:t xml:space="preserve">konzipiert, das kanonische Struktur‑Events und additive Kontexte in einem Schema‑validierten Payload bündelt. Die kanonische Struktur ist explizit auf vier Kategorien begrenzt:</w:t>
      </w:r>
      <w:r>
        <w:t xml:space="preserve"> </w:t>
      </w:r>
      <w:r>
        <w:rPr>
          <w:rStyle w:val="VerbatimChar"/>
        </w:rPr>
        <w:t xml:space="preserve">bos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orderblocks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fvg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liquidity_sweeps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fileciteturn95file0</w:t>
      </w:r>
      <w:r>
        <w:br/>
      </w:r>
      <w:r>
        <w:t xml:space="preserve">Diese Kanonizität wird zusätzlich dadurch stabilisiert, dass Events eine</w:t>
      </w:r>
      <w:r>
        <w:t xml:space="preserve"> </w:t>
      </w:r>
      <w:r>
        <w:rPr>
          <w:b/>
          <w:bCs/>
        </w:rPr>
        <w:t xml:space="preserve">stabile ID</w:t>
      </w:r>
      <w:r>
        <w:t xml:space="preserve"> </w:t>
      </w:r>
      <w:r>
        <w:t xml:space="preserve">erhalten, die über Quantisierung und ID‑Funktionen gebildet wird (siehe</w:t>
      </w:r>
      <w:r>
        <w:t xml:space="preserve"> </w:t>
      </w:r>
      <w:r>
        <w:rPr>
          <w:rStyle w:val="VerbatimChar"/>
        </w:rPr>
        <w:t xml:space="preserve">smc_core/ids.py</w:t>
      </w:r>
      <w:r>
        <w:t xml:space="preserve">).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Ein zentrales Designmerkmal ist die</w:t>
      </w:r>
      <w:r>
        <w:t xml:space="preserve"> </w:t>
      </w:r>
      <w:r>
        <w:rPr>
          <w:b/>
          <w:bCs/>
        </w:rPr>
        <w:t xml:space="preserve">Trennung</w:t>
      </w:r>
      <w:r>
        <w:t xml:space="preserve"> </w:t>
      </w:r>
      <w:r>
        <w:t xml:space="preserve">zwischen: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Canonical Structure Detection</w:t>
      </w:r>
      <w:r>
        <w:t xml:space="preserve"> </w:t>
      </w:r>
      <w:r>
        <w:t xml:space="preserve">(Detektoren + Profile + Resampling),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Contract/Schema/ID‑Governance</w:t>
      </w:r>
      <w:r>
        <w:t xml:space="preserve"> </w:t>
      </w:r>
      <w:r>
        <w:t xml:space="preserve">(Types, Schema‑Version, Serialization),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Layering</w:t>
      </w:r>
      <w:r>
        <w:t xml:space="preserve"> </w:t>
      </w:r>
      <w:r>
        <w:t xml:space="preserve">(Meta‑Domains → global_heat/global_strength + ZoneStyle‑Overlays),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Integration/Delivery</w:t>
      </w:r>
      <w:r>
        <w:t xml:space="preserve"> </w:t>
      </w:r>
      <w:r>
        <w:t xml:space="preserve">(Provider, Health‑Checks, Bridge/Adapter, CI‑Gates).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bookmarkEnd w:id="36"/>
    <w:bookmarkStart w:id="45" w:name="module-und-verantwortlichkeiten-im-repo"/>
    <w:p>
      <w:pPr>
        <w:pStyle w:val="Heading3"/>
      </w:pPr>
      <w:r>
        <w:t xml:space="preserve">Module und Verantwortlichkeiten im Repo</w:t>
      </w:r>
    </w:p>
    <w:p>
      <w:pPr>
        <w:pStyle w:val="FirstParagraph"/>
      </w:pPr>
      <w:r>
        <w:t xml:space="preserve">Canonical Detection &amp; 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scripts/explicit_structure_from_bars.py</w:t>
      </w:r>
      <w:r>
        <w:t xml:space="preserve">: Aufbau eines kanonischen Bar‑Streams (Resampling/Normalisierung) und Erzeugung der Struktur‑Kategorien aus Bars.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scripts/explicit_structure_detectors.py</w:t>
      </w:r>
      <w:r>
        <w:t xml:space="preserve">: Detektoren für OB/FVG/BOS/Sweeps (explizite Regeln, Validity/Mitigation/Invalidation‑Tracking).</w:t>
      </w:r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scripts/explicit_structure_profiles.py</w:t>
      </w:r>
      <w:r>
        <w:t xml:space="preserve">: Profile wie</w:t>
      </w:r>
      <w:r>
        <w:t xml:space="preserve"> </w:t>
      </w:r>
      <w:r>
        <w:rPr>
          <w:rStyle w:val="VerbatimChar"/>
        </w:rPr>
        <w:t xml:space="preserve">hybrid_default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conservative</w:t>
      </w:r>
      <w:r>
        <w:t xml:space="preserve"> </w:t>
      </w:r>
      <w:r>
        <w:t xml:space="preserve">steuern Parameter/Filter (z. B. Begrenzung „letzte N Sweeps“).</w:t>
      </w:r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Core Contract, IDs, Schema, Serialization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smc_core/types.py</w:t>
      </w:r>
      <w:r>
        <w:t xml:space="preserve">: zentrale Datentypen für Snapshot/Structure/Meta/Layering, inkl. ZoneStyle‑Konzept.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smc_core/serialization.py</w:t>
      </w:r>
      <w:r>
        <w:t xml:space="preserve">: Snapshot‑Serialization als Dict/JSON‑Payload.</w:t>
      </w:r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smc_core/schema_version.py</w:t>
      </w:r>
      <w:r>
        <w:t xml:space="preserve">: Schema‑Version als SemVer; Code setzt derzeit u. a.</w:t>
      </w:r>
      <w:r>
        <w:t xml:space="preserve"> </w:t>
      </w:r>
      <w:r>
        <w:rPr>
          <w:rStyle w:val="VerbatimChar"/>
        </w:rPr>
        <w:t xml:space="preserve">SCHEMA_VERSION = "2.0.0"</w:t>
      </w:r>
      <w:r>
        <w:t xml:space="preserve">.</w:t>
      </w:r>
      <w:r>
        <w:t xml:space="preserve"> </w:t>
      </w:r>
      <w:r>
        <w:rPr>
          <w:rStyle w:val="VerbatimChar"/>
        </w:rPr>
        <w:t xml:space="preserve">SCHEMA_VERSION = "2.0.0"</w:t>
      </w:r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spec/smc_snapshot.schema.json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spec/examples/*</w:t>
      </w:r>
      <w:r>
        <w:t xml:space="preserve">: JSON‑Schema + Beispiel‑Payloads.</w:t>
      </w:r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Layering / Explainability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smc_core/layering.py</w:t>
      </w:r>
      <w:r>
        <w:t xml:space="preserve">: berechnet globale Zustände wie</w:t>
      </w:r>
      <w:r>
        <w:t xml:space="preserve"> </w:t>
      </w:r>
      <w:r>
        <w:rPr>
          <w:rStyle w:val="VerbatimChar"/>
        </w:rPr>
        <w:t xml:space="preserve">global_heat</w:t>
      </w:r>
      <w:r>
        <w:t xml:space="preserve">/</w:t>
      </w:r>
      <w:r>
        <w:rPr>
          <w:rStyle w:val="VerbatimChar"/>
        </w:rPr>
        <w:t xml:space="preserve">global_strength</w:t>
      </w:r>
      <w:r>
        <w:t xml:space="preserve"> </w:t>
      </w:r>
      <w:r>
        <w:t xml:space="preserve">und erzeugt</w:t>
      </w:r>
      <w:r>
        <w:t xml:space="preserve"> </w:t>
      </w:r>
      <w:r>
        <w:rPr>
          <w:b/>
          <w:bCs/>
        </w:rPr>
        <w:t xml:space="preserve">ZoneStyles</w:t>
      </w:r>
      <w:r>
        <w:t xml:space="preserve"> </w:t>
      </w:r>
      <w:r>
        <w:t xml:space="preserve">(Tone/Emphasis/Trade‑State + Reason‑Codes) pro Entity‑ID.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Integration &amp; 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smc_integration/service.py</w:t>
      </w:r>
      <w:r>
        <w:t xml:space="preserve">: Orchestrierung zum Erzeugen eines Snapshot‑Bundles pro Symbol/Timeframe.</w:t>
      </w:r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br/>
      </w:r>
      <w:r>
        <w:t xml:space="preserve">- Provider/Health:</w:t>
      </w:r>
      <w:r>
        <w:t xml:space="preserve"> </w:t>
      </w:r>
      <w:r>
        <w:rPr>
          <w:rStyle w:val="VerbatimChar"/>
        </w:rPr>
        <w:t xml:space="preserve">smc_integration/provider_health.py</w:t>
      </w:r>
      <w:r>
        <w:t xml:space="preserve"> </w:t>
      </w:r>
      <w:r>
        <w:t xml:space="preserve">implementiert Smoke‑Checks/Staleness‑Validierung und „strict policy“‑Mechanik.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br/>
      </w:r>
      <w:r>
        <w:t xml:space="preserve">- TV Bridge:</w:t>
      </w:r>
      <w:r>
        <w:t xml:space="preserve"> </w:t>
      </w:r>
      <w:r>
        <w:rPr>
          <w:rStyle w:val="VerbatimChar"/>
        </w:rPr>
        <w:t xml:space="preserve">smc_tv_bridge/smc_api.py</w:t>
      </w:r>
      <w:r>
        <w:t xml:space="preserve"> </w:t>
      </w:r>
      <w:r>
        <w:t xml:space="preserve">stellt FastAPI‑Endpoints bereit (u. a.</w:t>
      </w:r>
      <w:r>
        <w:t xml:space="preserve"> </w:t>
      </w:r>
      <w:r>
        <w:rPr>
          <w:rStyle w:val="VerbatimChar"/>
        </w:rPr>
        <w:t xml:space="preserve">/smc_snapshot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/smc_tv</w:t>
      </w:r>
      <w:r>
        <w:t xml:space="preserve">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Pine Consumer:</w:t>
      </w:r>
      <w:r>
        <w:t xml:space="preserve"> </w:t>
      </w:r>
      <w:r>
        <w:rPr>
          <w:rStyle w:val="VerbatimChar"/>
        </w:rPr>
        <w:t xml:space="preserve">SMC_TV_Bridge.pine</w:t>
      </w:r>
      <w:r>
        <w:t xml:space="preserve"> </w:t>
      </w:r>
      <w:r>
        <w:t xml:space="preserve">konsumiert die Bridge‑Ausgabe und visualisiert BOS/OB/FVG/Sweeps mit UI‑Regeln, die (laut Architektur‑Prinzip) keine „shadow logic“ erzeugen sollen.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CI/Release‑Kontrollen</w:t>
      </w:r>
      <w:r>
        <w:t xml:space="preserve"> </w:t>
      </w:r>
      <w:r>
        <w:t xml:space="preserve">- Fast PR Gates:</w:t>
      </w:r>
      <w:r>
        <w:t xml:space="preserve"> </w:t>
      </w:r>
      <w:r>
        <w:rPr>
          <w:rStyle w:val="VerbatimChar"/>
        </w:rPr>
        <w:t xml:space="preserve">.github/workflows/smc-fast-pr-gates.yml</w:t>
      </w:r>
      <w:r>
        <w:t xml:space="preserve"> </w:t>
      </w:r>
      <w:r>
        <w:t xml:space="preserve">(Python 3.12 in CI).</w:t>
      </w:r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br/>
      </w:r>
      <w:r>
        <w:t xml:space="preserve">- Release‑Gates und Deeper‑Integration‑Gates existieren als eigene Workflows.</w:t>
      </w:r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br/>
      </w:r>
      <w:r>
        <w:t xml:space="preserve">- Pine Micro‑Library Refresh:</w:t>
      </w:r>
      <w:r>
        <w:t xml:space="preserve"> </w:t>
      </w:r>
      <w:r>
        <w:rPr>
          <w:rStyle w:val="VerbatimChar"/>
        </w:rPr>
        <w:t xml:space="preserve">.github/workflows/smc-library-refresh.yml</w:t>
      </w:r>
      <w:r>
        <w:t xml:space="preserve"> </w:t>
      </w:r>
      <w:r>
        <w:t xml:space="preserve">zeigt eine dedizierte Publishing‑Pipeline (inkl. API‑Keys und Artefakt‑Refresh).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bookmarkEnd w:id="45"/>
    <w:bookmarkStart w:id="47" w:name="inputsoutputs-und-datenfluss"/>
    <w:p>
      <w:pPr>
        <w:pStyle w:val="Heading3"/>
      </w:pPr>
      <w:r>
        <w:t xml:space="preserve">Inputs/Outputs und Datenfluss</w:t>
      </w:r>
    </w:p>
    <w:p>
      <w:pPr>
        <w:pStyle w:val="FirstParagraph"/>
      </w:pPr>
      <w:r>
        <w:t xml:space="preserve">Ein robuster, repo‑konformer End‑to‑End‑Fluss lässt sich wie folgt zusammenfassen: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A[OHLC(Bars)/Exports] --&gt; B[explicit_structure_from_bars]</w:t>
      </w:r>
      <w:r>
        <w:br/>
      </w:r>
      <w:r>
        <w:rPr>
          <w:rStyle w:val="VerbatimChar"/>
        </w:rPr>
        <w:t xml:space="preserve">  B --&gt; C[Detectors + Profiles]</w:t>
      </w:r>
      <w:r>
        <w:br/>
      </w:r>
      <w:r>
        <w:rPr>
          <w:rStyle w:val="VerbatimChar"/>
        </w:rPr>
        <w:t xml:space="preserve">  C --&gt; D[Canonical Structure\nbos/ob/fvg/sweeps]</w:t>
      </w:r>
      <w:r>
        <w:br/>
      </w:r>
      <w:r>
        <w:rPr>
          <w:rStyle w:val="VerbatimChar"/>
        </w:rPr>
        <w:t xml:space="preserve">  D --&gt; E[IDs + Schema/Types]</w:t>
      </w:r>
      <w:r>
        <w:br/>
      </w:r>
      <w:r>
        <w:rPr>
          <w:rStyle w:val="VerbatimChar"/>
        </w:rPr>
        <w:t xml:space="preserve">  E --&gt; F[Meta Merge + Layering\n(global_heat/ZoneStyles)]</w:t>
      </w:r>
      <w:r>
        <w:br/>
      </w:r>
      <w:r>
        <w:rPr>
          <w:rStyle w:val="VerbatimChar"/>
        </w:rPr>
        <w:t xml:space="preserve">  F --&gt; G[Serialization\nSMC Snapshot JSON]</w:t>
      </w:r>
      <w:r>
        <w:br/>
      </w:r>
      <w:r>
        <w:rPr>
          <w:rStyle w:val="VerbatimChar"/>
        </w:rPr>
        <w:t xml:space="preserve">  G --&gt; H[Adapters\nPine/Dashboard]</w:t>
      </w:r>
      <w:r>
        <w:br/>
      </w:r>
      <w:r>
        <w:rPr>
          <w:rStyle w:val="VerbatimChar"/>
        </w:rPr>
        <w:t xml:space="preserve">  H --&gt; I[FastAPI Bridge\n/smc_snapshot /smc_tv]</w:t>
      </w:r>
      <w:r>
        <w:br/>
      </w:r>
      <w:r>
        <w:rPr>
          <w:rStyle w:val="VerbatimChar"/>
        </w:rPr>
        <w:t xml:space="preserve">  I --&gt; J[TradingView Pine Consumer]</w:t>
      </w:r>
      <w:r>
        <w:br/>
      </w:r>
      <w:r>
        <w:rPr>
          <w:rStyle w:val="VerbatimChar"/>
        </w:rPr>
        <w:t xml:space="preserve">  G --&gt; K[CI Gates\nSchema/Parity/Health]</w:t>
      </w:r>
    </w:p>
    <w:p>
      <w:pPr>
        <w:pStyle w:val="FirstParagraph"/>
      </w:pPr>
      <w:r>
        <w:t xml:space="preserve">Die Architektur‑Doku v5.5a fordert exakt diese Logik (canonical‑only structure, additive Kontexte, no shadow logic), und der Repo‑Schnitt setzt sie bereits weitgehend in Code/Tests um. fileciteturn95file0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</w:p>
    <w:bookmarkEnd w:id="47"/>
    <w:bookmarkStart w:id="55" w:name="X92d6c4db7a182d2a933dadc131e9fc44d16d57b"/>
    <w:p>
      <w:pPr>
        <w:pStyle w:val="Heading3"/>
      </w:pPr>
      <w:r>
        <w:t xml:space="preserve">Dependencies, Runtime und Performance‑Charakteristika</w:t>
      </w:r>
    </w:p>
    <w:p>
      <w:pPr>
        <w:pStyle w:val="FirstParagraph"/>
      </w:pPr>
      <w:r>
        <w:t xml:space="preserve">Python/Runtime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fordert</w:t>
      </w:r>
      <w:r>
        <w:t xml:space="preserve"> </w:t>
      </w:r>
      <w:r>
        <w:rPr>
          <w:rStyle w:val="VerbatimChar"/>
        </w:rPr>
        <w:t xml:space="preserve">Python &gt;= 3.12</w:t>
      </w:r>
      <w:r>
        <w:t xml:space="preserve">.</w:t>
      </w:r>
      <w:r>
        <w:t xml:space="preserve"> </w:t>
      </w:r>
      <w:r>
        <w:rPr>
          <w:rStyle w:val="VerbatimChar"/>
        </w:rPr>
        <w:t xml:space="preserve">requires-python = "&gt;=3.12"</w:t>
      </w:r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br/>
      </w:r>
      <w:r>
        <w:t xml:space="preserve">- CI nutzt ebenfalls Python 3.12 (Fast‑PR‑Gates).</w:t>
      </w:r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Auffälligkeit:</w:t>
      </w:r>
      <w:r>
        <w:t xml:space="preserve"> </w:t>
      </w:r>
      <w:r>
        <w:rPr>
          <w:rStyle w:val="VerbatimChar"/>
        </w:rPr>
        <w:t xml:space="preserve">.devcontainer/devcontainer.json</w:t>
      </w:r>
      <w:r>
        <w:t xml:space="preserve"> </w:t>
      </w:r>
      <w:r>
        <w:t xml:space="preserve">referenziert ein Python‑3.11‑Image, was mit</w:t>
      </w:r>
      <w:r>
        <w:t xml:space="preserve"> </w:t>
      </w:r>
      <w:r>
        <w:rPr>
          <w:rStyle w:val="VerbatimChar"/>
        </w:rPr>
        <w:t xml:space="preserve">&gt;=3.12</w:t>
      </w:r>
      <w:r>
        <w:t xml:space="preserve"> </w:t>
      </w:r>
      <w:r>
        <w:t xml:space="preserve">kollidieren kann.</w:t>
      </w:r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Wichtige Abhängigkeiten (</w:t>
      </w:r>
      <w:r>
        <w:rPr>
          <w:rStyle w:val="VerbatimChar"/>
        </w:rPr>
        <w:t xml:space="preserve">requirements.txt</w:t>
      </w:r>
      <w:r>
        <w:t xml:space="preserve">)</w:t>
      </w:r>
      <w:r>
        <w:t xml:space="preserve"> </w:t>
      </w:r>
      <w:r>
        <w:t xml:space="preserve">- u. a.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tradingview-ta</w:t>
      </w:r>
      <w:r>
        <w:t xml:space="preserve">,</w:t>
      </w:r>
      <w:r>
        <w:t xml:space="preserve"> </w:t>
      </w:r>
      <w:r>
        <w:rPr>
          <w:rStyle w:val="VerbatimChar"/>
        </w:rPr>
        <w:t xml:space="preserve">yfinance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streamlit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Performance/Runtimes (Pine‑Budget)</w:t>
      </w:r>
      <w:r>
        <w:t xml:space="preserve"> </w:t>
      </w:r>
      <w:r>
        <w:t xml:space="preserve">- Das Repo enthält ein dediziertes Runtime‑Budget‑Dokument (Pine‑Performance als Architektur‑Constraint).</w:t>
      </w:r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br/>
      </w:r>
      <w:r>
        <w:t xml:space="preserve">Konkrete harte Laufzeit‑Kennzahlen (z. B. ms/Symbol/Timeframe in CI) sind im Repo‑Iststand</w:t>
      </w:r>
      <w:r>
        <w:t xml:space="preserve"> </w:t>
      </w:r>
      <w:r>
        <w:rPr>
          <w:b/>
          <w:bCs/>
        </w:rPr>
        <w:t xml:space="preserve">nicht durchgehend als Messwerte</w:t>
      </w:r>
      <w:r>
        <w:t xml:space="preserve"> </w:t>
      </w:r>
      <w:r>
        <w:t xml:space="preserve">zentral dokumentiert; das ist für v5.5b ein explizites Ergänzungsfeld (siehe Plan unten).</w:t>
      </w:r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Tests (Auszug)</w:t>
      </w:r>
      <w:r>
        <w:t xml:space="preserve"> </w:t>
      </w:r>
      <w:r>
        <w:t xml:space="preserve">- Schema‑Validation der Snapshot‑Beispiele via</w:t>
      </w:r>
      <w:r>
        <w:t xml:space="preserve"> </w:t>
      </w:r>
      <w:r>
        <w:rPr>
          <w:rStyle w:val="VerbatimChar"/>
        </w:rPr>
        <w:t xml:space="preserve">jsonschema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br/>
      </w:r>
      <w:r>
        <w:t xml:space="preserve">- SemVer‑Enforcement / Beispiele müssen zur aktuellen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passen.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Parity‑Tests (canonical → bridge → Pine) existieren, um Drift zu verhindern.</w:t>
      </w:r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br/>
      </w:r>
      <w:r>
        <w:t xml:space="preserve">- Purity/Determinismus‑Tests des Layering (keine Mutation/Side‑Effects).</w:t>
      </w:r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</w:p>
    <w:bookmarkEnd w:id="55"/>
    <w:bookmarkEnd w:id="56"/>
    <w:bookmarkStart w:id="63" w:name="X41cd44c676ebb4715ff61d295708a92333aadc0"/>
    <w:p>
      <w:pPr>
        <w:pStyle w:val="Heading2"/>
      </w:pPr>
      <w:r>
        <w:t xml:space="preserve">Abgleich v5.5a vs Code/Docs und konsolidierte Zielarchitektur v5.5b</w:t>
      </w:r>
    </w:p>
    <w:bookmarkStart w:id="57" w:name="was-v5.5a-vorgibt"/>
    <w:p>
      <w:pPr>
        <w:pStyle w:val="Heading3"/>
      </w:pPr>
      <w:r>
        <w:t xml:space="preserve">Was v5.5a vorgibt</w:t>
      </w:r>
    </w:p>
    <w:p>
      <w:pPr>
        <w:pStyle w:val="FirstParagraph"/>
      </w:pPr>
      <w:r>
        <w:t xml:space="preserve">v5.5a ist explizit eine „Schärfung“ von v5.5 (nicht ein Plattform‑Re‑Write) und fordert: lean, generator‑first, canonical‑only structure,</w:t>
      </w:r>
      <w:r>
        <w:t xml:space="preserve"> </w:t>
      </w:r>
      <w:r>
        <w:rPr>
          <w:b/>
          <w:bCs/>
        </w:rPr>
        <w:t xml:space="preserve">eine primäre Entscheidungssurface</w:t>
      </w:r>
      <w:r>
        <w:t xml:space="preserve"> </w:t>
      </w:r>
      <w:r>
        <w:t xml:space="preserve">(Lifecycle, Signal‑Quality, Event‑State, Bias, 2–3 Warnings), scoring statt blocking, no shadow logic und Semantik‑Disziplin. fileciteturn95file0</w:t>
      </w:r>
    </w:p>
    <w:bookmarkEnd w:id="57"/>
    <w:bookmarkStart w:id="58" w:name="Xec4fdd7339ae563229d0aa31ad07aa682767766"/>
    <w:p>
      <w:pPr>
        <w:pStyle w:val="Heading3"/>
      </w:pPr>
      <w:r>
        <w:t xml:space="preserve">Was der Repo‑Iststand bereits stark erfüllt</w:t>
      </w:r>
    </w:p>
    <w:p>
      <w:pPr>
        <w:pStyle w:val="FirstParagraph"/>
      </w:pPr>
      <w:r>
        <w:t xml:space="preserve">Canonical‑only Structure</w:t>
      </w:r>
      <w:r>
        <w:t xml:space="preserve"> </w:t>
      </w:r>
      <w:r>
        <w:t xml:space="preserve">- Der Snapshot‑Fokus auf</w:t>
      </w:r>
      <w:r>
        <w:t xml:space="preserve"> </w:t>
      </w:r>
      <w:r>
        <w:rPr>
          <w:rStyle w:val="VerbatimChar"/>
        </w:rPr>
        <w:t xml:space="preserve">bos/orderblocks/fvg/liquidity_sweeps</w:t>
      </w:r>
      <w:r>
        <w:t xml:space="preserve"> </w:t>
      </w:r>
      <w:r>
        <w:t xml:space="preserve">ist im Schema und in den Detektor‑Pipelines sichtbar.</w:t>
      </w:r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Generator‑First + Release‑Gates</w:t>
      </w:r>
      <w:r>
        <w:t xml:space="preserve"> </w:t>
      </w:r>
      <w:r>
        <w:t xml:space="preserve">- Die Workflow‑Landschaft (Fast PR, Deeper Integration, Release, Library Refresh) implementiert „Generator + Artefakte + Consumer bleiben synchron“ als CI‑Disziplin.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No Shadow Logic als Test‑/Contract‑Denke</w:t>
      </w:r>
      <w:r>
        <w:t xml:space="preserve"> </w:t>
      </w:r>
      <w:r>
        <w:t xml:space="preserve">- Mit Parity‑Tests zwischen canonical und TV‑Delivery ist ein Mechanismus vorhanden, der „shadow logic“ im Consumer zumindest detektierbar macht.</w:t>
      </w:r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</w:p>
    <w:bookmarkEnd w:id="58"/>
    <w:bookmarkStart w:id="59" w:name="Xd0ff79d8516ea912d8ae4d07d49c818d6e99728"/>
    <w:p>
      <w:pPr>
        <w:pStyle w:val="Heading3"/>
      </w:pPr>
      <w:r>
        <w:t xml:space="preserve">Wo v5.5a und Repo noch nicht „nahtlos“ zusammenliegen</w:t>
      </w:r>
    </w:p>
    <w:p>
      <w:pPr>
        <w:pStyle w:val="FirstParagraph"/>
      </w:pPr>
      <w:r>
        <w:t xml:space="preserve">Feld‑Semantik vs Domain‑Model</w:t>
      </w:r>
      <w:r>
        <w:t xml:space="preserve"> </w:t>
      </w:r>
      <w:r>
        <w:t xml:space="preserve">- v5.5a listet Pflichtfelder für Lean‑Familien (Event Risk Light, Session Context Light, OB Context …). fileciteturn95file0</w:t>
      </w:r>
      <w:r>
        <w:br/>
      </w:r>
      <w:r>
        <w:t xml:space="preserve">- Der Repo modelliert Kontext offensichtlich stärker als</w:t>
      </w:r>
      <w:r>
        <w:t xml:space="preserve"> </w:t>
      </w:r>
      <w:r>
        <w:rPr>
          <w:b/>
          <w:bCs/>
        </w:rPr>
        <w:t xml:space="preserve">Domains + Layering/ZoneStyles</w:t>
      </w:r>
      <w:r>
        <w:t xml:space="preserve"> </w:t>
      </w:r>
      <w:r>
        <w:t xml:space="preserve">(statt flacher Feldlisten).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br/>
      </w:r>
      <w:r>
        <w:t xml:space="preserve">→ Für v5.5b ist daher ein</w:t>
      </w:r>
      <w:r>
        <w:t xml:space="preserve"> </w:t>
      </w:r>
      <w:r>
        <w:rPr>
          <w:b/>
          <w:bCs/>
        </w:rPr>
        <w:t xml:space="preserve">Mapping‑Layer</w:t>
      </w:r>
      <w:r>
        <w:t xml:space="preserve"> </w:t>
      </w:r>
      <w:r>
        <w:t xml:space="preserve">nötig: (a) Lean‑Pflichtfelder aus v5.5a, (b) tatsächliche Domain‑Keys/Strukturen aus</w:t>
      </w:r>
      <w:r>
        <w:t xml:space="preserve"> </w:t>
      </w:r>
      <w:r>
        <w:rPr>
          <w:rStyle w:val="VerbatimChar"/>
        </w:rPr>
        <w:t xml:space="preserve">types.py</w:t>
      </w:r>
      <w:r>
        <w:t xml:space="preserve">, (c) Berechnungscode/Quellen und (d) Exportkontrakt für Pine/Dashboard.</w:t>
      </w:r>
    </w:p>
    <w:p>
      <w:pPr>
        <w:pStyle w:val="BodyText"/>
      </w:pPr>
      <w:r>
        <w:t xml:space="preserve">Governance‑Drift</w:t>
      </w:r>
      <w:r>
        <w:t xml:space="preserve"> </w:t>
      </w:r>
      <w:r>
        <w:t xml:space="preserve">- Code setzt</w:t>
      </w:r>
      <w:r>
        <w:t xml:space="preserve"> </w:t>
      </w:r>
      <w:r>
        <w:rPr>
          <w:rStyle w:val="VerbatimChar"/>
        </w:rPr>
        <w:t xml:space="preserve">SCHEMA_VERSION = "2.0.0"</w:t>
      </w:r>
      <w:r>
        <w:t xml:space="preserve">, während mindestens ein Beispiel‑Snapshot</w:t>
      </w:r>
      <w:r>
        <w:t xml:space="preserve"> </w:t>
      </w:r>
      <w:r>
        <w:rPr>
          <w:rStyle w:val="VerbatimChar"/>
        </w:rPr>
        <w:t xml:space="preserve">schema_version: "1.2.0"</w:t>
      </w:r>
      <w:r>
        <w:t xml:space="preserve"> </w:t>
      </w:r>
      <w:r>
        <w:t xml:space="preserve">zeigt – das ist ein klassischer Drift‑Fehler, der v5.5a‑„Synchronität“ untergräbt.</w:t>
      </w:r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</w:p>
    <w:bookmarkEnd w:id="59"/>
    <w:bookmarkStart w:id="62" w:name="Xe606c168677881a6f6b3aa0d2acbd95d0f2b436"/>
    <w:p>
      <w:pPr>
        <w:pStyle w:val="Heading3"/>
      </w:pPr>
      <w:r>
        <w:t xml:space="preserve">v5.5b: integrierte Architektur, abgeleitet aus v5.5a + Repo</w:t>
      </w:r>
    </w:p>
    <w:p>
      <w:pPr>
        <w:pStyle w:val="FirstParagraph"/>
      </w:pPr>
      <w:r>
        <w:t xml:space="preserve">Ich habe v5.5a inhaltlich beibehalten, aber um Repo‑realistische Contracts/Delivery‑Paths/Gates ergänzt und als</w:t>
      </w:r>
      <w:r>
        <w:t xml:space="preserve"> </w:t>
      </w:r>
      <w:r>
        <w:rPr>
          <w:b/>
          <w:bCs/>
        </w:rPr>
        <w:t xml:space="preserve">v5.5b</w:t>
      </w:r>
      <w:r>
        <w:t xml:space="preserve"> </w:t>
      </w:r>
      <w:r>
        <w:t xml:space="preserve">ausgeliefert:</w:t>
      </w:r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Download v5.5b Markdown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Download v5.5b Word (.docx)</w:t>
        </w:r>
      </w:hyperlink>
    </w:p>
    <w:p>
      <w:pPr>
        <w:pStyle w:val="FirstParagraph"/>
      </w:pPr>
      <w:r>
        <w:t xml:space="preserve">Die v5.5b‑Fassung stärkt explizit: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Schema/ID/Parity als Architektur‑Constraint</w:t>
      </w:r>
      <w:r>
        <w:t xml:space="preserve"> </w:t>
      </w:r>
      <w:r>
        <w:t xml:space="preserve">(nicht nur Engineering),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Delivery‑Dualität</w:t>
      </w:r>
      <w:r>
        <w:t xml:space="preserve"> </w:t>
      </w:r>
      <w:r>
        <w:t xml:space="preserve">(FastAPI‑Bridge + Pine‑Micro‑Library Refresh),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sichtbare ToDos statt stiller Unschärfe</w:t>
      </w:r>
      <w:r>
        <w:t xml:space="preserve"> </w:t>
      </w:r>
      <w:r>
        <w:t xml:space="preserve">(Ticksize/Session‑Awareness, HTF‑Bias Single Source of Truth).</w:t>
      </w:r>
      <w:r>
        <w:t xml:space="preserve"> </w:t>
      </w:r>
      <w:hyperlink r:id="rId25">
        <w:r>
          <w:rPr>
            <w:rStyle w:val="Hyperlink"/>
          </w:rPr>
          <w:t xml:space="preserve">[34]</w:t>
        </w:r>
      </w:hyperlink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hyperlink r:id="rId61">
        <w:r>
          <w:rPr>
            <w:rStyle w:val="Hyperlink"/>
          </w:rPr>
          <w:t xml:space="preserve">[36]</w:t>
        </w:r>
      </w:hyperlink>
    </w:p>
    <w:bookmarkEnd w:id="62"/>
    <w:bookmarkEnd w:id="63"/>
    <w:bookmarkStart w:id="77" w:name="X8ed1b808502863fad193cfd72e3a2742d29754c"/>
    <w:p>
      <w:pPr>
        <w:pStyle w:val="Heading2"/>
      </w:pPr>
      <w:r>
        <w:t xml:space="preserve">Vergleichbare SMC/Forecast‑Skripte und Libraries</w:t>
      </w:r>
    </w:p>
    <w:p>
      <w:pPr>
        <w:pStyle w:val="FirstParagraph"/>
      </w:pPr>
      <w:r>
        <w:t xml:space="preserve">Wichtig: Für „SMC“ existiert im Web eine Doppelbedeutung. In Trading‑Communities ist SMC häufig</w:t>
      </w:r>
      <w:r>
        <w:t xml:space="preserve"> </w:t>
      </w:r>
      <w:r>
        <w:rPr>
          <w:i/>
          <w:iCs/>
        </w:rPr>
        <w:t xml:space="preserve">Smart Money Concepts</w:t>
      </w:r>
      <w:r>
        <w:t xml:space="preserve">; in Statistik/Forschung ist SMC oft</w:t>
      </w:r>
      <w:r>
        <w:t xml:space="preserve"> </w:t>
      </w:r>
      <w:r>
        <w:rPr>
          <w:i/>
          <w:iCs/>
        </w:rPr>
        <w:t xml:space="preserve">Sequential Monte Carlo</w:t>
      </w:r>
      <w:r>
        <w:t xml:space="preserve"> </w:t>
      </w:r>
      <w:r>
        <w:t xml:space="preserve">(Particle Filters). Für euren Use‑Case sind beide relevant: Eure Struktur‑Erkennung ist Smart‑Money‑artig, aber die Verbesserung der Prognose‑/Qualitätslayer kann von SMC/Particle‑Filter‑Literatur massiv profitieren.</w:t>
      </w:r>
      <w:r>
        <w:t xml:space="preserve"> </w:t>
      </w:r>
      <w:hyperlink r:id="rId64">
        <w:r>
          <w:rPr>
            <w:rStyle w:val="Hyperlink"/>
          </w:rPr>
          <w:t xml:space="preserve">[37]</w:t>
        </w:r>
      </w:hyperlink>
    </w:p>
    <w:bookmarkStart w:id="76" w:name="vergleichstabelle"/>
    <w:p>
      <w:pPr>
        <w:pStyle w:val="Heading3"/>
      </w:pPr>
      <w:r>
        <w:t xml:space="preserve">Vergleichstabelle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Sprache</w:t>
            </w:r>
          </w:p>
        </w:tc>
        <w:tc>
          <w:tcPr/>
          <w:p>
            <w:pPr>
              <w:pStyle w:val="Compact"/>
            </w:pPr>
            <w:r>
              <w:t xml:space="preserve">Lizenz</w:t>
            </w:r>
          </w:p>
        </w:tc>
        <w:tc>
          <w:tcPr/>
          <w:p>
            <w:pPr>
              <w:pStyle w:val="Compact"/>
            </w:pPr>
            <w:r>
              <w:t xml:space="preserve">Kern‑Algorithmen</w:t>
            </w:r>
          </w:p>
        </w:tc>
        <w:tc>
          <w:tcPr/>
          <w:p>
            <w:pPr>
              <w:pStyle w:val="Compact"/>
            </w:pPr>
            <w:r>
              <w:t xml:space="preserve">Datenanforderungen</w:t>
            </w:r>
          </w:p>
        </w:tc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Schwächen</w:t>
            </w:r>
          </w:p>
        </w:tc>
        <w:tc>
          <w:tcPr/>
          <w:p>
            <w:pPr>
              <w:pStyle w:val="Compact"/>
            </w:pPr>
            <w:r>
              <w:t xml:space="preserve">Relevanz für</w:t>
            </w:r>
            <w:r>
              <w:t xml:space="preserve"> </w:t>
            </w:r>
            <w:r>
              <w:rPr>
                <w:rStyle w:val="VerbatimChar"/>
              </w:rPr>
              <w:t xml:space="preserve">skipp</w:t>
            </w:r>
            <w:r>
              <w:t xml:space="preserve">‑SMC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Money Concepts (SMC) [LuxAlgo]</w:t>
            </w:r>
          </w:p>
        </w:tc>
        <w:tc>
          <w:tcPr/>
          <w:p>
            <w:pPr>
              <w:pStyle w:val="Compact"/>
            </w:pPr>
            <w:r>
              <w:t xml:space="preserve">TradingView Script‑Page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Pine Script</w:t>
            </w:r>
          </w:p>
        </w:tc>
        <w:tc>
          <w:tcPr/>
          <w:p>
            <w:pPr>
              <w:pStyle w:val="Compact"/>
            </w:pPr>
            <w:r>
              <w:t xml:space="preserve">„Open‑source script“ (TradingView‑House‑Rules)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BOS/CHoCH (internal/swing), OB, FVG, EQH/EQL, PD‑Zonen, Confluence‑Filter</w:t>
            </w:r>
          </w:p>
        </w:tc>
        <w:tc>
          <w:tcPr/>
          <w:p>
            <w:pPr>
              <w:pStyle w:val="Compact"/>
            </w:pPr>
            <w:r>
              <w:t xml:space="preserve">OHLCV in TradingView</w:t>
            </w:r>
          </w:p>
        </w:tc>
        <w:tc>
          <w:tcPr/>
          <w:p>
            <w:pPr>
              <w:pStyle w:val="Compact"/>
            </w:pPr>
            <w:r>
              <w:t xml:space="preserve">De‑facto Benchmark für Features/UX; hohe Adoption</w:t>
            </w:r>
          </w:p>
        </w:tc>
        <w:tc>
          <w:tcPr/>
          <w:p>
            <w:pPr>
              <w:pStyle w:val="Compact"/>
            </w:pPr>
            <w:r>
              <w:t xml:space="preserve">Regeln/Validierung nicht wissenschaftlich; Pine‑Constraints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Sehr hoch</w:t>
            </w:r>
            <w:r>
              <w:t xml:space="preserve"> </w:t>
            </w:r>
            <w:r>
              <w:t xml:space="preserve">als Feature‑/UX‑Benchmark und Parity‑Referenz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ICT Concepts (Liquidity, FVG &amp; Sweeps)</w:t>
            </w:r>
          </w:p>
        </w:tc>
        <w:tc>
          <w:tcPr/>
          <w:p>
            <w:pPr>
              <w:pStyle w:val="Compact"/>
            </w:pPr>
            <w:r>
              <w:t xml:space="preserve">TradingView (de)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Pine Script</w:t>
            </w:r>
          </w:p>
        </w:tc>
        <w:tc>
          <w:tcPr/>
          <w:p>
            <w:pPr>
              <w:pStyle w:val="Compact"/>
            </w:pPr>
            <w:r>
              <w:t xml:space="preserve">Invite‑only (nicht auditierbar)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Liquidity‑Sweep + Volumenfilter, FVG‑3‑Candle‑Regeln, Swing‑Structure Proxy</w:t>
            </w:r>
          </w:p>
        </w:tc>
        <w:tc>
          <w:tcPr/>
          <w:p>
            <w:pPr>
              <w:pStyle w:val="Compact"/>
            </w:pPr>
            <w:r>
              <w:t xml:space="preserve">OHLCV + Volume</w:t>
            </w:r>
          </w:p>
        </w:tc>
        <w:tc>
          <w:tcPr/>
          <w:p>
            <w:pPr>
              <w:pStyle w:val="Compact"/>
            </w:pPr>
            <w:r>
              <w:t xml:space="preserve">Fokus auf Sweeps+FVG; Performance‑Optimierungen erwähnt</w:t>
            </w:r>
          </w:p>
        </w:tc>
        <w:tc>
          <w:tcPr/>
          <w:p>
            <w:pPr>
              <w:pStyle w:val="Compact"/>
            </w:pPr>
            <w:r>
              <w:t xml:space="preserve">Black‑box, schwer vergleichbar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  <w:r>
              <w:t xml:space="preserve"> </w:t>
            </w:r>
            <w:r>
              <w:t xml:space="preserve">als alternative Heuristik‑Inspiration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statsmodels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State‑Space, SARIMAX/ARIMA, Kalman‑basierte Schätzer</w:t>
            </w:r>
          </w:p>
        </w:tc>
        <w:tc>
          <w:tcPr/>
          <w:p>
            <w:pPr>
              <w:pStyle w:val="Compact"/>
            </w:pPr>
            <w:r>
              <w:t xml:space="preserve">Zeitreihen + optional exogene Features</w:t>
            </w:r>
          </w:p>
        </w:tc>
        <w:tc>
          <w:tcPr/>
          <w:p>
            <w:pPr>
              <w:pStyle w:val="Compact"/>
            </w:pPr>
            <w:r>
              <w:t xml:space="preserve">akademisch fundiert; baseline &amp; state‑space</w:t>
            </w:r>
          </w:p>
        </w:tc>
        <w:tc>
          <w:tcPr/>
          <w:p>
            <w:pPr>
              <w:pStyle w:val="Compact"/>
            </w:pPr>
            <w:r>
              <w:t xml:space="preserve">nicht „SMC‑nativ“, braucht Feature‑Engineering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Hoch</w:t>
            </w:r>
            <w:r>
              <w:t xml:space="preserve"> </w:t>
            </w:r>
            <w:r>
              <w:t xml:space="preserve">als Kalman/State‑Space‑Backbone für Meta‑/Quality‑Layer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NCSA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ARCH/GARCH, Bootstraps, Finance‑Econometrics Tools</w:t>
            </w:r>
          </w:p>
        </w:tc>
        <w:tc>
          <w:tcPr/>
          <w:p>
            <w:pPr>
              <w:pStyle w:val="Compact"/>
            </w:pPr>
            <w:r>
              <w:t xml:space="preserve">Returns / Residuals</w:t>
            </w:r>
          </w:p>
        </w:tc>
        <w:tc>
          <w:tcPr/>
          <w:p>
            <w:pPr>
              <w:pStyle w:val="Compact"/>
            </w:pPr>
            <w:r>
              <w:t xml:space="preserve">Volatilitäts‑Forecasts „first class“, performance‑optimiert</w:t>
            </w:r>
          </w:p>
        </w:tc>
        <w:tc>
          <w:tcPr/>
          <w:p>
            <w:pPr>
              <w:pStyle w:val="Compact"/>
            </w:pPr>
            <w:r>
              <w:t xml:space="preserve">Modellannahmen müssen sauber geprüft werden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Sehr hoch</w:t>
            </w:r>
            <w:r>
              <w:t xml:space="preserve"> </w:t>
            </w:r>
            <w:r>
              <w:t xml:space="preserve">für Vol‑Regime, Risk‑Gates, Signal‑Kalibrierung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FilterPy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Kalman/EKF/UKF, Smoother, Bayes Filters</w:t>
            </w:r>
          </w:p>
        </w:tc>
        <w:tc>
          <w:tcPr/>
          <w:p>
            <w:pPr>
              <w:pStyle w:val="Compact"/>
            </w:pPr>
            <w:r>
              <w:t xml:space="preserve">State‑Space Formulierung</w:t>
            </w:r>
          </w:p>
        </w:tc>
        <w:tc>
          <w:tcPr/>
          <w:p>
            <w:pPr>
              <w:pStyle w:val="Compact"/>
            </w:pPr>
            <w:r>
              <w:t xml:space="preserve">schnelles Prototyping, modular</w:t>
            </w:r>
          </w:p>
        </w:tc>
        <w:tc>
          <w:tcPr/>
          <w:p>
            <w:pPr>
              <w:pStyle w:val="Compact"/>
            </w:pPr>
            <w:r>
              <w:t xml:space="preserve">Modellwahl/Parameter bei euch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  <w:r>
              <w:t xml:space="preserve"> </w:t>
            </w:r>
            <w:r>
              <w:t xml:space="preserve">(Toolkit für Latents/Noise‑Robustheit)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PyMC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Apache‑2.0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Bayes‑Modelle, MCMC/VI</w:t>
            </w:r>
          </w:p>
        </w:tc>
        <w:tc>
          <w:tcPr/>
          <w:p>
            <w:pPr>
              <w:pStyle w:val="Compact"/>
            </w:pPr>
            <w:r>
              <w:t xml:space="preserve">Features + Priors + Daten</w:t>
            </w:r>
          </w:p>
        </w:tc>
        <w:tc>
          <w:tcPr/>
          <w:p>
            <w:pPr>
              <w:pStyle w:val="Compact"/>
            </w:pPr>
            <w:r>
              <w:t xml:space="preserve">Unsicherheit/Kalibrierung stark</w:t>
            </w:r>
          </w:p>
        </w:tc>
        <w:tc>
          <w:tcPr/>
          <w:p>
            <w:pPr>
              <w:pStyle w:val="Compact"/>
            </w:pPr>
            <w:r>
              <w:t xml:space="preserve">compute‑intensiv, Engineering‑Aufwand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Mittel–hoch</w:t>
            </w:r>
            <w:r>
              <w:t xml:space="preserve"> </w:t>
            </w:r>
            <w:r>
              <w:t xml:space="preserve">für echte Probabilistik (P(reversal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Prophet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Additives Modell (Trend + Saison + Holidays)</w:t>
            </w:r>
          </w:p>
        </w:tc>
        <w:tc>
          <w:tcPr/>
          <w:p>
            <w:pPr>
              <w:pStyle w:val="Compact"/>
            </w:pPr>
            <w:r>
              <w:t xml:space="preserve">Zeitstempel‑Serie, saisonale Struktur</w:t>
            </w:r>
          </w:p>
        </w:tc>
        <w:tc>
          <w:tcPr/>
          <w:p>
            <w:pPr>
              <w:pStyle w:val="Compact"/>
            </w:pPr>
            <w:r>
              <w:t xml:space="preserve">robust, schnell baseline</w:t>
            </w:r>
          </w:p>
        </w:tc>
        <w:tc>
          <w:tcPr/>
          <w:p>
            <w:pPr>
              <w:pStyle w:val="Compact"/>
            </w:pPr>
            <w:r>
              <w:t xml:space="preserve">Intraday‑SMC oft unpassend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Niedrig–mittel</w:t>
            </w:r>
            <w:r>
              <w:t xml:space="preserve"> </w:t>
            </w:r>
            <w:r>
              <w:t xml:space="preserve">eher HTF/Seasonality‑Kontext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pmdarima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(PyPI‑Metadaten; im Snippet nicht sichtbar)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auto.arima, Stationarity Tests, CV Utilities</w:t>
            </w:r>
          </w:p>
        </w:tc>
        <w:tc>
          <w:tcPr/>
          <w:p>
            <w:pPr>
              <w:pStyle w:val="Compact"/>
            </w:pPr>
            <w:r>
              <w:t xml:space="preserve">Zeitreihen</w:t>
            </w:r>
          </w:p>
        </w:tc>
        <w:tc>
          <w:tcPr/>
          <w:p>
            <w:pPr>
              <w:pStyle w:val="Compact"/>
            </w:pPr>
            <w:r>
              <w:t xml:space="preserve">schnelle, solide Baseline</w:t>
            </w:r>
          </w:p>
        </w:tc>
        <w:tc>
          <w:tcPr/>
          <w:p>
            <w:pPr>
              <w:pStyle w:val="Compact"/>
            </w:pPr>
            <w:r>
              <w:t xml:space="preserve">nur indirekt zu SMC‑Events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  <w:r>
              <w:t xml:space="preserve"> </w:t>
            </w:r>
            <w:r>
              <w:t xml:space="preserve">als Baseline/Benchmark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Darts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Apache‑2.0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Multi‑Model Forecasting + Backtesting + Ensembles</w:t>
            </w:r>
          </w:p>
        </w:tc>
        <w:tc>
          <w:tcPr/>
          <w:p>
            <w:pPr>
              <w:pStyle w:val="Compact"/>
            </w:pPr>
            <w:r>
              <w:t xml:space="preserve">uni-/multivariate TS + Regressors</w:t>
            </w:r>
          </w:p>
        </w:tc>
        <w:tc>
          <w:tcPr/>
          <w:p>
            <w:pPr>
              <w:pStyle w:val="Compact"/>
            </w:pPr>
            <w:r>
              <w:t xml:space="preserve">Backtest/Ensemble out‑of‑box</w:t>
            </w:r>
          </w:p>
        </w:tc>
        <w:tc>
          <w:tcPr/>
          <w:p>
            <w:pPr>
              <w:pStyle w:val="Compact"/>
            </w:pPr>
            <w:r>
              <w:t xml:space="preserve">„großes Framework“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  <w:r>
              <w:t xml:space="preserve"> </w:t>
            </w:r>
            <w:r>
              <w:t xml:space="preserve">als Research‑Harness für Forecast‑Layer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pytorch‑forecasting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 TS Modelle (u. a. TFT, N‑BEATS)</w:t>
            </w:r>
          </w:p>
        </w:tc>
        <w:tc>
          <w:tcPr/>
          <w:p>
            <w:pPr>
              <w:pStyle w:val="Compact"/>
            </w:pPr>
            <w:r>
              <w:t xml:space="preserve">große Datensets, Covariates</w:t>
            </w:r>
          </w:p>
        </w:tc>
        <w:tc>
          <w:tcPr/>
          <w:p>
            <w:pPr>
              <w:pStyle w:val="Compact"/>
            </w:pPr>
            <w:r>
              <w:t xml:space="preserve">modern, probabilistisch</w:t>
            </w:r>
          </w:p>
        </w:tc>
        <w:tc>
          <w:tcPr/>
          <w:p>
            <w:pPr>
              <w:pStyle w:val="Compact"/>
            </w:pPr>
            <w:r>
              <w:t xml:space="preserve">Komplexität; Risiko von Overfitting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  <w:r>
              <w:t xml:space="preserve"> </w:t>
            </w:r>
            <w:r>
              <w:t xml:space="preserve">für Research‑Prototyping von Quality‑Forecast</w:t>
            </w:r>
          </w:p>
        </w:tc>
      </w:tr>
    </w:tbl>
    <w:bookmarkEnd w:id="76"/>
    <w:bookmarkEnd w:id="77"/>
    <w:bookmarkStart w:id="94" w:name="X55e8b7c46d997c2fcc08baba544fed52ce197d7"/>
    <w:p>
      <w:pPr>
        <w:pStyle w:val="Heading2"/>
      </w:pPr>
      <w:r>
        <w:t xml:space="preserve">Relevante akademische Arbeiten zu Forecasting und konkrete Anwendbarkeit auf euer SMC</w:t>
      </w:r>
    </w:p>
    <w:bookmarkStart w:id="79" w:name="X45f1255380911511b56a3049ff6d687350d3177"/>
    <w:p>
      <w:pPr>
        <w:pStyle w:val="Heading3"/>
      </w:pPr>
      <w:r>
        <w:t xml:space="preserve">State‑Space / Kalman‑Filter (Latents für Trend/Noise/Confidence)</w:t>
      </w:r>
    </w:p>
    <w:p>
      <w:pPr>
        <w:pStyle w:val="FirstParagraph"/>
      </w:pPr>
      <w:r>
        <w:rPr>
          <w:b/>
          <w:bCs/>
        </w:rPr>
        <w:t xml:space="preserve">Kalman (1960)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A New Approach to Linear Filtering and Prediction Problems</w:t>
      </w:r>
      <w:r>
        <w:t xml:space="preserve"> </w:t>
      </w:r>
      <w:r>
        <w:t xml:space="preserve">(Journal of Basic Engineering, DOI 10.1115/1.3662552).</w:t>
      </w:r>
      <w:r>
        <w:t xml:space="preserve"> </w:t>
      </w:r>
      <w:hyperlink r:id="rId78">
        <w:r>
          <w:rPr>
            <w:rStyle w:val="Hyperlink"/>
          </w:rPr>
          <w:t xml:space="preserve">[49]</w:t>
        </w:r>
      </w:hyperlink>
      <w:r>
        <w:br/>
      </w:r>
      <w:r>
        <w:rPr>
          <w:b/>
          <w:bCs/>
        </w:rPr>
        <w:t xml:space="preserve">Kernidee:</w:t>
      </w:r>
      <w:r>
        <w:t xml:space="preserve"> </w:t>
      </w:r>
      <w:r>
        <w:t xml:space="preserve">lineares Gauß‑State‑Space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H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br/>
      </w:r>
      <w:r>
        <w:rPr>
          <w:b/>
          <w:bCs/>
        </w:rPr>
        <w:t xml:space="preserve">Anwendung auf euer SMC:</w:t>
      </w:r>
      <w:r>
        <w:br/>
      </w:r>
      <w:r>
        <w:t xml:space="preserve">Euer Layering erzeugt global_heat/global_strength und ZoneStyles.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br/>
      </w:r>
      <w:r>
        <w:t xml:space="preserve">Kalman/State‑Space kann hier ein</w:t>
      </w:r>
      <w:r>
        <w:t xml:space="preserve"> </w:t>
      </w:r>
      <w:r>
        <w:rPr>
          <w:b/>
          <w:bCs/>
        </w:rPr>
        <w:t xml:space="preserve">latentes Trend‑Signal</w:t>
      </w:r>
      <w:r>
        <w:t xml:space="preserve"> </w:t>
      </w:r>
      <w:r>
        <w:t xml:space="preserve">und eine</w:t>
      </w:r>
      <w:r>
        <w:t xml:space="preserve"> </w:t>
      </w:r>
      <w:r>
        <w:rPr>
          <w:b/>
          <w:bCs/>
        </w:rPr>
        <w:t xml:space="preserve">Noise‑/Confidence‑Komponente</w:t>
      </w:r>
      <w:r>
        <w:t xml:space="preserve"> </w:t>
      </w:r>
      <w:r>
        <w:t xml:space="preserve">liefern, sodass „Signal Quality“ nicht nur heuristisch ist, sondern als geglätteter Zustand mit Unsicherheit (z. B.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t</m:t>
                </m:r>
                <m:r>
                  <m:t>r</m:t>
                </m:r>
                <m:r>
                  <m:t>e</m:t>
                </m:r>
                <m:r>
                  <m:t>n</m:t>
                </m:r>
                <m:r>
                  <m:t>d</m:t>
                </m:r>
              </m:e>
            </m:d>
            <m:r>
              <m:rPr>
                <m:sty m:val="p"/>
              </m:rPr>
              <m:t>&gt;</m:t>
            </m:r>
            <m:r>
              <m:t>τ</m:t>
            </m:r>
          </m:e>
        </m:d>
      </m:oMath>
      <w:r>
        <w:t xml:space="preserve">) in Tier‑Scoring und Warnings eingeht.</w:t>
      </w:r>
    </w:p>
    <w:bookmarkEnd w:id="79"/>
    <w:bookmarkStart w:id="80" w:name="X710406d2f31a4ce88554530af13eb5bf6fa135e"/>
    <w:p>
      <w:pPr>
        <w:pStyle w:val="Heading3"/>
      </w:pPr>
      <w:r>
        <w:t xml:space="preserve">Sequential Monte Carlo / Particle Filter (nichtlinear, heavy‑tail, Regime‑Noise)</w:t>
      </w:r>
    </w:p>
    <w:p>
      <w:pPr>
        <w:pStyle w:val="FirstParagraph"/>
      </w:pPr>
      <w:r>
        <w:rPr>
          <w:b/>
          <w:bCs/>
        </w:rPr>
        <w:t xml:space="preserve">Gordon, Salmond &amp; Smith (1993)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Novel approach to nonlinear/non‑Gaussian Bayesian state estimation</w:t>
      </w:r>
      <w:r>
        <w:t xml:space="preserve"> </w:t>
      </w:r>
      <w:r>
        <w:t xml:space="preserve">(IEE Proceedings, DOI 10.1049/ip-f-2.1993.0015).</w:t>
      </w:r>
      <w:r>
        <w:t xml:space="preserve"> </w:t>
      </w:r>
      <w:hyperlink r:id="rId64">
        <w:r>
          <w:rPr>
            <w:rStyle w:val="Hyperlink"/>
          </w:rPr>
          <w:t xml:space="preserve">[50]</w:t>
        </w:r>
      </w:hyperlink>
      <w:r>
        <w:br/>
      </w:r>
      <w:r>
        <w:rPr>
          <w:b/>
          <w:bCs/>
        </w:rPr>
        <w:t xml:space="preserve">Key Algorithmus:</w:t>
      </w:r>
      <w:r>
        <w:t xml:space="preserve"> </w:t>
      </w:r>
      <w:r>
        <w:t xml:space="preserve">Bootstrap/Particle Filter approximiert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mit Partikeln und Resampling: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∝</m:t>
          </m:r>
          <m:sSubSup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Sup>
                <m:e>
                  <m:r>
                    <m:t>x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Resample gegen Degenerierung</m:t>
          </m:r>
        </m:oMath>
      </m:oMathPara>
    </w:p>
    <w:p>
      <w:pPr>
        <w:pStyle w:val="FirstParagraph"/>
      </w:pPr>
      <w:r>
        <w:br/>
      </w:r>
      <w:r>
        <w:rPr>
          <w:b/>
          <w:bCs/>
        </w:rPr>
        <w:t xml:space="preserve">Anwendung auf euer SMC:</w:t>
      </w:r>
      <w:r>
        <w:br/>
      </w:r>
      <w:r>
        <w:t xml:space="preserve">Für Intraday‑Mikrostruktur sind Nichtlinearität und heavy tails typisch. Ein Partikelfilter kann „latent volatility + latent drift + event shock“ schätzen und als probabilistischer Kontext in die Layering‑Logik einspeisen (statt harter Schwellen). Das ist besonders passend, weil euer System ohnehin „Probability Forecast“ als Roadmap‑Ziel nennt.</w:t>
      </w:r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</w:p>
    <w:bookmarkEnd w:id="80"/>
    <w:bookmarkStart w:id="81" w:name="X45b8dd076b6ca6d2037e51fa0478718ae01cad6"/>
    <w:p>
      <w:pPr>
        <w:pStyle w:val="Heading3"/>
      </w:pPr>
      <w:r>
        <w:t xml:space="preserve">Regime‑Switching (Markov‑Regimes für Trend/Range‑Wechsel)</w:t>
      </w:r>
    </w:p>
    <w:p>
      <w:pPr>
        <w:pStyle w:val="FirstParagraph"/>
      </w:pPr>
      <w:r>
        <w:rPr>
          <w:b/>
          <w:bCs/>
        </w:rPr>
        <w:t xml:space="preserve">Hamilton (1989)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A New Approach to the Economic Analysis of Nonstationary Time Series and the Business Cycle</w:t>
      </w:r>
      <w:r>
        <w:t xml:space="preserve"> </w:t>
      </w:r>
      <w:r>
        <w:t xml:space="preserve">(Econometrica).</w:t>
      </w:r>
      <w:r>
        <w:t xml:space="preserve"> </w:t>
      </w:r>
      <w:hyperlink r:id="rId28">
        <w:r>
          <w:rPr>
            <w:rStyle w:val="Hyperlink"/>
          </w:rPr>
          <w:t xml:space="preserve">[52]</w:t>
        </w:r>
      </w:hyperlink>
      <w:r>
        <w:br/>
      </w:r>
      <w:r>
        <w:rPr>
          <w:b/>
          <w:bCs/>
        </w:rPr>
        <w:t xml:space="preserve">Kernidee:</w:t>
      </w:r>
      <w:r>
        <w:t xml:space="preserve"> </w:t>
      </w:r>
      <w:r>
        <w:t xml:space="preserve">Parameter einer AR‑Dynamik hängen von latentem Regime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(Markov‑Kette) ab; liefert Regime‑Posterior.</w:t>
      </w:r>
      <w:r>
        <w:br/>
      </w:r>
      <w:r>
        <w:rPr>
          <w:b/>
          <w:bCs/>
        </w:rPr>
        <w:t xml:space="preserve">Anwendung auf euer SMC:</w:t>
      </w:r>
      <w:r>
        <w:br/>
      </w:r>
      <w:r>
        <w:t xml:space="preserve">Ihr habt bereits Session‑/HTF‑Kontextmodule.</w:t>
      </w:r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hyperlink r:id="rId61">
        <w:r>
          <w:rPr>
            <w:rStyle w:val="Hyperlink"/>
          </w:rPr>
          <w:t xml:space="preserve">[36]</w:t>
        </w:r>
      </w:hyperlink>
      <w:r>
        <w:br/>
      </w:r>
      <w:r>
        <w:t xml:space="preserve">Regime‑Switching kann „Trend vs Range“ oder „High‑Vol vs Low‑Vol“ als Posterior liefern, um:</w:t>
      </w:r>
      <w:r>
        <w:br/>
      </w:r>
      <w:r>
        <w:t xml:space="preserve">1) Detektor‑Schwellen (z. B. „significant move“) profil‑abhängig zu machen,</w:t>
      </w:r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br/>
      </w:r>
      <w:r>
        <w:t xml:space="preserve">2) Signal‑Quality‑Tier nach Regime zu kalibrieren (z. B. Sweeps in Range‑Regime anders gewichten).</w:t>
      </w:r>
    </w:p>
    <w:bookmarkEnd w:id="81"/>
    <w:bookmarkStart w:id="85" w:name="X8c553cda2799a8f13482b9a917ccd5cae1d6ca4"/>
    <w:p>
      <w:pPr>
        <w:pStyle w:val="Heading3"/>
      </w:pPr>
      <w:r>
        <w:t xml:space="preserve">Volatilitätsmodelle (ARCH/GARCH) und stochastische Volatilität</w:t>
      </w:r>
    </w:p>
    <w:p>
      <w:pPr>
        <w:pStyle w:val="FirstParagraph"/>
      </w:pPr>
      <w:r>
        <w:rPr>
          <w:b/>
          <w:bCs/>
        </w:rPr>
        <w:t xml:space="preserve">Engle (1982)</w:t>
      </w:r>
      <w:r>
        <w:t xml:space="preserve"> </w:t>
      </w:r>
      <w:r>
        <w:t xml:space="preserve">– ARCH (Econometrica).</w:t>
      </w:r>
      <w:r>
        <w:t xml:space="preserve"> </w:t>
      </w:r>
      <w:hyperlink r:id="rId82">
        <w:r>
          <w:rPr>
            <w:rStyle w:val="Hyperlink"/>
          </w:rPr>
          <w:t xml:space="preserve">[53]</w:t>
        </w:r>
      </w:hyperlink>
      <w:r>
        <w:br/>
      </w:r>
      <w:r>
        <w:rPr>
          <w:b/>
          <w:bCs/>
        </w:rPr>
        <w:t xml:space="preserve">Bollerslev (1986)</w:t>
      </w:r>
      <w:r>
        <w:t xml:space="preserve"> </w:t>
      </w:r>
      <w:r>
        <w:t xml:space="preserve">– GARCH (Journal of Econometrics, DOI 10.1016/0304-4076(86)90063-1).</w:t>
      </w:r>
      <w:r>
        <w:t xml:space="preserve"> </w:t>
      </w:r>
      <w:hyperlink r:id="rId83">
        <w:r>
          <w:rPr>
            <w:rStyle w:val="Hyperlink"/>
          </w:rPr>
          <w:t xml:space="preserve">[54]</w:t>
        </w:r>
      </w:hyperlink>
      <w:r>
        <w:br/>
      </w:r>
      <w:r>
        <w:t xml:space="preserve">Exemplarisch GARCH(1,1):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r>
            <m:t>α</m:t>
          </m:r>
          <m:sSubSup>
            <m:e>
              <m:r>
                <m:t>ϵ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β</m:t>
          </m:r>
          <m:sSubSup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br/>
      </w:r>
      <w:r>
        <w:rPr>
          <w:b/>
          <w:bCs/>
        </w:rPr>
        <w:t xml:space="preserve">Heston (1993)</w:t>
      </w:r>
      <w:r>
        <w:t xml:space="preserve"> </w:t>
      </w:r>
      <w:r>
        <w:t xml:space="preserve">– stochastische Volatilität / characteristic functions (RFS, DOI 10.1093/rfs/6.2.327).</w:t>
      </w:r>
      <w:r>
        <w:t xml:space="preserve"> </w:t>
      </w:r>
      <w:hyperlink r:id="rId84">
        <w:r>
          <w:rPr>
            <w:rStyle w:val="Hyperlink"/>
          </w:rPr>
          <w:t xml:space="preserve">[55]</w:t>
        </w:r>
      </w:hyperlink>
      <w:r>
        <w:br/>
      </w:r>
      <w:r>
        <w:rPr>
          <w:b/>
          <w:bCs/>
        </w:rPr>
        <w:t xml:space="preserve">Anwendung auf euer SMC:</w:t>
      </w:r>
      <w:r>
        <w:br/>
      </w:r>
      <w:r>
        <w:t xml:space="preserve">Volatilität ist ein zentraler Gate‑Faktor für „False Positives“ (FVG/OB‑Invalidation, Sweep‑Noise).</w:t>
      </w:r>
      <w:r>
        <w:t xml:space="preserve"> </w:t>
      </w:r>
      <w:r>
        <w:rPr>
          <w:rStyle w:val="VerbatimChar"/>
        </w:rPr>
        <w:t xml:space="preserve">arch</w:t>
      </w:r>
      <w:r>
        <w:t xml:space="preserve"> </w:t>
      </w:r>
      <w:r>
        <w:t xml:space="preserve">ist als Library passend, weil es Volatilitätsmodelle plus Bootstraps bietet und performance‑optimiert ist.</w:t>
      </w:r>
      <w:r>
        <w:t xml:space="preserve"> </w:t>
      </w:r>
      <w:hyperlink r:id="rId69">
        <w:r>
          <w:rPr>
            <w:rStyle w:val="Hyperlink"/>
          </w:rPr>
          <w:t xml:space="preserve">[42]</w:t>
        </w:r>
      </w:hyperlink>
      <w:r>
        <w:br/>
      </w:r>
      <w:r>
        <w:t xml:space="preserve">Das Ergebnis (Vol‑Forecast, Vol‑Regime) sollte als Meta‑Domain in den Snapshot und in die Tier‑/Warning‑Logik einfließen (anstatt „thin_fraction“/Heuristiken allein).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bookmarkEnd w:id="85"/>
    <w:bookmarkStart w:id="87" w:name="X8e3949b24304104f96de469ade77d2fe50de14f"/>
    <w:p>
      <w:pPr>
        <w:pStyle w:val="Heading3"/>
      </w:pPr>
      <w:r>
        <w:t xml:space="preserve">Proper Scoring Rules (Probabilistische Forecast‑Qualität messbar machen)</w:t>
      </w:r>
    </w:p>
    <w:p>
      <w:pPr>
        <w:pStyle w:val="FirstParagraph"/>
      </w:pPr>
      <w:r>
        <w:rPr>
          <w:b/>
          <w:bCs/>
        </w:rPr>
        <w:t xml:space="preserve">Gneiting &amp; Raftery (2007)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Strictly Proper Scoring Rules, Prediction, and Estimation</w:t>
      </w:r>
      <w:r>
        <w:t xml:space="preserve"> </w:t>
      </w:r>
      <w:r>
        <w:t xml:space="preserve">(JASA).</w:t>
      </w:r>
      <w:r>
        <w:t xml:space="preserve"> </w:t>
      </w:r>
      <w:hyperlink r:id="rId86">
        <w:r>
          <w:rPr>
            <w:rStyle w:val="Hyperlink"/>
          </w:rPr>
          <w:t xml:space="preserve">[56]</w:t>
        </w:r>
      </w:hyperlink>
      <w:r>
        <w:br/>
      </w:r>
      <w:r>
        <w:rPr>
          <w:b/>
          <w:bCs/>
        </w:rPr>
        <w:t xml:space="preserve">Kernidee:</w:t>
      </w:r>
      <w:r>
        <w:t xml:space="preserve"> </w:t>
      </w:r>
      <w:r>
        <w:t xml:space="preserve">proper scoring rules (Log Score, Brier Score, CRPS) erzwingen „ehrliche“ Wahrscheinlichkeitsprognosen.</w:t>
      </w:r>
      <w:r>
        <w:br/>
      </w:r>
      <w:r>
        <w:rPr>
          <w:b/>
          <w:bCs/>
        </w:rPr>
        <w:t xml:space="preserve">Anwendung auf euer SMC:</w:t>
      </w:r>
      <w:r>
        <w:br/>
      </w:r>
      <w:r>
        <w:t xml:space="preserve">Wenn „Signal Quality“ in Richtung</w:t>
      </w:r>
      <w:r>
        <w:t xml:space="preserve"> </w:t>
      </w:r>
      <w:r>
        <w:rPr>
          <w:i/>
          <w:iCs/>
        </w:rPr>
        <w:t xml:space="preserve">probabilistic forecast</w:t>
      </w:r>
      <w:r>
        <w:t xml:space="preserve"> </w:t>
      </w:r>
      <w:r>
        <w:t xml:space="preserve">entwickelt werden soll, muss sie kalibriert und mit proper scores bewertet werden (nicht nur Trefferquote). Das passt direkt zu eurer CI‑Gate‑Mentalität: Scores können als Release‑Gate‑Artefakte versioniert werden.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bookmarkEnd w:id="87"/>
    <w:bookmarkStart w:id="91" w:name="X4dfc94e33925692bd0e3a99a2f22541c85ec9c5"/>
    <w:p>
      <w:pPr>
        <w:pStyle w:val="Heading3"/>
      </w:pPr>
      <w:r>
        <w:t xml:space="preserve">ML‑Forecasting (DeepAR / N‑BEATS / TFT) als Research‑Option</w:t>
      </w:r>
    </w:p>
    <w:p>
      <w:pPr>
        <w:pStyle w:val="FirstParagraph"/>
      </w:pPr>
      <w:r>
        <w:rPr>
          <w:b/>
          <w:bCs/>
        </w:rPr>
        <w:t xml:space="preserve">DeepAR (Salinas/Flunkert/Gasthaus, 2017)</w:t>
      </w:r>
      <w:r>
        <w:t xml:space="preserve"> </w:t>
      </w:r>
      <w:r>
        <w:t xml:space="preserve">– probabilistisches Forecasting mit autoregressivem RNN (arXiv:1704.04110).</w:t>
      </w:r>
      <w:r>
        <w:t xml:space="preserve"> </w:t>
      </w:r>
      <w:hyperlink r:id="rId88">
        <w:r>
          <w:rPr>
            <w:rStyle w:val="Hyperlink"/>
          </w:rPr>
          <w:t xml:space="preserve">[57]</w:t>
        </w:r>
      </w:hyperlink>
      <w:r>
        <w:br/>
      </w:r>
      <w:r>
        <w:rPr>
          <w:b/>
          <w:bCs/>
        </w:rPr>
        <w:t xml:space="preserve">N‑BEATS (Oreshkin et al., 2019)</w:t>
      </w:r>
      <w:r>
        <w:t xml:space="preserve"> </w:t>
      </w:r>
      <w:r>
        <w:t xml:space="preserve">– residual stacks für univariate Forecasts (arXiv:1905.10437).</w:t>
      </w:r>
      <w:r>
        <w:t xml:space="preserve"> </w:t>
      </w:r>
      <w:hyperlink r:id="rId89">
        <w:r>
          <w:rPr>
            <w:rStyle w:val="Hyperlink"/>
          </w:rPr>
          <w:t xml:space="preserve">[58]</w:t>
        </w:r>
      </w:hyperlink>
      <w:r>
        <w:br/>
      </w:r>
      <w:r>
        <w:rPr>
          <w:b/>
          <w:bCs/>
        </w:rPr>
        <w:t xml:space="preserve">Temporal Fusion Transformer (Lim et al., 2019/2021)</w:t>
      </w:r>
      <w:r>
        <w:t xml:space="preserve"> </w:t>
      </w:r>
      <w:r>
        <w:t xml:space="preserve">– multi‑horizon Forecasting, interpretable attention (arXiv:1912.09363; IJF Version).</w:t>
      </w:r>
      <w:r>
        <w:t xml:space="preserve"> </w:t>
      </w:r>
      <w:hyperlink r:id="rId90">
        <w:r>
          <w:rPr>
            <w:rStyle w:val="Hyperlink"/>
          </w:rPr>
          <w:t xml:space="preserve">[59]</w:t>
        </w:r>
      </w:hyperlink>
      <w:r>
        <w:br/>
      </w:r>
      <w:r>
        <w:rPr>
          <w:b/>
          <w:bCs/>
        </w:rPr>
        <w:t xml:space="preserve">Anwendung auf euer SMC:</w:t>
      </w:r>
      <w:r>
        <w:br/>
      </w:r>
      <w:r>
        <w:t xml:space="preserve">Diese Modelle sind weniger für „detektive“ SMC‑Events, aber sehr geeignet als</w:t>
      </w:r>
      <w:r>
        <w:t xml:space="preserve"> </w:t>
      </w:r>
      <w:r>
        <w:rPr>
          <w:b/>
          <w:bCs/>
        </w:rPr>
        <w:t xml:space="preserve">probabilistische Layer</w:t>
      </w:r>
      <w:r>
        <w:t xml:space="preserve">: z. B. Forecast von „Range/Volatility/expected move“ oder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mean reversion</m:t>
            </m:r>
            <m:r>
              <m:rPr>
                <m:sty m:val="p"/>
              </m:rPr>
              <m:t>∣</m:t>
            </m:r>
            <m:r>
              <m:t>f</m:t>
            </m:r>
            <m:r>
              <m:t>e</m:t>
            </m:r>
            <m:r>
              <m:t>a</m:t>
            </m:r>
            <m:r>
              <m:t>t</m:t>
            </m:r>
            <m:r>
              <m:t>u</m:t>
            </m:r>
            <m:r>
              <m:t>r</m:t>
            </m:r>
            <m:r>
              <m:t>e</m:t>
            </m:r>
            <m:r>
              <m:t>s</m:t>
            </m:r>
          </m:e>
        </m:d>
      </m:oMath>
      <w:r>
        <w:t xml:space="preserve">, die dann in ZoneStyles/Tiers übersetzt werden.</w:t>
      </w:r>
    </w:p>
    <w:bookmarkEnd w:id="91"/>
    <w:bookmarkStart w:id="93" w:name="Xf729b1e8ae931e870d0f1315e09707a287f8854"/>
    <w:p>
      <w:pPr>
        <w:pStyle w:val="Heading3"/>
      </w:pPr>
      <w:r>
        <w:t xml:space="preserve">Ensembles (stabile Verbesserungen statt „one model to rule them all“)</w:t>
      </w:r>
    </w:p>
    <w:p>
      <w:pPr>
        <w:pStyle w:val="FirstParagraph"/>
      </w:pPr>
      <w:r>
        <w:rPr>
          <w:b/>
          <w:bCs/>
        </w:rPr>
        <w:t xml:space="preserve">Bates &amp; Granger (1969)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The Combination of Forecasts</w:t>
      </w:r>
      <w:r>
        <w:t xml:space="preserve"> </w:t>
      </w:r>
      <w:r>
        <w:t xml:space="preserve">(JORS, DOI 10.1057/jors.1969.103).</w:t>
      </w:r>
      <w:r>
        <w:t xml:space="preserve"> </w:t>
      </w:r>
      <w:hyperlink r:id="rId92">
        <w:r>
          <w:rPr>
            <w:rStyle w:val="Hyperlink"/>
          </w:rPr>
          <w:t xml:space="preserve">[60]</w:t>
        </w:r>
      </w:hyperlink>
      <w:r>
        <w:br/>
      </w:r>
      <w:r>
        <w:rPr>
          <w:b/>
          <w:bCs/>
        </w:rPr>
        <w:t xml:space="preserve">Anwendung auf euer SMC:</w:t>
      </w:r>
      <w:r>
        <w:br/>
      </w:r>
      <w:r>
        <w:t xml:space="preserve">Ein Ensemble aus (a) GARCH‑Vol‑Forecast, (b) Regime‑Switching Posterior, (c) Kalman‑Trend, (d) heuristischen SMC‑Events kann in Summe deutlich robuster sein als ein einzelner Ansatz – und passt zu v5.5a („qualifizieren statt blockieren“, „Verdichtung statt Feldwachstum“). fileciteturn95file0</w:t>
      </w:r>
    </w:p>
    <w:bookmarkEnd w:id="93"/>
    <w:bookmarkEnd w:id="94"/>
    <w:bookmarkStart w:id="97" w:name="X8bb454ac0785b268159d209b5d7b53c84e879b8"/>
    <w:p>
      <w:pPr>
        <w:pStyle w:val="Heading2"/>
      </w:pPr>
      <w:r>
        <w:t xml:space="preserve">Konkrete, priorisierte Verbesserungen und Integrationen</w:t>
      </w:r>
    </w:p>
    <w:bookmarkStart w:id="95" w:name="priorisierte-roadmap-aufwandnutzen"/>
    <w:p>
      <w:pPr>
        <w:pStyle w:val="Heading3"/>
      </w:pPr>
      <w:r>
        <w:t xml:space="preserve">Priorisierte Roadmap (Aufwand/Nutzen)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Verbesserung</w:t>
            </w:r>
          </w:p>
        </w:tc>
        <w:tc>
          <w:tcPr/>
          <w:p>
            <w:pPr>
              <w:pStyle w:val="Compact"/>
            </w:pPr>
            <w:r>
              <w:t xml:space="preserve">Konkrete Integration im Repo</w:t>
            </w:r>
          </w:p>
        </w:tc>
        <w:tc>
          <w:tcPr/>
          <w:p>
            <w:pPr>
              <w:pStyle w:val="Compact"/>
            </w:pPr>
            <w:r>
              <w:t xml:space="preserve">Aufwand</w:t>
            </w:r>
          </w:p>
        </w:tc>
        <w:tc>
          <w:tcPr/>
          <w:p>
            <w:pPr>
              <w:pStyle w:val="Compact"/>
            </w:pPr>
            <w:r>
              <w:t xml:space="preserve">Erwarteter Nutzen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Schema‑Drift eliminieren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schema_version.py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spec/examples/*</w:t>
            </w:r>
            <w:r>
              <w:t xml:space="preserve"> </w:t>
            </w:r>
            <w:r>
              <w:t xml:space="preserve">konsistent machen; Test</w:t>
            </w:r>
            <w:r>
              <w:t xml:space="preserve"> </w:t>
            </w:r>
            <w:r>
              <w:rPr>
                <w:rStyle w:val="VerbatimChar"/>
              </w:rPr>
              <w:t xml:space="preserve">test_smc_schema_version_enforcement</w:t>
            </w:r>
            <w:r>
              <w:t xml:space="preserve"> </w:t>
            </w:r>
            <w:r>
              <w:t xml:space="preserve">muss hart failen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verhindert silent breaking changes; stabilisiert Delivery/Parity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Ticksize/Session‑Awareness in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smc_core/ids.py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quantize_price</w:t>
            </w:r>
            <w:r>
              <w:t xml:space="preserve"> </w:t>
            </w:r>
            <w:r>
              <w:t xml:space="preserve">ticksize‑aware,</w:t>
            </w:r>
            <w:r>
              <w:t xml:space="preserve"> </w:t>
            </w:r>
            <w:r>
              <w:rPr>
                <w:rStyle w:val="VerbatimChar"/>
              </w:rPr>
              <w:t xml:space="preserve">quantize_time_to_tf</w:t>
            </w:r>
            <w:r>
              <w:t xml:space="preserve"> </w:t>
            </w:r>
            <w:r>
              <w:t xml:space="preserve">exchange‑aware (kein UTC‑Tages‑TODO)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stabile IDs across markets; weniger Phantom‑Diffs/False Parity Breaks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Runtime‑Umgebung konsolidieren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.devcontainer</w:t>
            </w:r>
            <w:r>
              <w:t xml:space="preserve"> </w:t>
            </w:r>
            <w:r>
              <w:t xml:space="preserve">auf Python 3.12 anheben oder</w:t>
            </w:r>
            <w:r>
              <w:t xml:space="preserve"> </w:t>
            </w:r>
            <w:r>
              <w:rPr>
                <w:rStyle w:val="VerbatimChar"/>
              </w:rPr>
              <w:t xml:space="preserve">pyproject</w:t>
            </w:r>
            <w:r>
              <w:t xml:space="preserve"> </w:t>
            </w:r>
            <w:r>
              <w:t xml:space="preserve">absenken (entscheidet bewusst)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weniger „works in CI, fails locally“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HTF/Session‑Kontrakt als Single Source of Truth</w:t>
            </w:r>
          </w:p>
        </w:tc>
        <w:tc>
          <w:tcPr/>
          <w:p>
            <w:pPr>
              <w:pStyle w:val="Compact"/>
            </w:pPr>
            <w:r>
              <w:t xml:space="preserve">Session/HTF‑Module vereinheitlichen; Tests für Bias‑Konsistenz hinzufügen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weniger widersprüchliche Bias‑Signale in Scoring/Warnungen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[35]</w:t>
              </w:r>
            </w:hyperlink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Volatilitäts‑Regime als Meta‑Domain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</w:t>
            </w:r>
            <w:r>
              <w:t xml:space="preserve">‑basierter vol_forecast + regime label in Meta; Layering nutzt das in</w:t>
            </w:r>
            <w:r>
              <w:t xml:space="preserve"> </w:t>
            </w:r>
            <w:r>
              <w:rPr>
                <w:rStyle w:val="VerbatimChar"/>
              </w:rPr>
              <w:t xml:space="preserve">global_strength</w:t>
            </w:r>
            <w:r>
              <w:t xml:space="preserve">/Tier‑Downgrade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bessere False‑Positive‑Kontrolle, smartere Risk‑Gates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[61]</w:t>
              </w:r>
            </w:hyperlink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Probabilistische Signal‑Kalibrierung + proper scores</w:t>
            </w:r>
          </w:p>
        </w:tc>
        <w:tc>
          <w:tcPr/>
          <w:p>
            <w:pPr>
              <w:pStyle w:val="Compact"/>
            </w:pPr>
            <w:r>
              <w:t xml:space="preserve">Label‑Definition pro Eventfamilie (Sweep/FVG/OB/BOS); Brier/LogScore als Gate‑Artefakt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„Signal Quality“ wird messbar, kalibrierbar und CI‑fähig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Benchmarks/Backtests standardisieren</w:t>
            </w:r>
          </w:p>
        </w:tc>
        <w:tc>
          <w:tcPr/>
          <w:p>
            <w:pPr>
              <w:pStyle w:val="Compact"/>
            </w:pPr>
            <w:r>
              <w:t xml:space="preserve">Pro Symbol/TF: event‑lifecycle KPIs + regime‑stratifizierte Auswertung; Artefakte versionieren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klare Evidenz pro Feature/Heuristik; schneller iterieren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Ensemble‑Quality‑Score</w:t>
            </w:r>
          </w:p>
        </w:tc>
        <w:tc>
          <w:tcPr/>
          <w:p>
            <w:pPr>
              <w:pStyle w:val="Compact"/>
            </w:pPr>
            <w:r>
              <w:t xml:space="preserve">Weighted stacking (Bates‑Granger‑Prinzip) über (Kalman trend, GARCH vol, regimes, heuristics)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robustere Qualität ohne Feature‑Sprawl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[60]</w:t>
              </w:r>
            </w:hyperlink>
            <w:r>
              <w:t xml:space="preserve"> </w:t>
            </w:r>
            <w:r>
              <w:t xml:space="preserve">fileciteturn95file0</w:t>
            </w:r>
          </w:p>
        </w:tc>
      </w:tr>
    </w:tbl>
    <w:bookmarkEnd w:id="95"/>
    <w:bookmarkStart w:id="96" w:name="X3e54302a06ca0bbbbd525b2eac55b89cb37dc5a"/>
    <w:p>
      <w:pPr>
        <w:pStyle w:val="Heading3"/>
      </w:pPr>
      <w:r>
        <w:t xml:space="preserve">Beispiel: „qualify, don’t block“ als konkrete Implementierungsregel</w:t>
      </w:r>
    </w:p>
    <w:p>
      <w:pPr>
        <w:pStyle w:val="FirstParagraph"/>
      </w:pPr>
      <w:r>
        <w:t xml:space="preserve">v5.5a fordert scoring statt blocking. fileciteturn95file0</w:t>
      </w:r>
      <w:r>
        <w:br/>
      </w:r>
      <w:r>
        <w:t xml:space="preserve">Im Repo ist das technisch vorbereitet durch Layering/ZoneStyles (Reason‑Codes, global_heat/global_strength).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br/>
      </w:r>
      <w:r>
        <w:t xml:space="preserve">v5.5b sollte daraus eine harte Policy machen:</w:t>
      </w:r>
      <w:r>
        <w:t xml:space="preserve"> </w:t>
      </w:r>
      <w:r>
        <w:rPr>
          <w:b/>
          <w:bCs/>
        </w:rPr>
        <w:t xml:space="preserve">Hard blocks</w:t>
      </w:r>
      <w:r>
        <w:t xml:space="preserve"> </w:t>
      </w:r>
      <w:r>
        <w:t xml:space="preserve">nur bei invalid data/provider health failure, ansonsten Tier‑Downgrade + 1–3 Warnings.</w:t>
      </w:r>
    </w:p>
    <w:bookmarkEnd w:id="96"/>
    <w:bookmarkEnd w:id="97"/>
    <w:bookmarkStart w:id="102" w:name="X998a4baf734cc557791cfca6b47d4f2080541c2"/>
    <w:p>
      <w:pPr>
        <w:pStyle w:val="Heading2"/>
      </w:pPr>
      <w:r>
        <w:t xml:space="preserve">Implementierungs‑ und Validierungsplan inklusive CI/Schema‑Checks, Tests, Benchmarks, Visualisierungen und Risiken</w:t>
      </w:r>
    </w:p>
    <w:bookmarkStart w:id="98" w:name="X87cae566f52f799364966be58b5a664b6b58005"/>
    <w:p>
      <w:pPr>
        <w:pStyle w:val="Heading3"/>
      </w:pPr>
      <w:r>
        <w:t xml:space="preserve">Implementierungsplan (Ressourcen und Timeline)</w:t>
      </w:r>
    </w:p>
    <w:p>
      <w:pPr>
        <w:pStyle w:val="FirstParagraph"/>
      </w:pPr>
      <w:r>
        <w:t xml:space="preserve">Empfohlenes Minimal‑Team: 1 Python Engineer (Core/Integration), 1 Research/Quant Engineer (Forecast/Kalibrierung), optional 0.5 DevOps/CI. (Ressourcen sind im Repo nicht konkret spezifiziert; diese Annahme ist eine Planungsannahme.) fileciteturn95file0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v5.5b Umsetzung (12 Wochen, Start 2026-04-01)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%d.%m</w:t>
      </w:r>
      <w:r>
        <w:br/>
      </w:r>
      <w:r>
        <w:br/>
      </w:r>
      <w:r>
        <w:rPr>
          <w:rStyle w:val="VerbatimChar"/>
        </w:rPr>
        <w:t xml:space="preserve">  section Governance (P0)</w:t>
      </w:r>
      <w:r>
        <w:br/>
      </w:r>
      <w:r>
        <w:rPr>
          <w:rStyle w:val="VerbatimChar"/>
        </w:rPr>
        <w:t xml:space="preserve">  Schema-Drift fix + Beispiele aktualisieren :g1, 2026-04-01, 7d</w:t>
      </w:r>
      <w:r>
        <w:br/>
      </w:r>
      <w:r>
        <w:rPr>
          <w:rStyle w:val="VerbatimChar"/>
        </w:rPr>
        <w:t xml:space="preserve">  ID Quantisierung ticksize/session aware    :g2, after g1, 14d</w:t>
      </w:r>
      <w:r>
        <w:br/>
      </w:r>
      <w:r>
        <w:rPr>
          <w:rStyle w:val="VerbatimChar"/>
        </w:rPr>
        <w:t xml:space="preserve">  Devcontainer/Runtime konsolidieren         :g3, after g2, 5d</w:t>
      </w:r>
      <w:r>
        <w:br/>
      </w:r>
      <w:r>
        <w:br/>
      </w:r>
      <w:r>
        <w:rPr>
          <w:rStyle w:val="VerbatimChar"/>
        </w:rPr>
        <w:t xml:space="preserve">  section Konsistenz (P1)</w:t>
      </w:r>
      <w:r>
        <w:br/>
      </w:r>
      <w:r>
        <w:rPr>
          <w:rStyle w:val="VerbatimChar"/>
        </w:rPr>
        <w:t xml:space="preserve">  HTF/Session Single Source of Truth         :c1, 2026-04-22, 14d</w:t>
      </w:r>
      <w:r>
        <w:br/>
      </w:r>
      <w:r>
        <w:rPr>
          <w:rStyle w:val="VerbatimChar"/>
        </w:rPr>
        <w:t xml:space="preserve">  Layering-Policy (no hard blocks)            :c2, parallel c1, 10d</w:t>
      </w:r>
      <w:r>
        <w:br/>
      </w:r>
      <w:r>
        <w:br/>
      </w:r>
      <w:r>
        <w:rPr>
          <w:rStyle w:val="VerbatimChar"/>
        </w:rPr>
        <w:t xml:space="preserve">  section Forecast/Calibration (P1)</w:t>
      </w:r>
      <w:r>
        <w:br/>
      </w:r>
      <w:r>
        <w:rPr>
          <w:rStyle w:val="VerbatimChar"/>
        </w:rPr>
        <w:t xml:space="preserve">  Vol-Regime MVP (arch)                      :f1, 2026-05-06, 18d</w:t>
      </w:r>
      <w:r>
        <w:br/>
      </w:r>
      <w:r>
        <w:rPr>
          <w:rStyle w:val="VerbatimChar"/>
        </w:rPr>
        <w:t xml:space="preserve">  Labeling + Proper Scores (Brier/Log)       :f2, after f1, 18d</w:t>
      </w:r>
      <w:r>
        <w:br/>
      </w:r>
      <w:r>
        <w:br/>
      </w:r>
      <w:r>
        <w:rPr>
          <w:rStyle w:val="VerbatimChar"/>
        </w:rPr>
        <w:t xml:space="preserve">  section Benchmarks &amp; Release Gates (P2)</w:t>
      </w:r>
      <w:r>
        <w:br/>
      </w:r>
      <w:r>
        <w:rPr>
          <w:rStyle w:val="VerbatimChar"/>
        </w:rPr>
        <w:t xml:space="preserve">  Backtest Harness + Artefakte               :b1, 2026-06-11, 14d</w:t>
      </w:r>
      <w:r>
        <w:br/>
      </w:r>
      <w:r>
        <w:rPr>
          <w:rStyle w:val="VerbatimChar"/>
        </w:rPr>
        <w:t xml:space="preserve">  CI-Gates erweitern (Score Thresholds)      :b2, after b1, 10d</w:t>
      </w:r>
      <w:r>
        <w:br/>
      </w:r>
      <w:r>
        <w:rPr>
          <w:rStyle w:val="VerbatimChar"/>
        </w:rPr>
        <w:t xml:space="preserve">  Shadow Deploy + Monitoring                 :b3, after b2, 7d</w:t>
      </w:r>
    </w:p>
    <w:bookmarkEnd w:id="98"/>
    <w:bookmarkStart w:id="99" w:name="plan-zur-cischemavalidierung-für-v5.5b"/>
    <w:p>
      <w:pPr>
        <w:pStyle w:val="Heading3"/>
      </w:pPr>
      <w:r>
        <w:t xml:space="preserve">Plan zur CI‑/Schema‑Validierung für v5.5b</w:t>
      </w:r>
    </w:p>
    <w:p>
      <w:pPr>
        <w:pStyle w:val="FirstParagraph"/>
      </w:pPr>
      <w:r>
        <w:t xml:space="preserve">Da v5.5b ein Architektur‑Dokument ist, besteht die technische Validierung primär aus „Repo passt zur Architektur“: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Schema‑Validation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muss</w:t>
      </w:r>
      <w:r>
        <w:t xml:space="preserve"> </w:t>
      </w:r>
      <w:r>
        <w:rPr>
          <w:rStyle w:val="VerbatimChar"/>
        </w:rPr>
        <w:t xml:space="preserve">test_smc_snapshot_schema.py</w:t>
      </w:r>
      <w:r>
        <w:t xml:space="preserve"> </w:t>
      </w:r>
      <w:r>
        <w:t xml:space="preserve">und die Schema‑Version‑Enforcement‑Tests grün liefern.</w:t>
      </w:r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Parity‑Validation</w:t>
      </w:r>
      <w:r>
        <w:t xml:space="preserve">: Parity‑Tests müssen kanonische Outputs ↔ Bridge ↔ Pine konsistent halten.</w:t>
      </w:r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Provider Health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provider_health.py</w:t>
      </w:r>
      <w:r>
        <w:t xml:space="preserve">‑Checks als Gate in Fast/Deeper/Release.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Workflow‑Pfad</w:t>
      </w:r>
      <w:r>
        <w:t xml:space="preserve">: mindestens</w:t>
      </w:r>
      <w:r>
        <w:t xml:space="preserve"> </w:t>
      </w:r>
      <w:r>
        <w:rPr>
          <w:rStyle w:val="VerbatimChar"/>
        </w:rPr>
        <w:t xml:space="preserve">smc-fast-pr-gates.yml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smc-release-gates.yml</w:t>
      </w:r>
      <w:r>
        <w:t xml:space="preserve"> </w:t>
      </w:r>
      <w:r>
        <w:t xml:space="preserve">müssen v5.5b‑Constraints (no drift, no shadow logic via parity) indirekt enforce’n.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</w:p>
    <w:bookmarkEnd w:id="99"/>
    <w:bookmarkStart w:id="100" w:name="X1d14594d2349fabcc6571c23ff40098ee8378bb"/>
    <w:p>
      <w:pPr>
        <w:pStyle w:val="Heading3"/>
      </w:pPr>
      <w:r>
        <w:t xml:space="preserve">Empfohlene Tests, Benchmarks und Visualisierungen (Charts/Plots) für die Verbesserungen</w:t>
      </w:r>
    </w:p>
    <w:p>
      <w:pPr>
        <w:pStyle w:val="FirstParagraph"/>
      </w:pPr>
      <w:r>
        <w:t xml:space="preserve">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ID‑Stabilität über Exchangekalender/Ticksize</w:t>
      </w:r>
      <w:r>
        <w:t xml:space="preserve"> </w:t>
      </w:r>
      <w:r>
        <w:t xml:space="preserve">(Property‑Tests): gleiche Bars → gleiche IDs; monotone buckets; edge cases an Session‑Grenzen.</w:t>
      </w:r>
      <w:r>
        <w:t xml:space="preserve"> </w:t>
      </w:r>
      <w:hyperlink r:id="rId25">
        <w:r>
          <w:rPr>
            <w:rStyle w:val="Hyperlink"/>
          </w:rPr>
          <w:t xml:space="preserve">[34]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Layering‑Determinismus</w:t>
      </w:r>
      <w:r>
        <w:t xml:space="preserve">: bereits ansatzweise getestet; erweitern um neue Meta‑Domains/Vol‑Regime.</w:t>
      </w:r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Benchmarks (Empfehlung als Artefakt‑Set)</w:t>
      </w:r>
      <w:r>
        <w:t xml:space="preserve"> </w:t>
      </w:r>
      <w:r>
        <w:t xml:space="preserve">- Event‑Familien getrennt: BOS/OB/FVG/Sweeps jeweils mit eigenen KPIs (Hit‑Rate, time‑to‑mitigation, invalidation rate, adverse excursion).</w:t>
      </w:r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br/>
      </w:r>
      <w:r>
        <w:t xml:space="preserve">- Stratifizierung nach Session/HTF‑Bias und Vol‑Regime.</w:t>
      </w:r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hyperlink r:id="rId28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Visualisierungen, die ihr explizit erzeugen/als CI‑Artefakte speichern solltet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Calibration curve / Reliability diagram</w:t>
      </w:r>
      <w:r>
        <w:t xml:space="preserve"> </w:t>
      </w:r>
      <w:r>
        <w:t xml:space="preserve">für probabilistische „Signal Quality“‑Outputs (vor/nach Kalibrierung).</w:t>
      </w:r>
      <w:r>
        <w:t xml:space="preserve"> </w:t>
      </w:r>
      <w:hyperlink r:id="rId86">
        <w:r>
          <w:rPr>
            <w:rStyle w:val="Hyperlink"/>
          </w:rPr>
          <w:t xml:space="preserve">[62]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Regime‑Posterior over time</w:t>
      </w:r>
      <w:r>
        <w:t xml:space="preserve"> </w:t>
      </w:r>
      <w:r>
        <w:t xml:space="preserve">(Hamilton‑Regime oder Vol‑Regime) und Overlays auf SMC‑Events.</w:t>
      </w:r>
      <w:r>
        <w:t xml:space="preserve"> </w:t>
      </w:r>
      <w:hyperlink r:id="rId28">
        <w:r>
          <w:rPr>
            <w:rStyle w:val="Hyperlink"/>
          </w:rPr>
          <w:t xml:space="preserve">[64]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Profit/Drawdown‑Distributions</w:t>
      </w:r>
      <w:r>
        <w:t xml:space="preserve"> </w:t>
      </w:r>
      <w:r>
        <w:rPr>
          <w:i/>
          <w:iCs/>
        </w:rPr>
        <w:t xml:space="preserve">pro Tier</w:t>
      </w:r>
      <w:r>
        <w:t xml:space="preserve"> </w:t>
      </w:r>
      <w:r>
        <w:t xml:space="preserve">(nicht nur overall), um „Tier semantics integrity“ zu prüfen. fileciteturn95file0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Runtime budget plots</w:t>
      </w:r>
      <w:r>
        <w:t xml:space="preserve"> </w:t>
      </w:r>
      <w:r>
        <w:t xml:space="preserve">(Pine/Bridge): z. B. Render‑Count vs Timeframe, max_bars_back constraints – passend zum Runtime‑Budget‑Dokument.</w:t>
      </w:r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Pseudocode‑Skizze (eigener Code, nicht Repo‑Zitat): probabilistische Kalibrierung „Reversal nach Sweep“</w:t>
      </w:r>
    </w:p>
    <w:p>
      <w:pPr>
        <w:pStyle w:val="SourceCode"/>
      </w:pPr>
      <w:r>
        <w:rPr>
          <w:rStyle w:val="VerbatimChar"/>
        </w:rPr>
        <w:t xml:space="preserve"># 1) Extrahiere Events (sweeps) und Features zur Eventzeit</w:t>
      </w:r>
      <w:r>
        <w:br/>
      </w:r>
      <w:r>
        <w:rPr>
          <w:rStyle w:val="VerbatimChar"/>
        </w:rPr>
        <w:t xml:space="preserve">X, y = [], []</w:t>
      </w:r>
      <w:r>
        <w:br/>
      </w:r>
      <w:r>
        <w:rPr>
          <w:rStyle w:val="VerbatimChar"/>
        </w:rPr>
        <w:t xml:space="preserve">for sweep in sweeps:</w:t>
      </w:r>
      <w:r>
        <w:br/>
      </w:r>
      <w:r>
        <w:rPr>
          <w:rStyle w:val="VerbatimChar"/>
        </w:rPr>
        <w:t xml:space="preserve">    feats = {</w:t>
      </w:r>
      <w:r>
        <w:br/>
      </w:r>
      <w:r>
        <w:rPr>
          <w:rStyle w:val="VerbatimChar"/>
        </w:rPr>
        <w:t xml:space="preserve">        "side": sweep.side,</w:t>
      </w:r>
      <w:r>
        <w:br/>
      </w:r>
      <w:r>
        <w:rPr>
          <w:rStyle w:val="VerbatimChar"/>
        </w:rPr>
        <w:t xml:space="preserve">        "vol_regime": vol_model.regime_at(sweep.t0),</w:t>
      </w:r>
      <w:r>
        <w:br/>
      </w:r>
      <w:r>
        <w:rPr>
          <w:rStyle w:val="VerbatimChar"/>
        </w:rPr>
        <w:t xml:space="preserve">        "news_heat": meta.news.heat_at(sweep.t0),</w:t>
      </w:r>
      <w:r>
        <w:br/>
      </w:r>
      <w:r>
        <w:rPr>
          <w:rStyle w:val="VerbatimChar"/>
        </w:rPr>
        <w:t xml:space="preserve">        "fvg_distance": nearest_fvg_distance(sweep.t0),</w:t>
      </w:r>
      <w:r>
        <w:br/>
      </w:r>
      <w:r>
        <w:rPr>
          <w:rStyle w:val="VerbatimChar"/>
        </w:rPr>
        <w:t xml:space="preserve">        "session": session_bucket(sweep.t0),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label = reversal_within_n_bars(bars, sweep.t0, n=8)</w:t>
      </w:r>
      <w:r>
        <w:br/>
      </w:r>
      <w:r>
        <w:rPr>
          <w:rStyle w:val="VerbatimChar"/>
        </w:rPr>
        <w:t xml:space="preserve">    X.append(feats); y.append(label)</w:t>
      </w:r>
      <w:r>
        <w:br/>
      </w:r>
      <w:r>
        <w:br/>
      </w:r>
      <w:r>
        <w:rPr>
          <w:rStyle w:val="VerbatimChar"/>
        </w:rPr>
        <w:t xml:space="preserve"># 2) Trainiere ein Kalibrationsmodell (z.B. logistic/Bayes)</w:t>
      </w:r>
      <w:r>
        <w:br/>
      </w:r>
      <w:r>
        <w:rPr>
          <w:rStyle w:val="VerbatimChar"/>
        </w:rPr>
        <w:t xml:space="preserve">model.fit(X_train, y_train)</w:t>
      </w:r>
      <w:r>
        <w:br/>
      </w:r>
      <w:r>
        <w:br/>
      </w:r>
      <w:r>
        <w:rPr>
          <w:rStyle w:val="VerbatimChar"/>
        </w:rPr>
        <w:t xml:space="preserve"># 3) Evaluiere mit proper scoring rules</w:t>
      </w:r>
      <w:r>
        <w:br/>
      </w:r>
      <w:r>
        <w:rPr>
          <w:rStyle w:val="VerbatimChar"/>
        </w:rPr>
        <w:t xml:space="preserve">brier = brier_score(model.predict_proba(X_test), y_test)</w:t>
      </w:r>
      <w:r>
        <w:br/>
      </w:r>
      <w:r>
        <w:rPr>
          <w:rStyle w:val="VerbatimChar"/>
        </w:rPr>
        <w:t xml:space="preserve">logscore = log_score(model.predict_proba(X_test), y_test)</w:t>
      </w:r>
    </w:p>
    <w:bookmarkEnd w:id="100"/>
    <w:bookmarkStart w:id="101" w:name="risiken-und-limitationen"/>
    <w:p>
      <w:pPr>
        <w:pStyle w:val="Heading3"/>
      </w:pPr>
      <w:r>
        <w:t xml:space="preserve">Risiken und Limitationen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Begriffsrisiko SMC:</w:t>
      </w:r>
      <w:r>
        <w:t xml:space="preserve"> </w:t>
      </w:r>
      <w:r>
        <w:t xml:space="preserve">Smart‑Money‑SMC ist nicht akademisch standardisiert; Implementation‑Details sind community‑abhängig. LuxAlgo weist selbst darauf hin, dass es keine harte Evidenz für die „Institutional“‑Interpretation gibt.</w:t>
      </w:r>
      <w:r>
        <w:t xml:space="preserve"> </w:t>
      </w:r>
      <w:hyperlink r:id="rId65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Overfitting‑Risiko bei Forecast‑Layern:</w:t>
      </w:r>
      <w:r>
        <w:t xml:space="preserve"> </w:t>
      </w:r>
      <w:r>
        <w:t xml:space="preserve">Volatilitäts‑/Regime‑/Deep‑Modelle können schnell auf historische Besonderheiten overfitten; proper scoring rules + out‑of‑sample‑Protokoll sind zwingend.</w:t>
      </w:r>
      <w:r>
        <w:t xml:space="preserve"> </w:t>
      </w:r>
      <w:hyperlink r:id="rId86">
        <w:r>
          <w:rPr>
            <w:rStyle w:val="Hyperlink"/>
          </w:rPr>
          <w:t xml:space="preserve">[65]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Risk durch Provider/Secrets:</w:t>
      </w:r>
      <w:r>
        <w:t xml:space="preserve"> </w:t>
      </w:r>
      <w:r>
        <w:t xml:space="preserve">Der Library‑Refresh‑Workflow hängt an externen APIs/Secrets; Staleness/Fehlkonfiguration kann Release‑Pipelines destabilisieren.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ID‑/Zeit‑Semantik bleibt kritisch:</w:t>
      </w:r>
      <w:r>
        <w:t xml:space="preserve"> </w:t>
      </w:r>
      <w:r>
        <w:t xml:space="preserve">Solange Ticksize und Exchange‑Sessions nicht sauber gelöst sind, bleibt ID‑Stabilität und Cross‑TF‑Konsistenz ein strukturelles Risiko.</w:t>
      </w:r>
      <w:r>
        <w:t xml:space="preserve"> </w:t>
      </w:r>
      <w:hyperlink r:id="rId25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Performance‑Constraints (Pine):</w:t>
      </w:r>
      <w:r>
        <w:t xml:space="preserve"> </w:t>
      </w:r>
      <w:r>
        <w:t xml:space="preserve">Jede Erweiterung muss Pine‑Runtime‑Budget respektieren; sonst leidet UX und damit die Produktqualität (v5.5a‑Prinzip).</w:t>
      </w:r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fileciteturn95file0</w:t>
      </w:r>
    </w:p>
    <w:bookmarkEnd w:id="101"/>
    <w:bookmarkEnd w:id="102"/>
    <w:bookmarkEnd w:id="103"/>
    <w:bookmarkEnd w:id="104"/>
    <w:p>
      <w:r>
        <w:pict>
          <v:rect style="width:0;height:1.5pt" o:hralign="center" o:hrstd="t" o:hr="t"/>
        </w:pict>
      </w:r>
    </w:p>
    <w:bookmarkStart w:id="105" w:name="citations"/>
    <w:p>
      <w:pPr>
        <w:pStyle w:val="FirstParagraph"/>
      </w:pP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https://github.com/skipp-dev/skipp-algo/blob/main/README.md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docs/smc_branch_protection_and_release_gates.md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https://github.com/skipp-dev/skipp-algo/blob/57e9bd9b3f52c962313a8b9d9352ead205867846/docs/smc_branch_protection_and_release_gates.md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__init__.py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https://github.com/skipp-dev/skipp-algo/blob/main/smc_adapters/__init__.py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smc-fast-pr-gates.yml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https://github.com/skipp-dev/skipp-algo/blob/main/.github/workflows/smc-fast-pr-gates.yml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smc_unified_target_architecture_v5_5_de.md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https://github.com/skipp-dev/skipp-algo/blob/main/smc_unified_target_architecture_v5_5_de.md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service.py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https://github.com/skipp-dev/skipp-algo/blob/main/smc_integration/service.py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RUNTIME_BUDGET.md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https://github.com/skipp-dev/skipp-algo/blob/main/docs/RUNTIME_BUDGET.md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[52]</w:t>
        </w:r>
      </w:hyperlink>
      <w:r>
        <w:t xml:space="preserve"> </w:t>
      </w:r>
      <w:hyperlink r:id="rId28">
        <w:r>
          <w:rPr>
            <w:rStyle w:val="Hyperlink"/>
          </w:rPr>
          <w:t xml:space="preserve">[63]</w:t>
        </w:r>
      </w:hyperlink>
      <w:r>
        <w:t xml:space="preserve"> </w:t>
      </w:r>
      <w:hyperlink r:id="rId28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A New Approach to the Economic Analysis of Nonstationary Time Series and the Business Cycle | The Econometric Society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https://www.econometricsociety.org/publications/econometrica/1989/03/01/new-approach-economic-analysis-nonstationary-time-series-and?utm_source=chatgpt.com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smc_snapshot_aapl_15m_normal.json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https://github.com/skipp-dev/skipp-algo/blob/main/spec/examples/smc_snapshot_aapl_15m_normal.json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ids.py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https://github.com/skipp-dev/skipp-algo/blob/main/smc_core/ids.py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smc_price_action_engine.py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https://github.com/skipp-dev/skipp-algo/blob/main/scripts/smc_price_action_engine.py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provider_health.py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https://github.com/skipp-dev/skipp-algo/blob/main/smc_integration/provider_health.py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smc_integration/structure_audit.py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https://github.com/skipp-dev/skipp-algo/blob/57e9bd9b3f52c962313a8b9d9352ead205867846/smc_integration/structure_audit.py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types.py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https://github.com/skipp-dev/skipp-algo/blob/main/smc_core/types.py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SMC++/smc_core_types.pine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https://github.com/skipp-dev/skipp-algo/blob/57e9bd9b3f52c962313a8b9d9352ead205867846/SMC%2B%2B/smc_core_types.pine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schema_versioning.md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https://github.com/skipp-dev/skipp-algo/blob/main/docs/schema_versioning.md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SMC_TARGET_ARCHITECTURE_REFERENCE_2026-03-26.md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https://github.com/skipp-dev/skipp-algo/blob/main/docs/SMC_TARGET_ARCHITECTURE_REFERENCE_2026-03-26.md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smc-release-gates.yml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https://github.com/skipp-dev/skipp-algo/blob/main/.github/workflows/smc-release-gates.yml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smc-deeper-integration-gates.yml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https://github.com/skipp-dev/skipp-algo/blob/main/.github/workflows/smc-deeper-integration-gates.yml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smc-library-refresh.yml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https://github.com/skipp-dev/skipp-algo/blob/main/.github/workflows/smc-library-refresh.yml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test_smc_parity.py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https://github.com/skipp-dev/skipp-algo/blob/main/tests/test_smc_parity.py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pyproject.toml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https://github.com/skipp-dev/skipp-algo/blob/main/pyproject.toml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devcontainer.json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https://github.com/skipp-dev/skipp-algo/blob/main/.devcontainer/devcontainer.json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requirements.txt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https://github.com/skipp-dev/skipp-algo/blob/main/requirements.txt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smc_branch_protection_and_release_gates.md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https://github.com/skipp-dev/skipp-algo/blob/main/docs/smc_branch_protection_and_release_gates.md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test_smc_snapshot_schema.py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https://github.com/skipp-dev/skipp-algo/blob/main/tests/test_smc_snapshot_schema.py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test_smc_core_purity.py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https://github.com/skipp-dev/skipp-algo/blob/main/tests/test_smc_core_purity.py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test_smc_core_layering.py</w:t>
      </w:r>
    </w:p>
    <w:p>
      <w:pPr>
        <w:pStyle w:val="BodyText"/>
      </w:pPr>
      <w:hyperlink r:id="rId54">
        <w:r>
          <w:rPr>
            <w:rStyle w:val="Hyperlink"/>
          </w:rPr>
          <w:t xml:space="preserve">https://github.com/skipp-dev/skipp-algo/blob/main/tests/test_smc_core_layering.py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ingest.py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https://github.com/skipp-dev/skipp-algo/blob/main/smc_adapters/ingest.py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smc_core/layering.py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https://github.com/skipp-dev/skipp-algo/blob/57e9bd9b3f52c962313a8b9d9352ead205867846/smc_core/layering.py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[37]</w:t>
        </w:r>
      </w:hyperlink>
      <w:r>
        <w:t xml:space="preserve"> </w:t>
      </w:r>
      <w:hyperlink r:id="rId6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Novel approach to nonlinear/non-Gaussian Bayesian state estimation | CiNii Research</w:t>
      </w:r>
    </w:p>
    <w:p>
      <w:pPr>
        <w:pStyle w:val="BodyText"/>
      </w:pPr>
      <w:hyperlink r:id="rId64">
        <w:r>
          <w:rPr>
            <w:rStyle w:val="Hyperlink"/>
          </w:rPr>
          <w:t xml:space="preserve">https://cir.nii.ac.jp/crid/1360574094228434176?utm_source=chatgpt.com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Smart Money Concepts (SMC) [LuxAlgo] — Indicator by LuxAlgo — TradingView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https://www.tradingview.com/script/CnB3fSph-Smart-Money-Concepts-LuxAlgo/?utm_source=chatgpt.com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ICT Concepts(Liquidity, FVG &amp; Liquidity Sweeps) — Indikator von TradeTechanalysis — TradingView</w:t>
      </w:r>
    </w:p>
    <w:p>
      <w:pPr>
        <w:pStyle w:val="BodyText"/>
      </w:pPr>
      <w:hyperlink r:id="rId66">
        <w:r>
          <w:rPr>
            <w:rStyle w:val="Hyperlink"/>
          </w:rPr>
          <w:t xml:space="preserve">https://de.tradingview.com/script/KL0iqOX2-ICT-Concepts-Liquidity-FVG-Liquidity-Sweeps/?utm_source=chatgpt.com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ICT Concepts(Liquidity, FVG &amp; Liquidity Sweeps) — Indicator by TradeTechanalysis — TradingView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https://www.tradingview.com/script/KL0iqOX2-ICT-Concepts-Liquidity-FVG-Liquidity-Sweeps/?utm_source=chatgpt.com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statsmodels · PyPI</w:t>
      </w:r>
    </w:p>
    <w:p>
      <w:pPr>
        <w:pStyle w:val="BodyText"/>
      </w:pPr>
      <w:hyperlink r:id="rId68">
        <w:r>
          <w:rPr>
            <w:rStyle w:val="Hyperlink"/>
          </w:rPr>
          <w:t xml:space="preserve">https://pypi.org/pypi/statsmodels?utm_source=chatgpt.com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[42]</w:t>
        </w:r>
      </w:hyperlink>
      <w:r>
        <w:t xml:space="preserve"> </w:t>
      </w:r>
      <w:hyperlink r:id="rId6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arch · PyPI</w:t>
      </w:r>
    </w:p>
    <w:p>
      <w:pPr>
        <w:pStyle w:val="BodyText"/>
      </w:pPr>
      <w:hyperlink r:id="rId69">
        <w:r>
          <w:rPr>
            <w:rStyle w:val="Hyperlink"/>
          </w:rPr>
          <w:t xml:space="preserve">https://pypi.org/project/arch/?utm_source=chatgpt.com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filterpy · PyPI</w:t>
      </w:r>
    </w:p>
    <w:p>
      <w:pPr>
        <w:pStyle w:val="BodyText"/>
      </w:pPr>
      <w:hyperlink r:id="rId70">
        <w:r>
          <w:rPr>
            <w:rStyle w:val="Hyperlink"/>
          </w:rPr>
          <w:t xml:space="preserve">https://pypi.org/project/filterpy/?utm_source=chatgpt.com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pymc · PyPI</w:t>
      </w:r>
    </w:p>
    <w:p>
      <w:pPr>
        <w:pStyle w:val="BodyText"/>
      </w:pPr>
      <w:hyperlink r:id="rId71">
        <w:r>
          <w:rPr>
            <w:rStyle w:val="Hyperlink"/>
          </w:rPr>
          <w:t xml:space="preserve">https://pypi.org/pypi/pymc?utm_source=chatgpt.com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prophet · PyPI</w:t>
      </w:r>
    </w:p>
    <w:p>
      <w:pPr>
        <w:pStyle w:val="BodyText"/>
      </w:pPr>
      <w:hyperlink r:id="rId72">
        <w:r>
          <w:rPr>
            <w:rStyle w:val="Hyperlink"/>
          </w:rPr>
          <w:t xml:space="preserve">https://pypi.org/project/prophet/?utm_source=chatgpt.com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pmdarima · PyPI</w:t>
      </w:r>
    </w:p>
    <w:p>
      <w:pPr>
        <w:pStyle w:val="BodyText"/>
      </w:pPr>
      <w:hyperlink r:id="rId73">
        <w:r>
          <w:rPr>
            <w:rStyle w:val="Hyperlink"/>
          </w:rPr>
          <w:t xml:space="preserve">https://pypi.org/project/pmdarima/?utm_source=chatgpt.com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darts · PyPI</w:t>
      </w:r>
    </w:p>
    <w:p>
      <w:pPr>
        <w:pStyle w:val="BodyText"/>
      </w:pPr>
      <w:hyperlink r:id="rId74">
        <w:r>
          <w:rPr>
            <w:rStyle w:val="Hyperlink"/>
          </w:rPr>
          <w:t xml:space="preserve">https://pypi.org/project/darts/?utm_source=chatgpt.com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pytorch-forecasting · PyPI</w:t>
      </w:r>
    </w:p>
    <w:p>
      <w:pPr>
        <w:pStyle w:val="BodyText"/>
      </w:pPr>
      <w:hyperlink r:id="rId75">
        <w:r>
          <w:rPr>
            <w:rStyle w:val="Hyperlink"/>
          </w:rPr>
          <w:t xml:space="preserve">https://pypi.org/project/pytorch-forecasting/?utm_source=chatgpt.com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A New Approach to Linear Filtering and Prediction Problems | CiNii Research</w:t>
      </w:r>
    </w:p>
    <w:p>
      <w:pPr>
        <w:pStyle w:val="BodyText"/>
      </w:pPr>
      <w:hyperlink r:id="rId78">
        <w:r>
          <w:rPr>
            <w:rStyle w:val="Hyperlink"/>
          </w:rPr>
          <w:t xml:space="preserve">https://cir.nii.ac.jp/crid/1360855570047666048?utm_source=chatgpt.com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Autoregressive Conditional Heteroscedasticity with Estimates of the Variance of United Kingdom Inflation | The Econometric Society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https://www.econometricsociety.org/publications/econometrica/1982/07/01/autoregressive-conditional-heteroscedasticity-estimates?utm_source=chatgpt.com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Bollerslev, T. (1986) Generalized Autoregressive Conditional Heteroskedasticity. Journal of Econometrics, 31, 307-327. - References - Scientific Research Publishing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https://www.scirp.org/reference/referencespapers?referenceid=3491020&amp;utm_source=chatgpt.com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Closed-Form Solution for Options with Stochastic Volatility with Applications to Bond and Currency Options | The Review of Financial Studies | Oxford Academic</w:t>
      </w:r>
    </w:p>
    <w:p>
      <w:pPr>
        <w:pStyle w:val="BodyText"/>
      </w:pPr>
      <w:hyperlink r:id="rId84">
        <w:r>
          <w:rPr>
            <w:rStyle w:val="Hyperlink"/>
          </w:rPr>
          <w:t xml:space="preserve">https://academic.oup.com/rfs/article/6/2/327/1574747?utm_source=chatgpt.com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[56]</w:t>
        </w:r>
      </w:hyperlink>
      <w:r>
        <w:t xml:space="preserve"> </w:t>
      </w:r>
      <w:hyperlink r:id="rId86">
        <w:r>
          <w:rPr>
            <w:rStyle w:val="Hyperlink"/>
          </w:rPr>
          <w:t xml:space="preserve">[62]</w:t>
        </w:r>
      </w:hyperlink>
      <w:r>
        <w:t xml:space="preserve"> </w:t>
      </w:r>
      <w:hyperlink r:id="rId86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Strictly Proper Scoring Rules, Prediction,</w:t>
      </w:r>
    </w:p>
    <w:p>
      <w:pPr>
        <w:pStyle w:val="BodyText"/>
      </w:pPr>
      <w:hyperlink r:id="rId86">
        <w:r>
          <w:rPr>
            <w:rStyle w:val="Hyperlink"/>
          </w:rPr>
          <w:t xml:space="preserve">https://sites.stat.washington.edu/people/raftery/Research/PDF/Gneiting2007jasa.pdf?utm_source=chatgpt.com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DeepAR: Probabilistic Forecasting with Autoregressive Recurrent Networks - Science Explorer Abstract</w:t>
      </w:r>
    </w:p>
    <w:p>
      <w:pPr>
        <w:pStyle w:val="BodyText"/>
      </w:pPr>
      <w:hyperlink r:id="rId88">
        <w:r>
          <w:rPr>
            <w:rStyle w:val="Hyperlink"/>
          </w:rPr>
          <w:t xml:space="preserve">https://www.scixplorer.org/abs/2017arXiv170404110S/abstract?utm_source=chatgpt.com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Paper page - N-BEATS: Neural basis expansion analysis for interpretable time series forecasting</w:t>
      </w:r>
    </w:p>
    <w:p>
      <w:pPr>
        <w:pStyle w:val="BodyText"/>
      </w:pPr>
      <w:hyperlink r:id="rId89">
        <w:r>
          <w:rPr>
            <w:rStyle w:val="Hyperlink"/>
          </w:rPr>
          <w:t xml:space="preserve">https://huggingface.co/papers/1905.10437?utm_source=chatgpt.com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Temporal Fusion Transformers for Interpretable Multi-horizon Time Series Forecasting - Science Explorer Abstract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https://www.scixplorer.org/abs/2019arXiv191209363L/abstract?utm_source=chatgpt.com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The Combination of Forecasts: Journal of the Operational Research Society: Vol 20, No 4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https://www.tandfonline.com/doi/abs/10.1057/jors.1969.103?utm_source=chatgpt.com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https://academic.oup.com/rfs/article/6/2/327/1574747?utm_source=chatgpt.com" TargetMode="External" /><Relationship Type="http://schemas.openxmlformats.org/officeDocument/2006/relationships/hyperlink" Id="rId64" Target="https://cir.nii.ac.jp/crid/1360574094228434176?utm_source=chatgpt.com" TargetMode="External" /><Relationship Type="http://schemas.openxmlformats.org/officeDocument/2006/relationships/hyperlink" Id="rId78" Target="https://cir.nii.ac.jp/crid/1360855570047666048?utm_source=chatgpt.com" TargetMode="External" /><Relationship Type="http://schemas.openxmlformats.org/officeDocument/2006/relationships/hyperlink" Id="rId66" Target="https://de.tradingview.com/script/KL0iqOX2-ICT-Concepts-Liquidity-FVG-Liquidity-Sweeps/?utm_source=chatgpt.com" TargetMode="External" /><Relationship Type="http://schemas.openxmlformats.org/officeDocument/2006/relationships/hyperlink" Id="rId39" Target="https://github.com/skipp-dev/skipp-algo/blob/57e9bd9b3f52c962313a8b9d9352ead205867846/SMC%2B%2B/smc_core_types.pine" TargetMode="External" /><Relationship Type="http://schemas.openxmlformats.org/officeDocument/2006/relationships/hyperlink" Id="rId22" Target="https://github.com/skipp-dev/skipp-algo/blob/57e9bd9b3f52c962313a8b9d9352ead205867846/docs/smc_branch_protection_and_release_gates.md" TargetMode="External" /><Relationship Type="http://schemas.openxmlformats.org/officeDocument/2006/relationships/hyperlink" Id="rId61" Target="https://github.com/skipp-dev/skipp-algo/blob/57e9bd9b3f52c962313a8b9d9352ead205867846/smc_core/layering.py" TargetMode="External" /><Relationship Type="http://schemas.openxmlformats.org/officeDocument/2006/relationships/hyperlink" Id="rId37" Target="https://github.com/skipp-dev/skipp-algo/blob/57e9bd9b3f52c962313a8b9d9352ead205867846/smc_integration/structure_audit.py" TargetMode="External" /><Relationship Type="http://schemas.openxmlformats.org/officeDocument/2006/relationships/hyperlink" Id="rId49" Target="https://github.com/skipp-dev/skipp-algo/blob/main/.devcontainer/devcontainer.json" TargetMode="External" /><Relationship Type="http://schemas.openxmlformats.org/officeDocument/2006/relationships/hyperlink" Id="rId43" Target="https://github.com/skipp-dev/skipp-algo/blob/main/.github/workflows/smc-deeper-integration-gates.yml" TargetMode="External" /><Relationship Type="http://schemas.openxmlformats.org/officeDocument/2006/relationships/hyperlink" Id="rId24" Target="https://github.com/skipp-dev/skipp-algo/blob/main/.github/workflows/smc-fast-pr-gates.yml" TargetMode="External" /><Relationship Type="http://schemas.openxmlformats.org/officeDocument/2006/relationships/hyperlink" Id="rId44" Target="https://github.com/skipp-dev/skipp-algo/blob/main/.github/workflows/smc-library-refresh.yml" TargetMode="External" /><Relationship Type="http://schemas.openxmlformats.org/officeDocument/2006/relationships/hyperlink" Id="rId42" Target="https://github.com/skipp-dev/skipp-algo/blob/main/.github/workflows/smc-release-gates.yml" TargetMode="External" /><Relationship Type="http://schemas.openxmlformats.org/officeDocument/2006/relationships/hyperlink" Id="rId21" Target="https://github.com/skipp-dev/skipp-algo/blob/main/README.md" TargetMode="External" /><Relationship Type="http://schemas.openxmlformats.org/officeDocument/2006/relationships/hyperlink" Id="rId27" Target="https://github.com/skipp-dev/skipp-algo/blob/main/docs/RUNTIME_BUDGET.md" TargetMode="External" /><Relationship Type="http://schemas.openxmlformats.org/officeDocument/2006/relationships/hyperlink" Id="rId41" Target="https://github.com/skipp-dev/skipp-algo/blob/main/docs/SMC_TARGET_ARCHITECTURE_REFERENCE_2026-03-26.md" TargetMode="External" /><Relationship Type="http://schemas.openxmlformats.org/officeDocument/2006/relationships/hyperlink" Id="rId40" Target="https://github.com/skipp-dev/skipp-algo/blob/main/docs/schema_versioning.md" TargetMode="External" /><Relationship Type="http://schemas.openxmlformats.org/officeDocument/2006/relationships/hyperlink" Id="rId51" Target="https://github.com/skipp-dev/skipp-algo/blob/main/docs/smc_branch_protection_and_release_gates.md" TargetMode="External" /><Relationship Type="http://schemas.openxmlformats.org/officeDocument/2006/relationships/hyperlink" Id="rId48" Target="https://github.com/skipp-dev/skipp-algo/blob/main/pyproject.toml" TargetMode="External" /><Relationship Type="http://schemas.openxmlformats.org/officeDocument/2006/relationships/hyperlink" Id="rId50" Target="https://github.com/skipp-dev/skipp-algo/blob/main/requirements.txt" TargetMode="External" /><Relationship Type="http://schemas.openxmlformats.org/officeDocument/2006/relationships/hyperlink" Id="rId34" Target="https://github.com/skipp-dev/skipp-algo/blob/main/scripts/smc_price_action_engine.py" TargetMode="External" /><Relationship Type="http://schemas.openxmlformats.org/officeDocument/2006/relationships/hyperlink" Id="rId23" Target="https://github.com/skipp-dev/skipp-algo/blob/main/smc_adapters/__init__.py" TargetMode="External" /><Relationship Type="http://schemas.openxmlformats.org/officeDocument/2006/relationships/hyperlink" Id="rId60" Target="https://github.com/skipp-dev/skipp-algo/blob/main/smc_adapters/ingest.py" TargetMode="External" /><Relationship Type="http://schemas.openxmlformats.org/officeDocument/2006/relationships/hyperlink" Id="rId33" Target="https://github.com/skipp-dev/skipp-algo/blob/main/smc_core/ids.py" TargetMode="External" /><Relationship Type="http://schemas.openxmlformats.org/officeDocument/2006/relationships/hyperlink" Id="rId38" Target="https://github.com/skipp-dev/skipp-algo/blob/main/smc_core/types.py" TargetMode="External" /><Relationship Type="http://schemas.openxmlformats.org/officeDocument/2006/relationships/hyperlink" Id="rId35" Target="https://github.com/skipp-dev/skipp-algo/blob/main/smc_integration/provider_health.py" TargetMode="External" /><Relationship Type="http://schemas.openxmlformats.org/officeDocument/2006/relationships/hyperlink" Id="rId26" Target="https://github.com/skipp-dev/skipp-algo/blob/main/smc_integration/service.py" TargetMode="External" /><Relationship Type="http://schemas.openxmlformats.org/officeDocument/2006/relationships/hyperlink" Id="rId25" Target="https://github.com/skipp-dev/skipp-algo/blob/main/smc_unified_target_architecture_v5_5_de.md" TargetMode="External" /><Relationship Type="http://schemas.openxmlformats.org/officeDocument/2006/relationships/hyperlink" Id="rId32" Target="https://github.com/skipp-dev/skipp-algo/blob/main/spec/examples/smc_snapshot_aapl_15m_normal.json" TargetMode="External" /><Relationship Type="http://schemas.openxmlformats.org/officeDocument/2006/relationships/hyperlink" Id="rId54" Target="https://github.com/skipp-dev/skipp-algo/blob/main/tests/test_smc_core_layering.py" TargetMode="External" /><Relationship Type="http://schemas.openxmlformats.org/officeDocument/2006/relationships/hyperlink" Id="rId53" Target="https://github.com/skipp-dev/skipp-algo/blob/main/tests/test_smc_core_purity.py" TargetMode="External" /><Relationship Type="http://schemas.openxmlformats.org/officeDocument/2006/relationships/hyperlink" Id="rId46" Target="https://github.com/skipp-dev/skipp-algo/blob/main/tests/test_smc_parity.py" TargetMode="External" /><Relationship Type="http://schemas.openxmlformats.org/officeDocument/2006/relationships/hyperlink" Id="rId52" Target="https://github.com/skipp-dev/skipp-algo/blob/main/tests/test_smc_snapshot_schema.py" TargetMode="External" /><Relationship Type="http://schemas.openxmlformats.org/officeDocument/2006/relationships/hyperlink" Id="rId89" Target="https://huggingface.co/papers/1905.10437?utm_source=chatgpt.com" TargetMode="External" /><Relationship Type="http://schemas.openxmlformats.org/officeDocument/2006/relationships/hyperlink" Id="rId69" Target="https://pypi.org/project/arch/?utm_source=chatgpt.com" TargetMode="External" /><Relationship Type="http://schemas.openxmlformats.org/officeDocument/2006/relationships/hyperlink" Id="rId74" Target="https://pypi.org/project/darts/?utm_source=chatgpt.com" TargetMode="External" /><Relationship Type="http://schemas.openxmlformats.org/officeDocument/2006/relationships/hyperlink" Id="rId70" Target="https://pypi.org/project/filterpy/?utm_source=chatgpt.com" TargetMode="External" /><Relationship Type="http://schemas.openxmlformats.org/officeDocument/2006/relationships/hyperlink" Id="rId73" Target="https://pypi.org/project/pmdarima/?utm_source=chatgpt.com" TargetMode="External" /><Relationship Type="http://schemas.openxmlformats.org/officeDocument/2006/relationships/hyperlink" Id="rId72" Target="https://pypi.org/project/prophet/?utm_source=chatgpt.com" TargetMode="External" /><Relationship Type="http://schemas.openxmlformats.org/officeDocument/2006/relationships/hyperlink" Id="rId75" Target="https://pypi.org/project/pytorch-forecasting/?utm_source=chatgpt.com" TargetMode="External" /><Relationship Type="http://schemas.openxmlformats.org/officeDocument/2006/relationships/hyperlink" Id="rId71" Target="https://pypi.org/pypi/pymc?utm_source=chatgpt.com" TargetMode="External" /><Relationship Type="http://schemas.openxmlformats.org/officeDocument/2006/relationships/hyperlink" Id="rId68" Target="https://pypi.org/pypi/statsmodels?utm_source=chatgpt.com" TargetMode="External" /><Relationship Type="http://schemas.openxmlformats.org/officeDocument/2006/relationships/hyperlink" Id="rId86" Target="https://sites.stat.washington.edu/people/raftery/Research/PDF/Gneiting2007jasa.pdf?utm_source=chatgpt.com" TargetMode="External" /><Relationship Type="http://schemas.openxmlformats.org/officeDocument/2006/relationships/hyperlink" Id="rId82" Target="https://www.econometricsociety.org/publications/econometrica/1982/07/01/autoregressive-conditional-heteroscedasticity-estimates?utm_source=chatgpt.com" TargetMode="External" /><Relationship Type="http://schemas.openxmlformats.org/officeDocument/2006/relationships/hyperlink" Id="rId28" Target="https://www.econometricsociety.org/publications/econometrica/1989/03/01/new-approach-economic-analysis-nonstationary-time-series-and?utm_source=chatgpt.com" TargetMode="External" /><Relationship Type="http://schemas.openxmlformats.org/officeDocument/2006/relationships/hyperlink" Id="rId83" Target="https://www.scirp.org/reference/referencespapers?referenceid=3491020&amp;utm_source=chatgpt.com" TargetMode="External" /><Relationship Type="http://schemas.openxmlformats.org/officeDocument/2006/relationships/hyperlink" Id="rId88" Target="https://www.scixplorer.org/abs/2017arXiv170404110S/abstract?utm_source=chatgpt.com" TargetMode="External" /><Relationship Type="http://schemas.openxmlformats.org/officeDocument/2006/relationships/hyperlink" Id="rId90" Target="https://www.scixplorer.org/abs/2019arXiv191209363L/abstract?utm_source=chatgpt.com" TargetMode="External" /><Relationship Type="http://schemas.openxmlformats.org/officeDocument/2006/relationships/hyperlink" Id="rId92" Target="https://www.tandfonline.com/doi/abs/10.1057/jors.1969.103?utm_source=chatgpt.com" TargetMode="External" /><Relationship Type="http://schemas.openxmlformats.org/officeDocument/2006/relationships/hyperlink" Id="rId65" Target="https://www.tradingview.com/script/CnB3fSph-Smart-Money-Concepts-LuxAlgo/?utm_source=chatgpt.com" TargetMode="External" /><Relationship Type="http://schemas.openxmlformats.org/officeDocument/2006/relationships/hyperlink" Id="rId67" Target="https://www.tradingview.com/script/KL0iqOX2-ICT-Concepts-Liquidity-FVG-Liquidity-Sweeps/?utm_source=chatgpt.com" TargetMode="External" /><Relationship Type="http://schemas.openxmlformats.org/officeDocument/2006/relationships/hyperlink" Id="rId30" Target="sandbox:/mnt/data/SMC_Unified_Lean_Architecture_v5_5b.docx" TargetMode="External" /><Relationship Type="http://schemas.openxmlformats.org/officeDocument/2006/relationships/hyperlink" Id="rId29" Target="sandbox:/mnt/data/SMC_Unified_Lean_Architecture_v5_5b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academic.oup.com/rfs/article/6/2/327/1574747?utm_source=chatgpt.com" TargetMode="External" /><Relationship Type="http://schemas.openxmlformats.org/officeDocument/2006/relationships/hyperlink" Id="rId64" Target="https://cir.nii.ac.jp/crid/1360574094228434176?utm_source=chatgpt.com" TargetMode="External" /><Relationship Type="http://schemas.openxmlformats.org/officeDocument/2006/relationships/hyperlink" Id="rId78" Target="https://cir.nii.ac.jp/crid/1360855570047666048?utm_source=chatgpt.com" TargetMode="External" /><Relationship Type="http://schemas.openxmlformats.org/officeDocument/2006/relationships/hyperlink" Id="rId66" Target="https://de.tradingview.com/script/KL0iqOX2-ICT-Concepts-Liquidity-FVG-Liquidity-Sweeps/?utm_source=chatgpt.com" TargetMode="External" /><Relationship Type="http://schemas.openxmlformats.org/officeDocument/2006/relationships/hyperlink" Id="rId39" Target="https://github.com/skipp-dev/skipp-algo/blob/57e9bd9b3f52c962313a8b9d9352ead205867846/SMC%2B%2B/smc_core_types.pine" TargetMode="External" /><Relationship Type="http://schemas.openxmlformats.org/officeDocument/2006/relationships/hyperlink" Id="rId22" Target="https://github.com/skipp-dev/skipp-algo/blob/57e9bd9b3f52c962313a8b9d9352ead205867846/docs/smc_branch_protection_and_release_gates.md" TargetMode="External" /><Relationship Type="http://schemas.openxmlformats.org/officeDocument/2006/relationships/hyperlink" Id="rId61" Target="https://github.com/skipp-dev/skipp-algo/blob/57e9bd9b3f52c962313a8b9d9352ead205867846/smc_core/layering.py" TargetMode="External" /><Relationship Type="http://schemas.openxmlformats.org/officeDocument/2006/relationships/hyperlink" Id="rId37" Target="https://github.com/skipp-dev/skipp-algo/blob/57e9bd9b3f52c962313a8b9d9352ead205867846/smc_integration/structure_audit.py" TargetMode="External" /><Relationship Type="http://schemas.openxmlformats.org/officeDocument/2006/relationships/hyperlink" Id="rId49" Target="https://github.com/skipp-dev/skipp-algo/blob/main/.devcontainer/devcontainer.json" TargetMode="External" /><Relationship Type="http://schemas.openxmlformats.org/officeDocument/2006/relationships/hyperlink" Id="rId43" Target="https://github.com/skipp-dev/skipp-algo/blob/main/.github/workflows/smc-deeper-integration-gates.yml" TargetMode="External" /><Relationship Type="http://schemas.openxmlformats.org/officeDocument/2006/relationships/hyperlink" Id="rId24" Target="https://github.com/skipp-dev/skipp-algo/blob/main/.github/workflows/smc-fast-pr-gates.yml" TargetMode="External" /><Relationship Type="http://schemas.openxmlformats.org/officeDocument/2006/relationships/hyperlink" Id="rId44" Target="https://github.com/skipp-dev/skipp-algo/blob/main/.github/workflows/smc-library-refresh.yml" TargetMode="External" /><Relationship Type="http://schemas.openxmlformats.org/officeDocument/2006/relationships/hyperlink" Id="rId42" Target="https://github.com/skipp-dev/skipp-algo/blob/main/.github/workflows/smc-release-gates.yml" TargetMode="External" /><Relationship Type="http://schemas.openxmlformats.org/officeDocument/2006/relationships/hyperlink" Id="rId21" Target="https://github.com/skipp-dev/skipp-algo/blob/main/README.md" TargetMode="External" /><Relationship Type="http://schemas.openxmlformats.org/officeDocument/2006/relationships/hyperlink" Id="rId27" Target="https://github.com/skipp-dev/skipp-algo/blob/main/docs/RUNTIME_BUDGET.md" TargetMode="External" /><Relationship Type="http://schemas.openxmlformats.org/officeDocument/2006/relationships/hyperlink" Id="rId41" Target="https://github.com/skipp-dev/skipp-algo/blob/main/docs/SMC_TARGET_ARCHITECTURE_REFERENCE_2026-03-26.md" TargetMode="External" /><Relationship Type="http://schemas.openxmlformats.org/officeDocument/2006/relationships/hyperlink" Id="rId40" Target="https://github.com/skipp-dev/skipp-algo/blob/main/docs/schema_versioning.md" TargetMode="External" /><Relationship Type="http://schemas.openxmlformats.org/officeDocument/2006/relationships/hyperlink" Id="rId51" Target="https://github.com/skipp-dev/skipp-algo/blob/main/docs/smc_branch_protection_and_release_gates.md" TargetMode="External" /><Relationship Type="http://schemas.openxmlformats.org/officeDocument/2006/relationships/hyperlink" Id="rId48" Target="https://github.com/skipp-dev/skipp-algo/blob/main/pyproject.toml" TargetMode="External" /><Relationship Type="http://schemas.openxmlformats.org/officeDocument/2006/relationships/hyperlink" Id="rId50" Target="https://github.com/skipp-dev/skipp-algo/blob/main/requirements.txt" TargetMode="External" /><Relationship Type="http://schemas.openxmlformats.org/officeDocument/2006/relationships/hyperlink" Id="rId34" Target="https://github.com/skipp-dev/skipp-algo/blob/main/scripts/smc_price_action_engine.py" TargetMode="External" /><Relationship Type="http://schemas.openxmlformats.org/officeDocument/2006/relationships/hyperlink" Id="rId23" Target="https://github.com/skipp-dev/skipp-algo/blob/main/smc_adapters/__init__.py" TargetMode="External" /><Relationship Type="http://schemas.openxmlformats.org/officeDocument/2006/relationships/hyperlink" Id="rId60" Target="https://github.com/skipp-dev/skipp-algo/blob/main/smc_adapters/ingest.py" TargetMode="External" /><Relationship Type="http://schemas.openxmlformats.org/officeDocument/2006/relationships/hyperlink" Id="rId33" Target="https://github.com/skipp-dev/skipp-algo/blob/main/smc_core/ids.py" TargetMode="External" /><Relationship Type="http://schemas.openxmlformats.org/officeDocument/2006/relationships/hyperlink" Id="rId38" Target="https://github.com/skipp-dev/skipp-algo/blob/main/smc_core/types.py" TargetMode="External" /><Relationship Type="http://schemas.openxmlformats.org/officeDocument/2006/relationships/hyperlink" Id="rId35" Target="https://github.com/skipp-dev/skipp-algo/blob/main/smc_integration/provider_health.py" TargetMode="External" /><Relationship Type="http://schemas.openxmlformats.org/officeDocument/2006/relationships/hyperlink" Id="rId26" Target="https://github.com/skipp-dev/skipp-algo/blob/main/smc_integration/service.py" TargetMode="External" /><Relationship Type="http://schemas.openxmlformats.org/officeDocument/2006/relationships/hyperlink" Id="rId25" Target="https://github.com/skipp-dev/skipp-algo/blob/main/smc_unified_target_architecture_v5_5_de.md" TargetMode="External" /><Relationship Type="http://schemas.openxmlformats.org/officeDocument/2006/relationships/hyperlink" Id="rId32" Target="https://github.com/skipp-dev/skipp-algo/blob/main/spec/examples/smc_snapshot_aapl_15m_normal.json" TargetMode="External" /><Relationship Type="http://schemas.openxmlformats.org/officeDocument/2006/relationships/hyperlink" Id="rId54" Target="https://github.com/skipp-dev/skipp-algo/blob/main/tests/test_smc_core_layering.py" TargetMode="External" /><Relationship Type="http://schemas.openxmlformats.org/officeDocument/2006/relationships/hyperlink" Id="rId53" Target="https://github.com/skipp-dev/skipp-algo/blob/main/tests/test_smc_core_purity.py" TargetMode="External" /><Relationship Type="http://schemas.openxmlformats.org/officeDocument/2006/relationships/hyperlink" Id="rId46" Target="https://github.com/skipp-dev/skipp-algo/blob/main/tests/test_smc_parity.py" TargetMode="External" /><Relationship Type="http://schemas.openxmlformats.org/officeDocument/2006/relationships/hyperlink" Id="rId52" Target="https://github.com/skipp-dev/skipp-algo/blob/main/tests/test_smc_snapshot_schema.py" TargetMode="External" /><Relationship Type="http://schemas.openxmlformats.org/officeDocument/2006/relationships/hyperlink" Id="rId89" Target="https://huggingface.co/papers/1905.10437?utm_source=chatgpt.com" TargetMode="External" /><Relationship Type="http://schemas.openxmlformats.org/officeDocument/2006/relationships/hyperlink" Id="rId69" Target="https://pypi.org/project/arch/?utm_source=chatgpt.com" TargetMode="External" /><Relationship Type="http://schemas.openxmlformats.org/officeDocument/2006/relationships/hyperlink" Id="rId74" Target="https://pypi.org/project/darts/?utm_source=chatgpt.com" TargetMode="External" /><Relationship Type="http://schemas.openxmlformats.org/officeDocument/2006/relationships/hyperlink" Id="rId70" Target="https://pypi.org/project/filterpy/?utm_source=chatgpt.com" TargetMode="External" /><Relationship Type="http://schemas.openxmlformats.org/officeDocument/2006/relationships/hyperlink" Id="rId73" Target="https://pypi.org/project/pmdarima/?utm_source=chatgpt.com" TargetMode="External" /><Relationship Type="http://schemas.openxmlformats.org/officeDocument/2006/relationships/hyperlink" Id="rId72" Target="https://pypi.org/project/prophet/?utm_source=chatgpt.com" TargetMode="External" /><Relationship Type="http://schemas.openxmlformats.org/officeDocument/2006/relationships/hyperlink" Id="rId75" Target="https://pypi.org/project/pytorch-forecasting/?utm_source=chatgpt.com" TargetMode="External" /><Relationship Type="http://schemas.openxmlformats.org/officeDocument/2006/relationships/hyperlink" Id="rId71" Target="https://pypi.org/pypi/pymc?utm_source=chatgpt.com" TargetMode="External" /><Relationship Type="http://schemas.openxmlformats.org/officeDocument/2006/relationships/hyperlink" Id="rId68" Target="https://pypi.org/pypi/statsmodels?utm_source=chatgpt.com" TargetMode="External" /><Relationship Type="http://schemas.openxmlformats.org/officeDocument/2006/relationships/hyperlink" Id="rId86" Target="https://sites.stat.washington.edu/people/raftery/Research/PDF/Gneiting2007jasa.pdf?utm_source=chatgpt.com" TargetMode="External" /><Relationship Type="http://schemas.openxmlformats.org/officeDocument/2006/relationships/hyperlink" Id="rId82" Target="https://www.econometricsociety.org/publications/econometrica/1982/07/01/autoregressive-conditional-heteroscedasticity-estimates?utm_source=chatgpt.com" TargetMode="External" /><Relationship Type="http://schemas.openxmlformats.org/officeDocument/2006/relationships/hyperlink" Id="rId28" Target="https://www.econometricsociety.org/publications/econometrica/1989/03/01/new-approach-economic-analysis-nonstationary-time-series-and?utm_source=chatgpt.com" TargetMode="External" /><Relationship Type="http://schemas.openxmlformats.org/officeDocument/2006/relationships/hyperlink" Id="rId83" Target="https://www.scirp.org/reference/referencespapers?referenceid=3491020&amp;utm_source=chatgpt.com" TargetMode="External" /><Relationship Type="http://schemas.openxmlformats.org/officeDocument/2006/relationships/hyperlink" Id="rId88" Target="https://www.scixplorer.org/abs/2017arXiv170404110S/abstract?utm_source=chatgpt.com" TargetMode="External" /><Relationship Type="http://schemas.openxmlformats.org/officeDocument/2006/relationships/hyperlink" Id="rId90" Target="https://www.scixplorer.org/abs/2019arXiv191209363L/abstract?utm_source=chatgpt.com" TargetMode="External" /><Relationship Type="http://schemas.openxmlformats.org/officeDocument/2006/relationships/hyperlink" Id="rId92" Target="https://www.tandfonline.com/doi/abs/10.1057/jors.1969.103?utm_source=chatgpt.com" TargetMode="External" /><Relationship Type="http://schemas.openxmlformats.org/officeDocument/2006/relationships/hyperlink" Id="rId65" Target="https://www.tradingview.com/script/CnB3fSph-Smart-Money-Concepts-LuxAlgo/?utm_source=chatgpt.com" TargetMode="External" /><Relationship Type="http://schemas.openxmlformats.org/officeDocument/2006/relationships/hyperlink" Id="rId67" Target="https://www.tradingview.com/script/KL0iqOX2-ICT-Concepts-Liquidity-FVG-Liquidity-Sweeps/?utm_source=chatgpt.com" TargetMode="External" /><Relationship Type="http://schemas.openxmlformats.org/officeDocument/2006/relationships/hyperlink" Id="rId30" Target="sandbox:/mnt/data/SMC_Unified_Lean_Architecture_v5_5b.docx" TargetMode="External" /><Relationship Type="http://schemas.openxmlformats.org/officeDocument/2006/relationships/hyperlink" Id="rId29" Target="sandbox:/mnt/data/SMC_Unified_Lean_Architecture_v5_5b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2026-03-31T06:26:41Z</dcterms:created>
  <dcterms:modified xsi:type="dcterms:W3CDTF">2026-03-31T06:26:41Z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