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3tbugp1"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Wytrwałość, czyli życie jako maraton, a nie sprint</w:t>
      </w:r>
    </w:p>
    <w:p w:rsidR="00000000" w:rsidDel="00000000" w:rsidP="00000000" w:rsidRDefault="00000000" w:rsidRPr="00000000" w14:paraId="00000002">
      <w:pPr>
        <w:spacing w:after="0" w:lineRule="auto"/>
        <w:ind w:left="720" w:firstLine="0"/>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hua1hiyjsj26" w:id="1"/>
      <w:bookmarkEnd w:id="1"/>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Praktyka</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0"/>
          <w:i w:val="0"/>
          <w:smallCaps w:val="0"/>
          <w:strike w:val="0"/>
          <w:color w:val="1e4d78"/>
          <w:sz w:val="24"/>
          <w:szCs w:val="24"/>
          <w:u w:val="none"/>
          <w:shd w:fill="auto" w:val="clear"/>
          <w:vertAlign w:val="baseline"/>
        </w:rPr>
      </w:pPr>
      <w:bookmarkStart w:colFirst="0" w:colLast="0" w:name="_heading=h.vqbbfeopjw4p" w:id="2"/>
      <w:bookmarkEnd w:id="2"/>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Scenariusz zebrania z rodzicami</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Temat: Wytrwałość, czyli życie jako maraton, a nie sprint</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Czas: 40 minut</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Cel:</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Po zebraniu rodzic:</w:t>
      </w:r>
    </w:p>
    <w:p w:rsidR="00000000" w:rsidDel="00000000" w:rsidP="00000000" w:rsidRDefault="00000000" w:rsidRPr="00000000" w14:paraId="00000009">
      <w:pPr>
        <w:numPr>
          <w:ilvl w:val="0"/>
          <w:numId w:val="5"/>
        </w:numPr>
        <w:spacing w:after="0" w:line="360" w:lineRule="auto"/>
        <w:ind w:left="720" w:hanging="360"/>
        <w:rPr>
          <w:sz w:val="24"/>
          <w:szCs w:val="24"/>
        </w:rPr>
      </w:pPr>
      <w:r w:rsidDel="00000000" w:rsidR="00000000" w:rsidRPr="00000000">
        <w:rPr>
          <w:sz w:val="24"/>
          <w:szCs w:val="24"/>
          <w:rtl w:val="0"/>
        </w:rPr>
        <w:t xml:space="preserve">rozumie wagę kształtowania wytrwałości,</w:t>
      </w:r>
    </w:p>
    <w:p w:rsidR="00000000" w:rsidDel="00000000" w:rsidP="00000000" w:rsidRDefault="00000000" w:rsidRPr="00000000" w14:paraId="0000000A">
      <w:pPr>
        <w:numPr>
          <w:ilvl w:val="0"/>
          <w:numId w:val="5"/>
        </w:numPr>
        <w:spacing w:after="0" w:line="360" w:lineRule="auto"/>
        <w:ind w:left="720" w:hanging="360"/>
        <w:rPr>
          <w:sz w:val="24"/>
          <w:szCs w:val="24"/>
        </w:rPr>
      </w:pPr>
      <w:r w:rsidDel="00000000" w:rsidR="00000000" w:rsidRPr="00000000">
        <w:rPr>
          <w:sz w:val="24"/>
          <w:szCs w:val="24"/>
          <w:rtl w:val="0"/>
        </w:rPr>
        <w:t xml:space="preserve">zna 7 nawyków skutecznego działania,</w:t>
      </w:r>
    </w:p>
    <w:p w:rsidR="00000000" w:rsidDel="00000000" w:rsidP="00000000" w:rsidRDefault="00000000" w:rsidRPr="00000000" w14:paraId="0000000B">
      <w:pPr>
        <w:numPr>
          <w:ilvl w:val="0"/>
          <w:numId w:val="5"/>
        </w:numPr>
        <w:spacing w:line="360" w:lineRule="auto"/>
        <w:ind w:left="720" w:hanging="360"/>
        <w:rPr>
          <w:sz w:val="24"/>
          <w:szCs w:val="24"/>
        </w:rPr>
      </w:pPr>
      <w:r w:rsidDel="00000000" w:rsidR="00000000" w:rsidRPr="00000000">
        <w:rPr>
          <w:sz w:val="24"/>
          <w:szCs w:val="24"/>
          <w:rtl w:val="0"/>
        </w:rPr>
        <w:t xml:space="preserve">wie, jak może wspierać rozwój wytrwałości u swojego dziecka.</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0D">
      <w:pPr>
        <w:numPr>
          <w:ilvl w:val="0"/>
          <w:numId w:val="6"/>
        </w:numPr>
        <w:spacing w:after="0" w:line="360" w:lineRule="auto"/>
        <w:ind w:left="720" w:hanging="360"/>
        <w:rPr>
          <w:sz w:val="24"/>
          <w:szCs w:val="24"/>
        </w:rPr>
      </w:pPr>
      <w:r w:rsidDel="00000000" w:rsidR="00000000" w:rsidRPr="00000000">
        <w:rPr>
          <w:sz w:val="24"/>
          <w:szCs w:val="24"/>
          <w:rtl w:val="0"/>
        </w:rPr>
        <w:t xml:space="preserve">dyskusja,</w:t>
      </w:r>
    </w:p>
    <w:p w:rsidR="00000000" w:rsidDel="00000000" w:rsidP="00000000" w:rsidRDefault="00000000" w:rsidRPr="00000000" w14:paraId="0000000E">
      <w:pPr>
        <w:numPr>
          <w:ilvl w:val="0"/>
          <w:numId w:val="6"/>
        </w:numPr>
        <w:spacing w:after="0" w:line="360" w:lineRule="auto"/>
        <w:ind w:left="720" w:hanging="360"/>
        <w:rPr>
          <w:sz w:val="24"/>
          <w:szCs w:val="24"/>
        </w:rPr>
      </w:pPr>
      <w:r w:rsidDel="00000000" w:rsidR="00000000" w:rsidRPr="00000000">
        <w:rPr>
          <w:sz w:val="24"/>
          <w:szCs w:val="24"/>
          <w:rtl w:val="0"/>
        </w:rPr>
        <w:t xml:space="preserve">miniwykład,</w:t>
      </w:r>
    </w:p>
    <w:p w:rsidR="00000000" w:rsidDel="00000000" w:rsidP="00000000" w:rsidRDefault="00000000" w:rsidRPr="00000000" w14:paraId="0000000F">
      <w:pPr>
        <w:numPr>
          <w:ilvl w:val="0"/>
          <w:numId w:val="6"/>
        </w:numPr>
        <w:spacing w:line="360" w:lineRule="auto"/>
        <w:ind w:left="720" w:hanging="360"/>
        <w:rPr>
          <w:sz w:val="24"/>
          <w:szCs w:val="24"/>
        </w:rPr>
      </w:pPr>
      <w:r w:rsidDel="00000000" w:rsidR="00000000" w:rsidRPr="00000000">
        <w:rPr>
          <w:sz w:val="24"/>
          <w:szCs w:val="24"/>
          <w:rtl w:val="0"/>
        </w:rPr>
        <w:t xml:space="preserve">aktywizujące.</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11">
      <w:pPr>
        <w:numPr>
          <w:ilvl w:val="0"/>
          <w:numId w:val="3"/>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12">
      <w:pPr>
        <w:numPr>
          <w:ilvl w:val="0"/>
          <w:numId w:val="3"/>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13">
      <w:pPr>
        <w:numPr>
          <w:ilvl w:val="0"/>
          <w:numId w:val="3"/>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14">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15">
      <w:pPr>
        <w:numPr>
          <w:ilvl w:val="0"/>
          <w:numId w:val="4"/>
        </w:numPr>
        <w:spacing w:line="360" w:lineRule="auto"/>
        <w:ind w:left="720" w:hanging="360"/>
        <w:rPr>
          <w:sz w:val="24"/>
          <w:szCs w:val="24"/>
        </w:rPr>
      </w:pPr>
      <w:r w:rsidDel="00000000" w:rsidR="00000000" w:rsidRPr="00000000">
        <w:rPr>
          <w:sz w:val="24"/>
          <w:szCs w:val="24"/>
          <w:rtl w:val="0"/>
        </w:rPr>
        <w:t xml:space="preserve">Przywitaj się z rodzicami. Przedstaw im cel zebrania/tej części zebrania.</w:t>
      </w:r>
    </w:p>
    <w:p w:rsidR="00000000" w:rsidDel="00000000" w:rsidP="00000000" w:rsidRDefault="00000000" w:rsidRPr="00000000" w14:paraId="00000016">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17">
      <w:pPr>
        <w:numPr>
          <w:ilvl w:val="0"/>
          <w:numId w:val="4"/>
        </w:numPr>
        <w:spacing w:after="0" w:line="360" w:lineRule="auto"/>
        <w:ind w:left="720" w:hanging="360"/>
        <w:rPr>
          <w:sz w:val="24"/>
          <w:szCs w:val="24"/>
        </w:rPr>
      </w:pPr>
      <w:r w:rsidDel="00000000" w:rsidR="00000000" w:rsidRPr="00000000">
        <w:rPr>
          <w:sz w:val="24"/>
          <w:szCs w:val="24"/>
          <w:rtl w:val="0"/>
        </w:rPr>
        <w:t xml:space="preserve">W formie miniwykładu wyjaśnij, dlaczego wytrwałość jest ważną cechą i czemu warto ją kształtować. Odwołaj się do badań Carol Dweck i jej dwóch koncepcji nastawienia na rozwój (growth mindset) i nastawienia na trwałość (fixed mindset). Uczniowie nastawieni na trwałość uważają, że to, co jesteśmy w stanie osiągnąć, wynika </w:t>
        <w:br w:type="textWrapping"/>
        <w:t xml:space="preserve">z wrodzonej inteligencji, predyspozycji lub zdolności. Z tego powodu wykonują zadania, które nie wymagają od nich wysiłku. Przyjmują strategie działania nastawione na trwanie, nie na rozwój.</w:t>
        <w:br w:type="textWrapping"/>
        <w:t xml:space="preserve">Z kolei ludzie nastawieni na rozwój to jednostki świadome tego, że uczenie się, działanie polega na wysiłku, trudzie i konsekwencji. Często to właśnie oni podejmują wyzwania, są otwarci na zadania bardziej złożone. Więcej dowiesz się na stronie: https://epale.ec.europa.eu/pl/blog/nastawienie-na-rozwoj-kluczowa-kompetencja-przyszlosci#_edn3 [dostęp: 29.01.2023 r.]</w:t>
      </w:r>
    </w:p>
    <w:p w:rsidR="00000000" w:rsidDel="00000000" w:rsidP="00000000" w:rsidRDefault="00000000" w:rsidRPr="00000000" w14:paraId="00000018">
      <w:pPr>
        <w:numPr>
          <w:ilvl w:val="0"/>
          <w:numId w:val="4"/>
        </w:numPr>
        <w:spacing w:after="0" w:line="360" w:lineRule="auto"/>
        <w:ind w:left="720" w:hanging="360"/>
        <w:rPr>
          <w:sz w:val="24"/>
          <w:szCs w:val="24"/>
        </w:rPr>
      </w:pPr>
      <w:r w:rsidDel="00000000" w:rsidR="00000000" w:rsidRPr="00000000">
        <w:rPr>
          <w:sz w:val="24"/>
          <w:szCs w:val="24"/>
          <w:rtl w:val="0"/>
        </w:rPr>
        <w:t xml:space="preserve">Poproś rodziców o podzielenie się na kilkuosobowe grupy. Każdej wręcz listę nawyków skutecznego działania (załącznik nr 1). Zadaniem rodziców jest podanie konkretnych działań wspierających budowanie przez dziecka poszczególnych nawyków (mogą to też być komunikaty wspierające proces kształtowania nawyków).</w:t>
      </w:r>
    </w:p>
    <w:p w:rsidR="00000000" w:rsidDel="00000000" w:rsidP="00000000" w:rsidRDefault="00000000" w:rsidRPr="00000000" w14:paraId="00000019">
      <w:pPr>
        <w:numPr>
          <w:ilvl w:val="0"/>
          <w:numId w:val="4"/>
        </w:numPr>
        <w:spacing w:line="360" w:lineRule="auto"/>
        <w:ind w:left="720" w:hanging="360"/>
        <w:rPr>
          <w:sz w:val="24"/>
          <w:szCs w:val="24"/>
        </w:rPr>
      </w:pPr>
      <w:r w:rsidDel="00000000" w:rsidR="00000000" w:rsidRPr="00000000">
        <w:rPr>
          <w:sz w:val="24"/>
          <w:szCs w:val="24"/>
          <w:rtl w:val="0"/>
        </w:rPr>
        <w:t xml:space="preserve">Poproś rodziców o przedstawienie wyników pracy w grupach. Zainicjuj rozmowę wokół celowości uczenia wytrwałości, korzyści z tego wynikających oraz strategii jej kształtowania. </w:t>
      </w:r>
    </w:p>
    <w:p w:rsidR="00000000" w:rsidDel="00000000" w:rsidP="00000000" w:rsidRDefault="00000000" w:rsidRPr="00000000" w14:paraId="0000001A">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01B">
      <w:pPr>
        <w:numPr>
          <w:ilvl w:val="0"/>
          <w:numId w:val="4"/>
        </w:numPr>
        <w:spacing w:line="360" w:lineRule="auto"/>
        <w:ind w:left="720" w:hanging="360"/>
        <w:rPr>
          <w:sz w:val="24"/>
          <w:szCs w:val="24"/>
        </w:rPr>
      </w:pPr>
      <w:r w:rsidDel="00000000" w:rsidR="00000000" w:rsidRPr="00000000">
        <w:rPr>
          <w:sz w:val="24"/>
          <w:szCs w:val="24"/>
          <w:rtl w:val="0"/>
        </w:rPr>
        <w:t xml:space="preserve">W ramach podsumowania opowiedz rodzicom o lekcji z uczniami, na której również rozmawiałeś/aś o wytrwałości. Wskaż, że uczniowie wybrali czynność wspierającą wytrwałość, którą chcą uczynić swoim nawykiem. Zadaniem rodziców jest dowiedzenie się, jaką czynności wybrało ich dziecko oraz wspólne ustalenie, jak mogą je wspierać w wypracowaniu tego nawyku. </w:t>
      </w:r>
    </w:p>
    <w:p w:rsidR="00000000" w:rsidDel="00000000" w:rsidP="00000000" w:rsidRDefault="00000000" w:rsidRPr="00000000" w14:paraId="0000001C">
      <w:pPr>
        <w:numPr>
          <w:ilvl w:val="0"/>
          <w:numId w:val="4"/>
        </w:numPr>
        <w:spacing w:line="360" w:lineRule="auto"/>
        <w:ind w:left="720" w:hanging="360"/>
        <w:rPr>
          <w:sz w:val="24"/>
          <w:szCs w:val="24"/>
        </w:rPr>
      </w:pPr>
      <w:r w:rsidDel="00000000" w:rsidR="00000000" w:rsidRPr="00000000">
        <w:rPr>
          <w:sz w:val="24"/>
          <w:szCs w:val="24"/>
          <w:rtl w:val="0"/>
        </w:rPr>
        <w:t xml:space="preserve">Zachęć rodziców do wysłuchania “Inspiratorium dla rodzica”, w którym dowiedzą się więcej o tym jak rozmawiać z dzieckiem o porażkach. </w:t>
      </w:r>
    </w:p>
    <w:p w:rsidR="00000000" w:rsidDel="00000000" w:rsidP="00000000" w:rsidRDefault="00000000" w:rsidRPr="00000000" w14:paraId="0000001D">
      <w:pPr>
        <w:spacing w:line="360" w:lineRule="auto"/>
        <w:rPr>
          <w:i w:val="1"/>
          <w:sz w:val="24"/>
          <w:szCs w:val="24"/>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b w:val="1"/>
          <w:sz w:val="24"/>
          <w:szCs w:val="24"/>
          <w:rtl w:val="0"/>
        </w:rPr>
        <w:t xml:space="preserve">Zamiast zebrania</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Jeśli nie możesz zorganizować zebrania z rodzicami, to:</w:t>
      </w:r>
    </w:p>
    <w:p w:rsidR="00000000" w:rsidDel="00000000" w:rsidP="00000000" w:rsidRDefault="00000000" w:rsidRPr="00000000" w14:paraId="00000020">
      <w:pPr>
        <w:numPr>
          <w:ilvl w:val="0"/>
          <w:numId w:val="1"/>
        </w:numPr>
        <w:spacing w:after="0" w:line="360" w:lineRule="auto"/>
        <w:ind w:left="720" w:hanging="360"/>
        <w:rPr>
          <w:sz w:val="24"/>
          <w:szCs w:val="24"/>
        </w:rPr>
      </w:pPr>
      <w:r w:rsidDel="00000000" w:rsidR="00000000" w:rsidRPr="00000000">
        <w:rPr>
          <w:sz w:val="24"/>
          <w:szCs w:val="24"/>
          <w:rtl w:val="0"/>
        </w:rPr>
        <w:t xml:space="preserve">Przeprowadź lekcję tylko z uczniami. </w:t>
      </w:r>
    </w:p>
    <w:p w:rsidR="00000000" w:rsidDel="00000000" w:rsidP="00000000" w:rsidRDefault="00000000" w:rsidRPr="00000000" w14:paraId="00000021">
      <w:pPr>
        <w:numPr>
          <w:ilvl w:val="0"/>
          <w:numId w:val="2"/>
        </w:numPr>
        <w:spacing w:line="360" w:lineRule="auto"/>
        <w:ind w:left="720" w:hanging="360"/>
        <w:rPr>
          <w:sz w:val="24"/>
          <w:szCs w:val="24"/>
        </w:rPr>
      </w:pPr>
      <w:r w:rsidDel="00000000" w:rsidR="00000000" w:rsidRPr="00000000">
        <w:rPr>
          <w:sz w:val="24"/>
          <w:szCs w:val="24"/>
          <w:rtl w:val="0"/>
        </w:rPr>
        <w:t xml:space="preserve">Napisz rodzicom wiadomość podsumowującą lekcję (jaki był jej cel, co robiliście). Zawrzyj w niej pracę domową dla rodziny:</w:t>
      </w:r>
    </w:p>
    <w:p w:rsidR="00000000" w:rsidDel="00000000" w:rsidP="00000000" w:rsidRDefault="00000000" w:rsidRPr="00000000" w14:paraId="00000022">
      <w:pPr>
        <w:spacing w:line="360" w:lineRule="auto"/>
        <w:ind w:left="1440" w:firstLine="0"/>
        <w:rPr>
          <w:i w:val="1"/>
          <w:sz w:val="24"/>
          <w:szCs w:val="24"/>
        </w:rPr>
      </w:pPr>
      <w:r w:rsidDel="00000000" w:rsidR="00000000" w:rsidRPr="00000000">
        <w:rPr>
          <w:i w:val="1"/>
          <w:sz w:val="24"/>
          <w:szCs w:val="24"/>
          <w:rtl w:val="0"/>
        </w:rPr>
        <w:t xml:space="preserve">Zaproś dziecko do rozmowy o wytrwałości i nawykach. Dowiedz się, jaką czynność chce uczynić swoim nawykiem. Wspólnie zastanówcie się, w jaki sposób możesz wesprzeć w tym dziecko. </w:t>
      </w:r>
    </w:p>
    <w:p w:rsidR="00000000" w:rsidDel="00000000" w:rsidP="00000000" w:rsidRDefault="00000000" w:rsidRPr="00000000" w14:paraId="00000023">
      <w:pPr>
        <w:numPr>
          <w:ilvl w:val="0"/>
          <w:numId w:val="2"/>
        </w:numPr>
        <w:spacing w:line="360" w:lineRule="auto"/>
        <w:ind w:left="720" w:hanging="360"/>
        <w:rPr>
          <w:sz w:val="24"/>
          <w:szCs w:val="24"/>
        </w:rPr>
      </w:pPr>
      <w:r w:rsidDel="00000000" w:rsidR="00000000" w:rsidRPr="00000000">
        <w:rPr>
          <w:sz w:val="24"/>
          <w:szCs w:val="24"/>
          <w:rtl w:val="0"/>
        </w:rPr>
        <w:t xml:space="preserve">W wiadomości dołącz link do nagrania “Inspiratorium dla rodzica”. Znajdą w nim informacje, czym jest wytrwałość, jak ją kształtować i dlaczego jest to ważne.</w:t>
      </w:r>
      <w:r w:rsidDel="00000000" w:rsidR="00000000" w:rsidRPr="00000000">
        <w:rPr>
          <w:rtl w:val="0"/>
        </w:rPr>
      </w:r>
    </w:p>
    <w:sectPr>
      <w:headerReference r:id="rId7" w:type="default"/>
      <w:footerReference r:id="rId8" w:type="default"/>
      <w:footerReference r:id="rId9"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4"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5"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hxTtbtned5l335I7fgcZKgNIew==">AMUW2mUedDEhJqRwSGJs7ox2fd76ievpYodIXOCRjyjMMxUcPSvldou1nnDnf0iFEkVTHEvKpMoWJGGRy1WMPxTKJZ05vdKh505VeBUU66KqvoOD0H1PGdtp+vUTHCK4qNLq2SIqf2X7keD4pgjzJgH2uNy/0HAkJeK7wpV+K+uV3DKk2lvCSSI=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