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upp"/>
    <w:bookmarkStart w:id="60" w:name="kcor-supplementary-material"/>
    <w:p>
      <w:pPr>
        <w:pStyle w:val="Heading2"/>
      </w:pPr>
      <w:r>
        <w:t xml:space="preserve">KCOR Supplementary material</w:t>
      </w:r>
    </w:p>
    <w:p>
      <w:pPr>
        <w:pStyle w:val="FirstParagraph"/>
      </w:pPr>
      <w:r>
        <w:t xml:space="preserve">Supplementary appendices provide mathematical derivations and full control-test specifications.</w:t>
      </w:r>
    </w:p>
    <w:bookmarkStart w:id="15" w:name="appendix-a.-mathematical-derivations"/>
    <w:p>
      <w:pPr>
        <w:pStyle w:val="Heading3"/>
      </w:pPr>
      <w:r>
        <w:t xml:space="preserve">Appendix A. Mathematical derivations</w:t>
      </w:r>
    </w:p>
    <w:bookmarkStart w:id="9"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r>
            <m:rPr>
              <m:nor/>
              <m:sty m:val="p"/>
            </m:rPr>
            <m:t>(A.1)</m:t>
          </m:r>
        </m:oMath>
      </m:oMathPara>
    </w:p>
    <w:p>
      <w:pPr>
        <w:pStyle w:val="FirstParagraph"/>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r>
            <m:rPr>
              <m:sty m:val="p"/>
            </m:rPr>
            <m:t>.</m:t>
          </m:r>
          <m:r>
            <m:t>  </m:t>
          </m:r>
          <m:r>
            <m:rPr>
              <m:nor/>
              <m:sty m:val="p"/>
            </m:rPr>
            <m:t>(A.2)</m:t>
          </m:r>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nor/>
              <m:sty m:val="p"/>
            </m:rPr>
            <m:t>(A.3)</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r>
            <m:t>  </m:t>
          </m:r>
          <m:r>
            <m:rPr>
              <m:nor/>
              <m:sty m:val="p"/>
            </m:rPr>
            <m:t>(A.4)</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r>
            <m:t>  </m:t>
          </m:r>
          <m:r>
            <m:rPr>
              <m:nor/>
              <m:sty m:val="p"/>
            </m:rPr>
            <m:t>(A.5)</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9"/>
    <w:bookmarkStart w:id="10"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r>
            <m:t>  </m:t>
          </m:r>
          <m:r>
            <m:rPr>
              <m:nor/>
              <m:sty m:val="p"/>
            </m:rPr>
            <m:t>(A.6)</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r>
            <m:t>  </m:t>
          </m:r>
          <m:r>
            <m:rPr>
              <m:nor/>
              <m:sty m:val="p"/>
            </m:rPr>
            <m:t>(A.7)</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t>  </m:t>
          </m:r>
          <m:r>
            <m:rPr>
              <m:nor/>
              <m:sty m:val="p"/>
            </m:rPr>
            <m:t>(A.8)</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r>
            <m:t>  </m:t>
          </m:r>
          <m:r>
            <m:rPr>
              <m:nor/>
              <m:sty m:val="p"/>
            </m:rPr>
            <m:t>(A.9)</m:t>
          </m:r>
        </m:oMath>
      </m:oMathPara>
    </w:p>
    <w:p>
      <w:pPr>
        <w:pStyle w:val="FirstParagraph"/>
      </w:pPr>
      <w:r>
        <w:t xml:space="preserve">This is the gamma-frailty identity (see Equation (6) in the main text).</w:t>
      </w:r>
    </w:p>
    <w:bookmarkEnd w:id="10"/>
    <w:bookmarkStart w:id="11"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r>
            <m:t>  </m:t>
          </m:r>
          <m:r>
            <m:rPr>
              <m:nor/>
              <m:sty m:val="p"/>
            </m:rPr>
            <m:t>(A.10)</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1"/>
    <w:bookmarkStart w:id="12"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2"/>
    <w:bookmarkStart w:id="13" w:name="X92a87dc39df40b82f1e0597e05e5e65669dfe56"/>
    <w:p>
      <w:pPr>
        <w:pStyle w:val="Heading4"/>
      </w:pPr>
      <w:r>
        <w:t xml:space="preserve">A.4 Derivation and properties of Equation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r>
            <m:t>  </m:t>
          </m:r>
          <m:r>
            <m:rPr>
              <m:nor/>
              <m:sty m:val="p"/>
            </m:rPr>
            <m:t>(A.11)</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t>  </m:t>
          </m:r>
          <m:r>
            <m:rPr>
              <m:nor/>
              <m:sty m:val="p"/>
            </m:rPr>
            <m:t>(A.12)</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r>
            <m:t>  </m:t>
          </m:r>
          <m:r>
            <m:rPr>
              <m:nor/>
              <m:sty m:val="p"/>
            </m:rPr>
            <m:t>(A.13)</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3"/>
    <w:bookmarkStart w:id="14"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nor/>
              <m:sty m:val="p"/>
            </m:rPr>
            <m:t>(A.14)</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r>
            <m:t>  </m:t>
          </m:r>
          <m:r>
            <m:rPr>
              <m:nor/>
              <m:sty m:val="p"/>
            </m:rPr>
            <m:t>(A.15)</m:t>
          </m:r>
        </m:oMath>
      </m:oMathPara>
    </w:p>
    <w:p>
      <w:pPr>
        <w:pStyle w:val="FirstParagraph"/>
      </w:pPr>
      <w:r>
        <w:t xml:space="preserve">In practice, Monte Carlo resampling provides a more robust approach that captures uncertainty from both event realization and parameter estimation.</w:t>
      </w:r>
    </w:p>
    <w:bookmarkEnd w:id="14"/>
    <w:bookmarkEnd w:id="15"/>
    <w:bookmarkStart w:id="28" w:name="appendix-b.-control-test-specifications"/>
    <w:p>
      <w:pPr>
        <w:pStyle w:val="Heading3"/>
      </w:pPr>
      <w:r>
        <w:t xml:space="preserve">Appendix B. Control-test specifications</w:t>
      </w:r>
    </w:p>
    <w:bookmarkStart w:id="16"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0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0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01"/>
        </w:numPr>
      </w:pPr>
      <w:r>
        <w:rPr>
          <w:b/>
          <w:bCs/>
        </w:rPr>
        <w:t xml:space="preserve">Cohort A weights</w:t>
      </w:r>
      <w:r>
        <w:t xml:space="preserve">: Equal weights across 5 frailty groups (0.2 each)</w:t>
      </w:r>
    </w:p>
    <w:p>
      <w:pPr>
        <w:pStyle w:val="Compact"/>
        <w:numPr>
          <w:ilvl w:val="0"/>
          <w:numId w:val="1001"/>
        </w:numPr>
      </w:pPr>
      <w:r>
        <w:rPr>
          <w:b/>
          <w:bCs/>
        </w:rPr>
        <w:t xml:space="preserve">Cohort B weights</w:t>
      </w:r>
      <w:r>
        <w:t xml:space="preserve">: Shifted weights [0.30, 0.20, 0.20, 0.20, 0.10]</w:t>
      </w:r>
    </w:p>
    <w:p>
      <w:pPr>
        <w:pStyle w:val="Compact"/>
        <w:numPr>
          <w:ilvl w:val="0"/>
          <w:numId w:val="1001"/>
        </w:numPr>
      </w:pPr>
      <w:r>
        <w:rPr>
          <w:b/>
          <w:bCs/>
        </w:rPr>
        <w:t xml:space="preserve">Frailty values</w:t>
      </w:r>
      <w:r>
        <w:t xml:space="preserve">: [1, 2, 4, 6, 10] (relative frailty multipliers)</w:t>
      </w:r>
    </w:p>
    <w:p>
      <w:pPr>
        <w:pStyle w:val="Compact"/>
        <w:numPr>
          <w:ilvl w:val="0"/>
          <w:numId w:val="1001"/>
        </w:numPr>
      </w:pPr>
      <w:r>
        <w:rPr>
          <w:b/>
          <w:bCs/>
        </w:rPr>
        <w:t xml:space="preserve">Base weekly probability</w:t>
      </w:r>
      <w:r>
        <w:t xml:space="preserve">: 0.01</w:t>
      </w:r>
    </w:p>
    <w:p>
      <w:pPr>
        <w:pStyle w:val="Compact"/>
        <w:numPr>
          <w:ilvl w:val="0"/>
          <w:numId w:val="1001"/>
        </w:numPr>
      </w:pPr>
      <w:r>
        <w:rPr>
          <w:b/>
          <w:bCs/>
        </w:rPr>
        <w:t xml:space="preserve">Weekly log-slope</w:t>
      </w:r>
      <w:r>
        <w:t xml:space="preserve">: 0.0 (constant baseline during quiet periods)</w:t>
      </w:r>
    </w:p>
    <w:p>
      <w:pPr>
        <w:pStyle w:val="Compact"/>
        <w:numPr>
          <w:ilvl w:val="0"/>
          <w:numId w:val="1001"/>
        </w:numPr>
      </w:pPr>
      <w:r>
        <w:rPr>
          <w:b/>
          <w:bCs/>
        </w:rPr>
        <w:t xml:space="preserve">Skip weeks</w:t>
      </w:r>
      <w:r>
        <w:t xml:space="preserve">: 2</w:t>
      </w:r>
    </w:p>
    <w:p>
      <w:pPr>
        <w:pStyle w:val="Compact"/>
        <w:numPr>
          <w:ilvl w:val="0"/>
          <w:numId w:val="1001"/>
        </w:numPr>
      </w:pPr>
      <w:r>
        <w:rPr>
          <w:b/>
          <w:bCs/>
        </w:rPr>
        <w:t xml:space="preserve">Normalization weeks</w:t>
      </w:r>
      <w:r>
        <w:t xml:space="preserve">: 4</w:t>
      </w:r>
    </w:p>
    <w:p>
      <w:pPr>
        <w:pStyle w:val="Compact"/>
        <w:numPr>
          <w:ilvl w:val="0"/>
          <w:numId w:val="100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6"/>
    <w:bookmarkStart w:id="17"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02"/>
        </w:numPr>
      </w:pPr>
      <w:r>
        <w:rPr>
          <w:b/>
          <w:bCs/>
        </w:rPr>
        <w:t xml:space="preserve">Data source</w:t>
      </w:r>
      <w:r>
        <w:t xml:space="preserve">: Czech Republic administrative mortality and vaccination data, aggregated into KCOR_CMR format</w:t>
      </w:r>
    </w:p>
    <w:p>
      <w:pPr>
        <w:pStyle w:val="Compact"/>
        <w:numPr>
          <w:ilvl w:val="0"/>
          <w:numId w:val="100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02"/>
        </w:numPr>
      </w:pPr>
      <w:r>
        <w:rPr>
          <w:b/>
          <w:bCs/>
        </w:rPr>
        <w:t xml:space="preserve">Construction</w:t>
      </w:r>
      <w:r>
        <w:t xml:space="preserve">: Age strata remapped to pseudo-doses within same vaccination category</w:t>
      </w:r>
    </w:p>
    <w:p>
      <w:pPr>
        <w:pStyle w:val="Compact"/>
        <w:numPr>
          <w:ilvl w:val="0"/>
          <w:numId w:val="1002"/>
        </w:numPr>
      </w:pPr>
      <w:r>
        <w:rPr>
          <w:b/>
          <w:bCs/>
        </w:rPr>
        <w:t xml:space="preserve">Age mapping</w:t>
      </w:r>
      <w:r>
        <w:t xml:space="preserve">:</w:t>
      </w:r>
    </w:p>
    <w:p>
      <w:pPr>
        <w:pStyle w:val="Compact"/>
        <w:numPr>
          <w:ilvl w:val="1"/>
          <w:numId w:val="1003"/>
        </w:numPr>
      </w:pPr>
      <w:r>
        <w:t xml:space="preserve">Dose 0 → YoB {1930, 1935}</w:t>
      </w:r>
    </w:p>
    <w:p>
      <w:pPr>
        <w:pStyle w:val="Compact"/>
        <w:numPr>
          <w:ilvl w:val="1"/>
          <w:numId w:val="1003"/>
        </w:numPr>
      </w:pPr>
      <w:r>
        <w:t xml:space="preserve">Dose 1 → YoB {1940, 1945}</w:t>
      </w:r>
    </w:p>
    <w:p>
      <w:pPr>
        <w:pStyle w:val="Compact"/>
        <w:numPr>
          <w:ilvl w:val="1"/>
          <w:numId w:val="1003"/>
        </w:numPr>
      </w:pPr>
      <w:r>
        <w:t xml:space="preserve">Dose 2 → YoB {1950, 1955}</w:t>
      </w:r>
    </w:p>
    <w:p>
      <w:pPr>
        <w:pStyle w:val="Compact"/>
        <w:numPr>
          <w:ilvl w:val="0"/>
          <w:numId w:val="1002"/>
        </w:numPr>
      </w:pPr>
      <w:r>
        <w:rPr>
          <w:b/>
          <w:bCs/>
        </w:rPr>
        <w:t xml:space="preserve">Output YoB</w:t>
      </w:r>
      <w:r>
        <w:t xml:space="preserve">: Fixed at 1950 (unvax cohort) or 1940 (vax cohort)</w:t>
      </w:r>
    </w:p>
    <w:p>
      <w:pPr>
        <w:pStyle w:val="Compact"/>
        <w:numPr>
          <w:ilvl w:val="0"/>
          <w:numId w:val="100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
    <w:bookmarkStart w:id="18"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0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04"/>
        </w:numPr>
      </w:pPr>
      <w:r>
        <w:rPr>
          <w:b/>
          <w:bCs/>
        </w:rPr>
        <w:t xml:space="preserve">Initial cohort size</w:t>
      </w:r>
      <w:r>
        <w:t xml:space="preserve">: 100,000 per cohort</w:t>
      </w:r>
    </w:p>
    <w:p>
      <w:pPr>
        <w:pStyle w:val="Compact"/>
        <w:numPr>
          <w:ilvl w:val="0"/>
          <w:numId w:val="1004"/>
        </w:numPr>
      </w:pPr>
      <w:r>
        <w:rPr>
          <w:b/>
          <w:bCs/>
        </w:rPr>
        <w:t xml:space="preserve">Baseline hazard</w:t>
      </w:r>
      <w:r>
        <w:t xml:space="preserve">: 0.002 per week</w:t>
      </w:r>
    </w:p>
    <w:p>
      <w:pPr>
        <w:pStyle w:val="Compact"/>
        <w:numPr>
          <w:ilvl w:val="0"/>
          <w:numId w:val="100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04"/>
        </w:numPr>
      </w:pPr>
      <w:r>
        <w:rPr>
          <w:b/>
          <w:bCs/>
        </w:rPr>
        <w:t xml:space="preserve">Effect window</w:t>
      </w:r>
      <w:r>
        <w:t xml:space="preserve">: weeks 20–80</w:t>
      </w:r>
    </w:p>
    <w:p>
      <w:pPr>
        <w:pStyle w:val="Compact"/>
        <w:numPr>
          <w:ilvl w:val="0"/>
          <w:numId w:val="1004"/>
        </w:numPr>
      </w:pPr>
      <w:r>
        <w:rPr>
          <w:b/>
          <w:bCs/>
        </w:rPr>
        <w:t xml:space="preserve">Hazard multipliers</w:t>
      </w:r>
      <w:r>
        <w:t xml:space="preserve">:</w:t>
      </w:r>
    </w:p>
    <w:p>
      <w:pPr>
        <w:pStyle w:val="Compact"/>
        <w:numPr>
          <w:ilvl w:val="1"/>
          <w:numId w:val="1005"/>
        </w:numPr>
      </w:pPr>
      <w:r>
        <w:t xml:space="preserve">Harm scenario:</w:t>
      </w:r>
      <w:r>
        <w:t xml:space="preserve"> </w:t>
      </w:r>
      <m:oMath>
        <m:r>
          <m:t>r</m:t>
        </m:r>
        <m:r>
          <m:rPr>
            <m:sty m:val="p"/>
          </m:rPr>
          <m:t>=</m:t>
        </m:r>
        <m:r>
          <m:t>1.2</m:t>
        </m:r>
      </m:oMath>
    </w:p>
    <w:p>
      <w:pPr>
        <w:pStyle w:val="Compact"/>
        <w:numPr>
          <w:ilvl w:val="1"/>
          <w:numId w:val="1005"/>
        </w:numPr>
      </w:pPr>
      <w:r>
        <w:t xml:space="preserve">Benefit scenario:</w:t>
      </w:r>
      <w:r>
        <w:t xml:space="preserve"> </w:t>
      </w:r>
      <m:oMath>
        <m:r>
          <m:t>r</m:t>
        </m:r>
        <m:r>
          <m:rPr>
            <m:sty m:val="p"/>
          </m:rPr>
          <m:t>=</m:t>
        </m:r>
        <m:r>
          <m:t>0.8</m:t>
        </m:r>
      </m:oMath>
    </w:p>
    <w:p>
      <w:pPr>
        <w:pStyle w:val="Compact"/>
        <w:numPr>
          <w:ilvl w:val="0"/>
          <w:numId w:val="1004"/>
        </w:numPr>
      </w:pPr>
      <w:r>
        <w:rPr>
          <w:b/>
          <w:bCs/>
        </w:rPr>
        <w:t xml:space="preserve">Random seed</w:t>
      </w:r>
      <w:r>
        <w:t xml:space="preserve">: 42</w:t>
      </w:r>
    </w:p>
    <w:p>
      <w:pPr>
        <w:pStyle w:val="Compact"/>
        <w:numPr>
          <w:ilvl w:val="0"/>
          <w:numId w:val="100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8"/>
    <w:bookmarkStart w:id="19"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06"/>
        </w:numPr>
      </w:pPr>
      <w:r>
        <w:rPr>
          <w:b/>
          <w:bCs/>
        </w:rPr>
        <w:t xml:space="preserve">Baseline weeks</w:t>
      </w:r>
      <w:r>
        <w:t xml:space="preserve">: [2, 3, 4, 5, 6, 7, 8]</w:t>
      </w:r>
    </w:p>
    <w:p>
      <w:pPr>
        <w:pStyle w:val="Compact"/>
        <w:numPr>
          <w:ilvl w:val="0"/>
          <w:numId w:val="1006"/>
        </w:numPr>
      </w:pPr>
      <w:r>
        <w:rPr>
          <w:b/>
          <w:bCs/>
        </w:rPr>
        <w:t xml:space="preserve">Quiet-start offsets</w:t>
      </w:r>
      <w:r>
        <w:t xml:space="preserve">: [-12, -8, -4, 0, +4, +8, +12] weeks from 2022-24</w:t>
      </w:r>
    </w:p>
    <w:p>
      <w:pPr>
        <w:pStyle w:val="Compact"/>
        <w:numPr>
          <w:ilvl w:val="0"/>
          <w:numId w:val="1006"/>
        </w:numPr>
      </w:pPr>
      <w:r>
        <w:rPr>
          <w:b/>
          <w:bCs/>
        </w:rPr>
        <w:t xml:space="preserve">Quiet-window end</w:t>
      </w:r>
      <w:r>
        <w:t xml:space="preserve">: Fixed at 2024-16</w:t>
      </w:r>
    </w:p>
    <w:p>
      <w:pPr>
        <w:pStyle w:val="Compact"/>
        <w:numPr>
          <w:ilvl w:val="0"/>
          <w:numId w:val="1006"/>
        </w:numPr>
      </w:pPr>
      <w:r>
        <w:rPr>
          <w:b/>
          <w:bCs/>
        </w:rPr>
        <w:t xml:space="preserve">Dose pairs</w:t>
      </w:r>
      <w:r>
        <w:t xml:space="preserve">: 1 vs 0, 2 vs 0, 2 vs 1</w:t>
      </w:r>
    </w:p>
    <w:p>
      <w:pPr>
        <w:pStyle w:val="Compact"/>
        <w:numPr>
          <w:ilvl w:val="0"/>
          <w:numId w:val="1006"/>
        </w:numPr>
      </w:pPr>
      <w:r>
        <w:rPr>
          <w:b/>
          <w:bCs/>
        </w:rPr>
        <w:t xml:space="preserve">Cohorts</w:t>
      </w:r>
      <w:r>
        <w:t xml:space="preserve">: 2021_24</w:t>
      </w:r>
    </w:p>
    <w:p>
      <w:pPr>
        <w:pStyle w:val="FirstParagraph"/>
      </w:pPr>
      <w:r>
        <w:t xml:space="preserve">Output grids show KCOR(t) values for each parameter combination.</w:t>
      </w:r>
    </w:p>
    <w:bookmarkEnd w:id="19"/>
    <w:bookmarkStart w:id="20"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07"/>
        </w:numPr>
      </w:pPr>
      <w:r>
        <w:rPr>
          <w:b/>
          <w:bCs/>
        </w:rPr>
        <w:t xml:space="preserve">Mid-sampled cohort</w:t>
      </w:r>
      <w:r>
        <w:t xml:space="preserve">: frailty restricted to central quantiles (e.g., 25th–75th percentile) and renormalized to mean 1.</w:t>
      </w:r>
    </w:p>
    <w:p>
      <w:pPr>
        <w:pStyle w:val="Compact"/>
        <w:numPr>
          <w:ilvl w:val="0"/>
          <w:numId w:val="100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0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08"/>
        </w:numPr>
      </w:pPr>
      <w:r>
        <w:rPr>
          <w:b/>
          <w:bCs/>
        </w:rPr>
        <w:t xml:space="preserve">Base frailty distribution</w:t>
      </w:r>
      <w:r>
        <w:t xml:space="preserve">: Log-normal with mean 1, variance 0.5</w:t>
      </w:r>
    </w:p>
    <w:p>
      <w:pPr>
        <w:pStyle w:val="Compact"/>
        <w:numPr>
          <w:ilvl w:val="0"/>
          <w:numId w:val="1008"/>
        </w:numPr>
      </w:pPr>
      <w:r>
        <w:rPr>
          <w:b/>
          <w:bCs/>
        </w:rPr>
        <w:t xml:space="preserve">Mid-quantile cohort</w:t>
      </w:r>
      <w:r>
        <w:t xml:space="preserve">: 25th–75th percentile</w:t>
      </w:r>
    </w:p>
    <w:p>
      <w:pPr>
        <w:pStyle w:val="Compact"/>
        <w:numPr>
          <w:ilvl w:val="0"/>
          <w:numId w:val="1008"/>
        </w:numPr>
      </w:pPr>
      <w:r>
        <w:rPr>
          <w:b/>
          <w:bCs/>
        </w:rPr>
        <w:t xml:space="preserve">Tail-mixture cohort</w:t>
      </w:r>
      <w:r>
        <w:t xml:space="preserve">: [0–15th] + [85th–100th] percentiles, equal weights</w:t>
      </w:r>
    </w:p>
    <w:p>
      <w:pPr>
        <w:pStyle w:val="Compact"/>
        <w:numPr>
          <w:ilvl w:val="0"/>
          <w:numId w:val="1008"/>
        </w:numPr>
      </w:pPr>
      <w:r>
        <w:rPr>
          <w:b/>
          <w:bCs/>
        </w:rPr>
        <w:t xml:space="preserve">Baseline hazard</w:t>
      </w:r>
      <w:r>
        <w:t xml:space="preserve">: 0.002 per week (constant)</w:t>
      </w:r>
    </w:p>
    <w:p>
      <w:pPr>
        <w:pStyle w:val="Compact"/>
        <w:numPr>
          <w:ilvl w:val="0"/>
          <w:numId w:val="100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08"/>
        </w:numPr>
      </w:pPr>
      <w:r>
        <w:rPr>
          <w:b/>
          <w:bCs/>
        </w:rPr>
        <w:t xml:space="preserve">Effect window</w:t>
      </w:r>
      <w:r>
        <w:t xml:space="preserve">: weeks 20–80</w:t>
      </w:r>
    </w:p>
    <w:p>
      <w:pPr>
        <w:pStyle w:val="Compact"/>
        <w:numPr>
          <w:ilvl w:val="0"/>
          <w:numId w:val="1008"/>
        </w:numPr>
      </w:pPr>
      <w:r>
        <w:rPr>
          <w:b/>
          <w:bCs/>
        </w:rPr>
        <w:t xml:space="preserve">Random seed</w:t>
      </w:r>
      <w:r>
        <w:t xml:space="preserve">: 42</w:t>
      </w:r>
    </w:p>
    <w:bookmarkEnd w:id="20"/>
    <w:bookmarkStart w:id="27"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1"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r>
            <m:t>  </m:t>
          </m:r>
          <m:r>
            <m:rPr>
              <m:nor/>
              <m:sty m:val="p"/>
            </m:rPr>
            <m:t>(B.1)</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1"/>
    <w:bookmarkStart w:id="22" w:name="frailty-structure"/>
    <w:p>
      <w:pPr>
        <w:pStyle w:val="Heading5"/>
      </w:pPr>
      <w:r>
        <w:t xml:space="preserve">Frailty structure</w:t>
      </w:r>
    </w:p>
    <w:p>
      <w:pPr>
        <w:pStyle w:val="Compact"/>
        <w:numPr>
          <w:ilvl w:val="0"/>
          <w:numId w:val="100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0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2"/>
    <w:bookmarkStart w:id="23"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10"/>
        </w:numPr>
      </w:pPr>
      <w:r>
        <w:t xml:space="preserve">Step change (constant multiplicative factor),</w:t>
      </w:r>
    </w:p>
    <w:p>
      <w:pPr>
        <w:pStyle w:val="Compact"/>
        <w:numPr>
          <w:ilvl w:val="0"/>
          <w:numId w:val="1010"/>
        </w:numPr>
      </w:pPr>
      <w:r>
        <w:t xml:space="preserve">Linear ramp,</w:t>
      </w:r>
    </w:p>
    <w:p>
      <w:pPr>
        <w:pStyle w:val="Compact"/>
        <w:numPr>
          <w:ilvl w:val="0"/>
          <w:numId w:val="101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3"/>
    <w:bookmarkStart w:id="24"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4"/>
    <w:bookmarkStart w:id="25"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11"/>
        </w:numPr>
      </w:pPr>
      <w:r>
        <w:t xml:space="preserve">KCOR(t) remains approximately flat and near unity during the quiet window,</w:t>
      </w:r>
    </w:p>
    <w:p>
      <w:pPr>
        <w:pStyle w:val="Compact"/>
        <w:numPr>
          <w:ilvl w:val="0"/>
          <w:numId w:val="1011"/>
        </w:numPr>
      </w:pPr>
      <w:r>
        <w:t xml:space="preserve">KCOR(t) deviates in the correct direction and magnitude during the treatment window,</w:t>
      </w:r>
    </w:p>
    <w:p>
      <w:pPr>
        <w:pStyle w:val="Compact"/>
        <w:numPr>
          <w:ilvl w:val="0"/>
          <w:numId w:val="101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5"/>
    <w:bookmarkStart w:id="26"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6"/>
    <w:bookmarkEnd w:id="27"/>
    <w:bookmarkEnd w:id="28"/>
    <w:bookmarkStart w:id="43" w:name="X3fb27f9d14d988b0afc4c757bd6d2a45d2ae0b5"/>
    <w:p>
      <w:pPr>
        <w:pStyle w:val="Heading3"/>
      </w:pPr>
      <w:r>
        <w:t xml:space="preserve">Appendix C. Additional figures and diagnostics</w:t>
      </w:r>
    </w:p>
    <w:bookmarkStart w:id="29"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1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1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1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9"/>
    <w:bookmarkStart w:id="30"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t>  </m:t>
          </m:r>
          <m:r>
            <m:rPr>
              <m:nor/>
              <m:sty m:val="p"/>
            </m:rPr>
            <m:t>(C.1)</m:t>
          </m:r>
        </m:oMath>
      </m:oMathPara>
    </w:p>
    <w:p>
      <w:pPr>
        <w:pStyle w:val="Compact"/>
        <w:numPr>
          <w:ilvl w:val="0"/>
          <w:numId w:val="101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13"/>
        </w:numPr>
      </w:pPr>
      <w:r>
        <w:rPr>
          <w:b/>
          <w:bCs/>
        </w:rPr>
        <w:t xml:space="preserve">Outliers</w:t>
      </w:r>
      <w:r>
        <w:t xml:space="preserve">: Individual weeks with large residuals may indicate data quality issues or external shocks.</w:t>
      </w:r>
    </w:p>
    <w:p>
      <w:pPr>
        <w:pStyle w:val="Compact"/>
        <w:numPr>
          <w:ilvl w:val="0"/>
          <w:numId w:val="1013"/>
        </w:numPr>
      </w:pPr>
      <w:r>
        <w:rPr>
          <w:b/>
          <w:bCs/>
        </w:rPr>
        <w:t xml:space="preserve">Autocorrelation</w:t>
      </w:r>
      <w:r>
        <w:t xml:space="preserve">: Strong autocorrelation in residuals suggests the model is missing time-varying structure.</w:t>
      </w:r>
    </w:p>
    <w:bookmarkEnd w:id="30"/>
    <w:bookmarkStart w:id="31"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14"/>
        </w:numPr>
      </w:pPr>
      <w:r>
        <w:rPr>
          <w:b/>
          <w:bCs/>
        </w:rPr>
        <w:t xml:space="preserve">Quiet-window perturbation</w:t>
      </w:r>
      <w:r>
        <w:t xml:space="preserve">: Shift the quiet-window start/end by ±4 weeks and re-fit. Stable parameters should vary by &lt; 10%.</w:t>
      </w:r>
    </w:p>
    <w:p>
      <w:pPr>
        <w:pStyle w:val="Compact"/>
        <w:numPr>
          <w:ilvl w:val="0"/>
          <w:numId w:val="1014"/>
        </w:numPr>
      </w:pPr>
      <w:r>
        <w:rPr>
          <w:b/>
          <w:bCs/>
        </w:rPr>
        <w:t xml:space="preserve">Skip-weeks sensitivity</w:t>
      </w:r>
      <w:r>
        <w:t xml:space="preserve">: Vary SKIP_WEEKS from 0 to 8 and verify KCOR(t) trajectories remain qualitatively similar.</w:t>
      </w:r>
    </w:p>
    <w:p>
      <w:pPr>
        <w:pStyle w:val="Compact"/>
        <w:numPr>
          <w:ilvl w:val="0"/>
          <w:numId w:val="101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31"/>
    <w:bookmarkStart w:id="32"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15"/>
        </w:numPr>
      </w:pPr>
      <w:r>
        <w:t xml:space="preserve">Avoid major epidemic waves or external mortality shocks</w:t>
      </w:r>
    </w:p>
    <w:p>
      <w:pPr>
        <w:pStyle w:val="Compact"/>
        <w:numPr>
          <w:ilvl w:val="0"/>
          <w:numId w:val="1015"/>
        </w:numPr>
      </w:pPr>
      <w:r>
        <w:t xml:space="preserve">Contain sufficient event counts for stable estimation</w:t>
      </w:r>
    </w:p>
    <w:p>
      <w:pPr>
        <w:pStyle w:val="Compact"/>
        <w:numPr>
          <w:ilvl w:val="0"/>
          <w:numId w:val="101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32"/>
    <w:bookmarkStart w:id="42" w:name="c.5-robustness-to-age-stratification"/>
    <w:p>
      <w:pPr>
        <w:pStyle w:val="Heading4"/>
      </w:pPr>
      <w:r>
        <w:t xml:space="preserve">C.5 Robustness to age stratification</w:t>
      </w:r>
    </w:p>
    <w:p>
      <w:pPr>
        <w:pStyle w:val="CaptionedFigure"/>
      </w:pPr>
      <w:r>
        <w:drawing>
          <wp:inline>
            <wp:extent cx="5334000" cy="3078759"/>
            <wp:effectExtent b="0" l="0" r="0" t="0"/>
            <wp:docPr descr="Figure S1.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4" name="Picture"/>
            <a:graphic>
              <a:graphicData uri="http://schemas.openxmlformats.org/drawingml/2006/picture">
                <pic:pic>
                  <pic:nvPicPr>
                    <pic:cNvPr descr="figures/supplement/kcor_realdata_yob1930_enroll2022w26_eval2023.png" id="35" name="Picture"/>
                    <pic:cNvPicPr>
                      <a:picLocks noChangeArrowheads="1" noChangeAspect="1"/>
                    </pic:cNvPicPr>
                  </pic:nvPicPr>
                  <pic:blipFill>
                    <a:blip r:embed="rId3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S1.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S2.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7" name="Picture"/>
            <a:graphic>
              <a:graphicData uri="http://schemas.openxmlformats.org/drawingml/2006/picture">
                <pic:pic>
                  <pic:nvPicPr>
                    <pic:cNvPr descr="figures/supplement/kcor_realdata_yob1940_enroll2022w26_eval2023.png" id="38" name="Picture"/>
                    <pic:cNvPicPr>
                      <a:picLocks noChangeArrowheads="1" noChangeAspect="1"/>
                    </pic:cNvPicPr>
                  </pic:nvPicPr>
                  <pic:blipFill>
                    <a:blip r:embed="rId3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S2.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S3.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40" name="Picture"/>
            <a:graphic>
              <a:graphicData uri="http://schemas.openxmlformats.org/drawingml/2006/picture">
                <pic:pic>
                  <pic:nvPicPr>
                    <pic:cNvPr descr="figures/supplement/kcor_realdata_yob1950_enroll2022w26_eval2023.png" id="41" name="Picture"/>
                    <pic:cNvPicPr>
                      <a:picLocks noChangeArrowheads="1" noChangeAspect="1"/>
                    </pic:cNvPicPr>
                  </pic:nvPicPr>
                  <pic:blipFill>
                    <a:blip r:embed="rId39"/>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S3.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2"/>
    <w:bookmarkEnd w:id="43"/>
    <w:bookmarkStart w:id="50"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44"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44"/>
    <w:bookmarkStart w:id="45"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(C.2)</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p>
      <w:pPr>
        <w:pStyle w:val="BodyText"/>
      </w:pPr>
      <w:r>
        <w:t xml:space="preserve">PLACEHOLDER See Table S2.</w:t>
      </w:r>
    </w:p>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r>
            <m:rPr>
              <m:sty m:val="p"/>
            </m:rPr>
            <m:t>.</m:t>
          </m:r>
          <m:r>
            <m:t>  </m:t>
          </m:r>
          <m:r>
            <m:rPr>
              <m:nor/>
              <m:sty m:val="p"/>
            </m:rPr>
            <m:t>(C.3)</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(C.4)</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S1 demonstrates selection-induced heterogeneity, unadjusted cumulative outcome contrasts are expected to conflate depletion effects with any true treatment differences; see Table S3 for raw cumulative hazards reported as a pre-normalization diagnostic. KCOR normalization removes the depletion component, enabling interpretable comparison of the remaining differences.</w:t>
      </w:r>
    </w:p>
    <w:p>
      <w:pPr>
        <w:pStyle w:val="BodyText"/>
      </w:pPr>
      <w:r>
        <w:t xml:space="preserve">These raw contrasts reflect both selection and depletion effects and are not interpreted causally.</w:t>
      </w:r>
    </w:p>
    <w:bookmarkEnd w:id="45"/>
    <w:bookmarkStart w:id="49"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S4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S1–S3.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p>
      <w:pPr>
        <w:pStyle w:val="CaptionedFigure"/>
      </w:pPr>
      <w:r>
        <w:drawing>
          <wp:inline>
            <wp:extent cx="5334000" cy="3078759"/>
            <wp:effectExtent b="0" l="0" r="0" t="0"/>
            <wp:docPr descr="Figure S4.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47" name="Picture"/>
            <a:graphic>
              <a:graphicData uri="http://schemas.openxmlformats.org/drawingml/2006/picture">
                <pic:pic>
                  <pic:nvPicPr>
                    <pic:cNvPr descr="figures/kcor_realdata_allages_enroll2022w26_eval2023.png" id="48" name="Picture"/>
                    <pic:cNvPicPr>
                      <a:picLocks noChangeArrowheads="1" noChangeAspect="1"/>
                    </pic:cNvPicPr>
                  </pic:nvPicPr>
                  <pic:blipFill>
                    <a:blip r:embed="rId4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S4.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49"/>
    <w:bookmarkEnd w:id="50"/>
    <w:bookmarkStart w:id="59"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51"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16"/>
        </w:numPr>
      </w:pPr>
      <w:r>
        <w:t xml:space="preserve">Inconsistencies in cohort risk sets (e.g., unexplained increases in at-risk counts).</w:t>
      </w:r>
    </w:p>
    <w:p>
      <w:pPr>
        <w:pStyle w:val="Compact"/>
        <w:numPr>
          <w:ilvl w:val="0"/>
          <w:numId w:val="1016"/>
        </w:numPr>
      </w:pPr>
      <w:r>
        <w:t xml:space="preserve">Early-time hazard suppression or inflation inconsistent with selection or depletion geometry.</w:t>
      </w:r>
    </w:p>
    <w:p>
      <w:pPr>
        <w:pStyle w:val="Compact"/>
        <w:numPr>
          <w:ilvl w:val="0"/>
          <w:numId w:val="101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51"/>
    <w:bookmarkStart w:id="52"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17"/>
        </w:numPr>
      </w:pPr>
      <w:r>
        <w:t xml:space="preserve">Calendar-time hazard spikes or drops that appear in only one cohort.</w:t>
      </w:r>
    </w:p>
    <w:p>
      <w:pPr>
        <w:pStyle w:val="Compact"/>
        <w:numPr>
          <w:ilvl w:val="0"/>
          <w:numId w:val="1017"/>
        </w:numPr>
      </w:pPr>
      <w:r>
        <w:t xml:space="preserve">Misalignment of major mortality shocks (e.g., epidemic waves) across cohorts.</w:t>
      </w:r>
    </w:p>
    <w:p>
      <w:pPr>
        <w:pStyle w:val="Compact"/>
        <w:numPr>
          <w:ilvl w:val="0"/>
          <w:numId w:val="101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52"/>
    <w:bookmarkStart w:id="53"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18"/>
        </w:numPr>
      </w:pPr>
      <w:r>
        <w:t xml:space="preserve">Strongly structured residuals in cumulative-hazard space inconsistent with depletion.</w:t>
      </w:r>
    </w:p>
    <w:p>
      <w:pPr>
        <w:pStyle w:val="Compact"/>
        <w:numPr>
          <w:ilvl w:val="0"/>
          <w:numId w:val="1018"/>
        </w:numPr>
      </w:pPr>
      <w:r>
        <w:t xml:space="preserve">Instability of fitted frailty parameters not attributable to window placement.</w:t>
      </w:r>
    </w:p>
    <w:p>
      <w:pPr>
        <w:pStyle w:val="Compact"/>
        <w:numPr>
          <w:ilvl w:val="0"/>
          <w:numId w:val="101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53"/>
    <w:bookmarkStart w:id="54"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19"/>
        </w:numPr>
      </w:pPr>
      <w:r>
        <w:t xml:space="preserve">Poor fit of the gamma-frailty cumulative-hazard model during the quiet window.</w:t>
      </w:r>
    </w:p>
    <w:p>
      <w:pPr>
        <w:pStyle w:val="Compact"/>
        <w:numPr>
          <w:ilvl w:val="0"/>
          <w:numId w:val="1019"/>
        </w:numPr>
      </w:pPr>
      <w:r>
        <w:t xml:space="preserve">Systematic residual curvature after frailty normalization.</w:t>
      </w:r>
    </w:p>
    <w:p>
      <w:pPr>
        <w:pStyle w:val="Compact"/>
        <w:numPr>
          <w:ilvl w:val="0"/>
          <w:numId w:val="101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54"/>
    <w:bookmarkStart w:id="55"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20"/>
        </w:numPr>
      </w:pPr>
      <w:r>
        <w:t xml:space="preserve">Failure of KCOR(t) trajectories to stabilize or asymptote following frailty normalization.</w:t>
      </w:r>
    </w:p>
    <w:p>
      <w:pPr>
        <w:pStyle w:val="Compact"/>
        <w:numPr>
          <w:ilvl w:val="0"/>
          <w:numId w:val="1020"/>
        </w:numPr>
      </w:pPr>
      <w:r>
        <w:t xml:space="preserve">Persistent nonzero slope in KCOR(t), indicating residual curvature after normalization.</w:t>
      </w:r>
    </w:p>
    <w:p>
      <w:pPr>
        <w:pStyle w:val="Compact"/>
        <w:numPr>
          <w:ilvl w:val="0"/>
          <w:numId w:val="1020"/>
        </w:numPr>
      </w:pPr>
      <w:r>
        <w:t xml:space="preserve">Instability of fitted frailty parameters (</w:t>
      </w:r>
      <m:oMath>
        <m:r>
          <m:t>θ</m:t>
        </m:r>
      </m:oMath>
      <w:r>
        <w:t xml:space="preserve">) under small perturbations of quiet-window boundaries.</w:t>
      </w:r>
    </w:p>
    <w:p>
      <w:pPr>
        <w:pStyle w:val="Compact"/>
        <w:numPr>
          <w:ilvl w:val="0"/>
          <w:numId w:val="1020"/>
        </w:numPr>
      </w:pPr>
      <w:r>
        <w:t xml:space="preserve">Failure of depletion-neutralized cumulative hazards to become approximately linear during the quiet window.</w:t>
      </w:r>
    </w:p>
    <w:p>
      <w:pPr>
        <w:pStyle w:val="Compact"/>
        <w:numPr>
          <w:ilvl w:val="0"/>
          <w:numId w:val="102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55"/>
    <w:bookmarkStart w:id="56"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56"/>
    <w:bookmarkStart w:id="57"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57"/>
    <w:bookmarkStart w:id="58"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58"/>
    <w:bookmarkEnd w:id="59"/>
    <w:bookmarkEnd w:id="60"/>
    <w:bookmarkStart w:id="61" w:name="supplementary-tables"/>
    <w:p>
      <w:pPr>
        <w:pStyle w:val="Heading2"/>
      </w:pPr>
      <w:r>
        <w:t xml:space="preserve">Supplementary Tables</w:t>
      </w:r>
    </w:p>
    <w:p>
      <w:pPr>
        <w:pStyle w:val="TableCaption"/>
      </w:pPr>
      <w:r>
        <w:t xml:space="preserve">Table S1.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S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S3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TableCaption"/>
      </w:pPr>
      <w:r>
        <w:t xml:space="preserve">Table S2.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S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
      <w:pPr>
        <w:pStyle w:val="TableCaption"/>
      </w:pPr>
      <w:r>
        <w:t xml:space="preserve">Table S3.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S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2026-01-08T07:03:15Z</dcterms:created>
  <dcterms:modified xsi:type="dcterms:W3CDTF">2026-01-08T07:03:15Z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main,frontmatter</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