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62.png" ContentType="image/png"/>
  <Override PartName="/word/media/rId66.png" ContentType="image/png"/>
  <Override PartName="/word/media/rId56.png" ContentType="image/png"/>
  <Override PartName="/word/media/rId74.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X7e352faca4f4abc41f11b7392747c843df7c7d0"/>
    <w:p>
      <w:pPr>
        <w:pStyle w:val="Heading1"/>
      </w:pPr>
      <w:r>
        <w:t xml:space="preserve">KCOR: Depletion-Neutralized Cohort Comparison via Gamma-Frailty Normalization Under Selection-Induced Hazard Curvature</w:t>
      </w:r>
    </w:p>
    <w:bookmarkStart w:id="9" w:name="X4835020d385acbc75dd50aaa05eda5f3dd08f94"/>
    <w:p>
      <w:pPr>
        <w:pStyle w:val="Heading2"/>
      </w:pPr>
      <w:r>
        <w:t xml:space="preserve">Manuscript metadata (for journal submission)</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Authors</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4,373</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p>
      <w:r>
        <w:pict>
          <v:rect style="width:0;height:1.5pt" o:hralign="center" o:hrstd="t" o:hr="t"/>
        </w:pic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In particular, selective uptake can induce systematic differences in mortality curvature—differences in the time-evolution of cohort hazards driven by frailty heterogeneity and depletion of susceptibles—that violate the assumptions of standard epidemiologic tools such as Cox proportional hazards models, age-standardized mortality rates, and inverse-probability weighting. We introduce</w:t>
      </w:r>
      <w:r>
        <w:t xml:space="preserve"> </w:t>
      </w:r>
      <w:r>
        <w:rPr>
          <w:b/>
          <w:bCs/>
        </w:rPr>
        <w:t xml:space="preserve">KCOR (Kirsch Cumulative Outcomes Ratio)</w:t>
      </w:r>
      <w:r>
        <w:t xml:space="preserve">, a method that neutralizes selection-induced curvature before cohort comparison by estimating and inverting a gamma-frailty mixture model in</w:t>
      </w:r>
      <w:r>
        <w:t xml:space="preserve"> </w:t>
      </w:r>
      <w:r>
        <w:rPr>
          <w:b/>
          <w:bCs/>
        </w:rPr>
        <w:t xml:space="preserve">cumulative-hazard space</w:t>
      </w:r>
      <w:r>
        <w:t xml:space="preserve">. KCOR v6 fits cohort-specific selection parameters during epidemiologically quiet periods and transforms observed cumulative hazards to depletion-neutralized baseline cumulative hazards, which are then compared cumulatively via ratios. We describe the KCOR framework, its mathematical foundation, and its validation using prespecified negative and positive control tests designed to stress selection-induced curvature. KCOR requires only event timing—dates of intervention (enrollment) and dates of death (with birth date or year needed only for age stratification)—making it applicable to minimal record-level mortality datasets. Empirically, when applied to vaccinated and unvaccinated cohorts, KCOR v6 consistently estimates negligible frailty variance (θ ≈ 0) for vaccinated cohorts, while estimating substantial frailty-driven depletion for unvaccinated cohorts, reflecting the asymmetric impact of healthy-vaccinee selection. After frailty neutralization, cumulative hazards are approximately linear, enabling direct cohort comparison free of selection-induced curvature. KCOR therefore enables interpretable cumulative cohort comparisons in settings where treated and untreated hazards are non-proportional because selection induces different depletion dynamics.</w:t>
      </w:r>
    </w:p>
    <w:p>
      <w:r>
        <w:pict>
          <v:rect style="width:0;height:1.5pt" o:hralign="center" o:hrstd="t" o:hr="t"/>
        </w:pict>
      </w:r>
    </w:p>
    <w:bookmarkEnd w:id="10"/>
    <w:bookmarkStart w:id="18" w:name="introduction"/>
    <w:p>
      <w:pPr>
        <w:pStyle w:val="Heading2"/>
      </w:pPr>
      <w:r>
        <w:t xml:space="preserve">1. Introduction</w:t>
      </w:r>
    </w:p>
    <w:bookmarkStart w:id="11"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1"/>
    <w:bookmarkStart w:id="12"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Although this manuscript is motivated in part by mortality analyses conducted during the COVID-19 vaccination period, the methodological problem addressed here is general. The COVID setting provides unusually clear examples of selection-induced non-proportional hazards—because uptake was voluntary, rapidly time-varying, and correlated with baseline health—making residual confounding easy to diagnose using control outcomes such as non-COVID mortality. However, KCOR is not specific to COVID, vaccination, or infectious disease. The estimator applies to any retrospective cohort comparison in which selection induces differential depletion dynamics that violate proportional hazards assumptions.</w:t>
      </w:r>
    </w:p>
    <w:bookmarkEnd w:id="12"/>
    <w:bookmarkStart w:id="16" w:name="X3f76dee37168b4797631ddc9e3d31862803de93"/>
    <w:p>
      <w:pPr>
        <w:pStyle w:val="Heading3"/>
      </w:pPr>
      <w:r>
        <w:t xml:space="preserve">1.3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3" w:name="Xbfb6a4beb5729d82767d37d57edb58ba18bba27"/>
    <w:p>
      <w:pPr>
        <w:pStyle w:val="Heading4"/>
      </w:pPr>
      <w:r>
        <w:t xml:space="preserve">1.3.1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1</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3"/>
    <w:bookmarkStart w:id="15" w:name="X3c4376cf0533c6140ceba8f12ccdbb5b9c9efc8"/>
    <w:p>
      <w:pPr>
        <w:pStyle w:val="Heading4"/>
      </w:pPr>
      <w:r>
        <w:t xml:space="preserve">1.3.2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2</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w:t>
      </w:r>
    </w:p>
    <w:bookmarkStart w:id="14"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1</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2</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4"/>
    <w:bookmarkEnd w:id="15"/>
    <w:bookmarkEnd w:id="16"/>
    <w:bookmarkStart w:id="17" w:name="contribution-of-this-work"/>
    <w:p>
      <w:pPr>
        <w:pStyle w:val="Heading3"/>
      </w:pPr>
      <w:r>
        <w:t xml:space="preserve">1.4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p>
      <w:pPr>
        <w:pStyle w:val="BodyText"/>
      </w:pPr>
      <w:r>
        <w:t xml:space="preserve">This manuscript is</w:t>
      </w:r>
      <w:r>
        <w:t xml:space="preserve"> </w:t>
      </w:r>
      <w:r>
        <w:rPr>
          <w:b/>
          <w:bCs/>
        </w:rPr>
        <w:t xml:space="preserve">methods-only</w:t>
      </w:r>
      <w:r>
        <w:t xml:space="preserve">:</w:t>
      </w:r>
    </w:p>
    <w:p>
      <w:pPr>
        <w:pStyle w:val="Compact"/>
        <w:numPr>
          <w:ilvl w:val="0"/>
          <w:numId w:val="1003"/>
        </w:numPr>
      </w:pPr>
      <w:r>
        <w:t xml:space="preserve">We present the estimator, model assumptions, and uncertainty quantification.</w:t>
      </w:r>
    </w:p>
    <w:p>
      <w:pPr>
        <w:pStyle w:val="Compact"/>
        <w:numPr>
          <w:ilvl w:val="0"/>
          <w:numId w:val="1003"/>
        </w:numPr>
      </w:pPr>
      <w:r>
        <w:t xml:space="preserve">We validate the method using prespecified negative and positive controls designed to stress selection-induced curvature.</w:t>
      </w:r>
    </w:p>
    <w:p>
      <w:pPr>
        <w:pStyle w:val="Compact"/>
        <w:numPr>
          <w:ilvl w:val="0"/>
          <w:numId w:val="1003"/>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p>
      <w:r>
        <w:pict>
          <v:rect style="width:0;height:1.5pt" o:hralign="center" o:hrstd="t" o:hr="t"/>
        </w:pict>
      </w:r>
    </w:p>
    <w:bookmarkEnd w:id="17"/>
    <w:bookmarkEnd w:id="18"/>
    <w:bookmarkStart w:id="54" w:name="methods"/>
    <w:p>
      <w:pPr>
        <w:pStyle w:val="Heading2"/>
      </w:pPr>
      <w:r>
        <w:t xml:space="preserve">2. Methods</w:t>
      </w:r>
    </w:p>
    <w:bookmarkStart w:id="19" w:name="tbl:notation"/>
    <w:p>
      <w:pPr>
        <w:pStyle w:val="TableCaption"/>
      </w:pPr>
      <w:r>
        <w:t xml:space="preserve">Table 2: Notation used throughout the Methods section. θ_d denotes the cohort-specific depletion (frailty variance) parameter governing curvature in the observed cumulative hazard.</w:t>
      </w:r>
    </w:p>
    <w:tbl>
      <w:tblPr>
        <w:tblStyle w:val="Table"/>
        <w:tblW w:type="pct" w:w="5000"/>
        <w:tblLayout w:type="fixed"/>
        <w:tblLook w:firstRow="1" w:lastRow="0" w:firstColumn="0" w:lastColumn="0" w:noHBand="0" w:noVBand="0" w:val="0020"/>
        <w:tblCaption w:val="Table 2: Notation used throughout the Methods section. θ_d denotes the cohort-specific depletion (frailty variance) parameter governing curvature in the observed cumulative hazard."/>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dose/exposure)</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19"/>
    <w:bookmarkStart w:id="20"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4"/>
        </w:numPr>
      </w:pPr>
      <w:r>
        <w:rPr>
          <w:b/>
          <w:bCs/>
        </w:rPr>
        <w:t xml:space="preserve">Level effects</w:t>
      </w:r>
      <w:r>
        <w:t xml:space="preserve">: multiplicative shifts in hazard that are constant over time.</w:t>
      </w:r>
    </w:p>
    <w:p>
      <w:pPr>
        <w:pStyle w:val="Compact"/>
        <w:numPr>
          <w:ilvl w:val="0"/>
          <w:numId w:val="1004"/>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bookmarkEnd w:id="20"/>
    <w:bookmarkStart w:id="22"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 date of death, with birth date or year included only if age stratification is performed.</w:t>
      </w:r>
    </w:p>
    <w:p>
      <w:pPr>
        <w:pStyle w:val="Compact"/>
        <w:numPr>
          <w:ilvl w:val="0"/>
          <w:numId w:val="1005"/>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05"/>
        </w:numPr>
      </w:pPr>
      <w:r>
        <w:t xml:space="preserve">No censoring or cohort switching is permitted in the primary estimand.</w:t>
      </w:r>
    </w:p>
    <w:p>
      <w:pPr>
        <w:pStyle w:val="Compact"/>
        <w:numPr>
          <w:ilvl w:val="0"/>
          <w:numId w:val="1005"/>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 “as-treated” formulations are treated as sensitivity analyses rather than primary estimands.</w:t>
      </w:r>
    </w:p>
    <w:bookmarkStart w:id="21"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06"/>
        </w:numPr>
      </w:pPr>
      <w:r>
        <w:t xml:space="preserve">Record-level data</w:t>
      </w:r>
      <w:r>
        <w:br/>
      </w:r>
    </w:p>
    <w:p>
      <w:pPr>
        <w:pStyle w:val="Compact"/>
        <w:numPr>
          <w:ilvl w:val="0"/>
          <w:numId w:val="1006"/>
        </w:numPr>
      </w:pPr>
      <w:r>
        <w:t xml:space="preserve">Aggregated outcome summary data</w:t>
      </w:r>
      <w:r>
        <w:br/>
      </w:r>
    </w:p>
    <w:p>
      <w:pPr>
        <w:pStyle w:val="Compact"/>
        <w:numPr>
          <w:ilvl w:val="0"/>
          <w:numId w:val="1006"/>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21"/>
    <w:bookmarkEnd w:id="22"/>
    <w:bookmarkStart w:id="25"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23"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23"/>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24"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24"/>
    </w:p>
    <w:bookmarkEnd w:id="25"/>
    <w:bookmarkStart w:id="38" w:name="Xe033a348c5bd6b05b57c8d9f7299f5850ccd667"/>
    <w:p>
      <w:pPr>
        <w:pStyle w:val="Heading3"/>
      </w:pPr>
      <w:r>
        <w:t xml:space="preserve">2.4 Selection model: gamma frailty and the cumulative-hazard identity</w:t>
      </w:r>
    </w:p>
    <w:bookmarkStart w:id="27"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26"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26"/>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3</w:t>
      </w:r>
      <w:r>
        <w:t xml:space="preserve">. In KCOR, gamma frailty is therefore a</w:t>
      </w:r>
      <w:r>
        <w:t xml:space="preserve"> </w:t>
      </w:r>
      <w:r>
        <w:rPr>
          <w:b/>
          <w:bCs/>
        </w:rPr>
        <w:t xml:space="preserve">depletion-neutralizing approximation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bookmarkEnd w:id="27"/>
    <w:bookmarkStart w:id="35"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28"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28"/>
    </w:p>
    <w:p>
      <w:pPr>
        <w:pStyle w:val="FirstParagraph"/>
      </w:pPr>
      <w:r>
        <w:t xml:space="preserve">Integrating over gamma frailty yields a closed-form relationship between the observed cohort cumulative hazard and the baseline cumulative hazard:</w:t>
      </w:r>
    </w:p>
    <w:p>
      <w:pPr>
        <w:pStyle w:val="BodyText"/>
      </w:pPr>
      <w:bookmarkStart w:id="29"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29"/>
    </w:p>
    <w:p>
      <w:pPr>
        <w:pStyle w:val="FirstParagraph"/>
      </w:pPr>
      <w:r>
        <w:t xml:space="preserve">This identity can be inverted exactly:</w:t>
      </w:r>
    </w:p>
    <w:p>
      <w:pPr>
        <w:pStyle w:val="BodyText"/>
      </w:pPr>
      <w:bookmarkStart w:id="30"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30"/>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w:t>
      </w:r>
    </w:p>
    <w:bookmarkStart w:id="34"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32" name="Picture"/>
            <a:graphic>
              <a:graphicData uri="http://schemas.openxmlformats.org/drawingml/2006/picture">
                <pic:pic>
                  <pic:nvPicPr>
                    <pic:cNvPr descr="figures/fig1_kcor_v6_schematic.png" id="33" name="Picture"/>
                    <pic:cNvPicPr>
                      <a:picLocks noChangeArrowheads="1" noChangeAspect="1"/>
                    </pic:cNvPicPr>
                  </pic:nvPicPr>
                  <pic:blipFill>
                    <a:blip r:embed="rId31"/>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34"/>
    <w:bookmarkEnd w:id="35"/>
    <w:bookmarkStart w:id="37"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36"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36"/>
    </w:p>
    <w:p>
      <w:pPr>
        <w:pStyle w:val="FirstParagraph"/>
      </w:pPr>
      <w:r>
        <w:t xml:space="preserve">This choice minimizes degrees of freedom and forces curvature during quiet periods to be explained by selection (frailty) rather than by an explicit time-varying baseline.</w:t>
      </w:r>
    </w:p>
    <w:bookmarkEnd w:id="37"/>
    <w:bookmarkEnd w:id="38"/>
    <w:bookmarkStart w:id="43"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39"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39"/>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to</w:t>
      </w:r>
      <w:r>
        <w:t xml:space="preserve"> </w:t>
      </w:r>
      <m:oMath>
        <m:sSub>
          <m:e>
            <m:acc>
              <m:accPr>
                <m:chr m:val="̂"/>
              </m:accPr>
              <m:e>
                <m:r>
                  <m:t>θ</m:t>
                </m:r>
              </m:e>
            </m:acc>
          </m:e>
          <m:sub>
            <m:r>
              <m:t>d</m:t>
            </m:r>
          </m:sub>
        </m:sSub>
        <m:r>
          <m:rPr>
            <m:sty m:val="p"/>
          </m:rPr>
          <m:t>≈</m:t>
        </m:r>
        <m:r>
          <m:t>0</m:t>
        </m:r>
      </m:oMath>
      <w:r>
        <w:t xml:space="preserve">, indicating minimal detectable depletion. This outcome is data-driven and reflects the absence of observable selection-induced curvature rather than a modeling assumption. When residual time-varying risk contaminates a nominally quiet window,</w:t>
      </w:r>
      <w:r>
        <w:t xml:space="preserve"> </w:t>
      </w:r>
      <m:oMath>
        <m:acc>
          <m:accPr>
            <m:chr m:val="̂"/>
          </m:accPr>
          <m:e>
            <m:r>
              <m:t>θ</m:t>
            </m:r>
          </m:e>
        </m:acc>
      </m:oMath>
      <w:r>
        <w:t xml:space="preserve"> </w:t>
      </w:r>
      <w:r>
        <w:t xml:space="preserve">estimates naturally shrink toward zero, signaling limited identifiability rather than inducing spurious correction.</w:t>
      </w:r>
    </w:p>
    <w:p>
      <w:pPr>
        <w:pStyle w:val="BodyText"/>
      </w:pPr>
      <w:r>
        <w:t xml:space="preserve">Parameters are estimated by constrained nonlinear least squares:</w:t>
      </w:r>
    </w:p>
    <w:p>
      <w:pPr>
        <w:pStyle w:val="BodyText"/>
      </w:pPr>
      <w:bookmarkStart w:id="40"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40"/>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42"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07"/>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07"/>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07"/>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41"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41"/>
    </w:p>
    <w:p>
      <w:pPr>
        <w:pStyle w:val="FirstParagraph"/>
      </w:pPr>
      <w:r>
        <w:t xml:space="preserve">This form provides a second-order accurate approximation to the continuous-time hazard while remaining numerically stable for small mortality-rate (MR) values.</w:t>
      </w:r>
    </w:p>
    <w:p>
      <w:pPr>
        <w:pStyle w:val="Compact"/>
        <w:numPr>
          <w:ilvl w:val="0"/>
          <w:numId w:val="1008"/>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08"/>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42"/>
    <w:bookmarkEnd w:id="43"/>
    <w:bookmarkStart w:id="46"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44"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44"/>
    </w:p>
    <w:p>
      <w:pPr>
        <w:pStyle w:val="FirstParagraph"/>
      </w:pPr>
      <w:r>
        <w:t xml:space="preserve">This normalization maps each cohort into a depletion-neutralized baseline-hazard space in which the contribution of gamma frailty parameters</w:t>
      </w:r>
      <w:r>
        <w:t xml:space="preserve"> </w:t>
      </w:r>
      <m:oMath>
        <m:r>
          <m:rPr>
            <m:sty m:val="p"/>
          </m:rPr>
          <m:t>(</m:t>
        </m:r>
        <m:sSub>
          <m:e>
            <m:r>
              <m:t>θ</m:t>
            </m:r>
          </m:e>
          <m:sub>
            <m:r>
              <m:t>d</m:t>
            </m:r>
          </m:sub>
        </m:sSub>
        <m:r>
          <m:rPr>
            <m:sty m:val="p"/>
          </m:rPr>
          <m:t>,</m:t>
        </m:r>
        <m:sSub>
          <m:e>
            <m:r>
              <m:t>k</m:t>
            </m:r>
          </m:e>
          <m:sub>
            <m:r>
              <m:t>d</m:t>
            </m:r>
          </m:sub>
        </m:sSub>
        <m:r>
          <m:rPr>
            <m:sty m:val="p"/>
          </m:rPr>
          <m:t>)</m:t>
        </m:r>
      </m:oMath>
      <w:r>
        <w:t xml:space="preserve"> </w:t>
      </w:r>
      <w:r>
        <w:t xml:space="preserve">to hazard curvature has been factored out.</w:t>
      </w:r>
      <w:r>
        <w:t xml:space="preserve"> </w:t>
      </w:r>
      <w:r>
        <w:rPr>
          <w:i/>
          <w:iCs/>
        </w:rPr>
        <w:t xml:space="preserve">(Conceptually, this places all cohorts into an equivalent θ-factored comparison space.)</w:t>
      </w:r>
      <w:r>
        <w:t xml:space="preserve"> </w:t>
      </w:r>
      <w:r>
        <w:t xml:space="preserve">In this space, cumulative hazards are directly comparable across cohorts, and remaining differences reflect real differences in baseline risk rather than selection-induced depletion.</w:t>
      </w:r>
    </w:p>
    <w:p>
      <w:pPr>
        <w:pStyle w:val="BodyText"/>
      </w:pPr>
      <w:r>
        <w:t xml:space="preserve">When</w:t>
      </w:r>
      <w:r>
        <w:t xml:space="preserve"> </w:t>
      </w:r>
      <m:oMath>
        <m:sSub>
          <m:e>
            <m:acc>
              <m:accPr>
                <m:chr m:val="̂"/>
              </m:accPr>
              <m:e>
                <m:r>
                  <m:t>θ</m:t>
                </m:r>
              </m:e>
            </m:acc>
          </m:e>
          <m:sub>
            <m:r>
              <m:t>d</m:t>
            </m:r>
          </m:sub>
        </m:sSub>
        <m:r>
          <m:rPr>
            <m:sty m:val="p"/>
          </m:rPr>
          <m:t>≈</m:t>
        </m:r>
        <m:r>
          <m:t>0</m:t>
        </m:r>
      </m:oMath>
      <w:r>
        <w:t xml:space="preserve">, this mapping leaves the observed cumulative hazard essentially unchanged, whereas cohorts with substantial depletion undergo a pronounced upward correction.</w:t>
      </w:r>
    </w:p>
    <w:p>
      <w:pPr>
        <w:pStyle w:val="BodyText"/>
      </w:pPr>
      <w:r>
        <w:t xml:space="preserve">An adjusted hazard may be recovered by differencing:</w:t>
      </w:r>
    </w:p>
    <w:p>
      <w:pPr>
        <w:pStyle w:val="BodyText"/>
      </w:pPr>
      <w:bookmarkStart w:id="45"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45"/>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bookmarkEnd w:id="46"/>
    <w:bookmarkStart w:id="48"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47"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47"/>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48"/>
    <w:bookmarkStart w:id="50"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49"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49"/>
    </w:p>
    <w:p>
      <w:pPr>
        <w:pStyle w:val="FirstParagraph"/>
      </w:pPr>
      <w:r>
        <w:t xml:space="preserve">This is a cumulative comparison in hazard space after removing cohort-specific selection-induced depletion dynamics estimated during quiet periods.</w:t>
      </w:r>
    </w:p>
    <w:bookmarkEnd w:id="50"/>
    <w:bookmarkStart w:id="51"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09"/>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09"/>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51"/>
    <w:bookmarkStart w:id="53" w:name="Xf552aaad3b83b889e2d08c64d65c17176bae771"/>
    <w:p>
      <w:pPr>
        <w:pStyle w:val="Heading3"/>
      </w:pPr>
      <w:r>
        <w:t xml:space="preserve">2.10 Algorithm summary and reproducibility checklist</w:t>
      </w:r>
    </w:p>
    <w:bookmarkStart w:id="52" w:name="tbl:KCOR_algorithm"/>
    <w:p>
      <w:pPr>
        <w:pStyle w:val="TableCaption"/>
      </w:pPr>
      <w:r>
        <w:t xml:space="preserve">Table 3: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3: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52"/>
    <w:p>
      <w:r>
        <w:pict>
          <v:rect style="width:0;height:1.5pt" o:hralign="center" o:hrstd="t" o:hr="t"/>
        </w:pict>
      </w:r>
    </w:p>
    <w:bookmarkEnd w:id="53"/>
    <w:bookmarkEnd w:id="54"/>
    <w:bookmarkStart w:id="85"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10"/>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10"/>
        </w:numPr>
      </w:pPr>
      <w:r>
        <w:rPr>
          <w:b/>
          <w:bCs/>
        </w:rPr>
        <w:t xml:space="preserve">Positive controls (detect injected effects):</w:t>
      </w:r>
      <w:r>
        <w:t xml:space="preserve"> </w:t>
      </w:r>
      <w:r>
        <w:t xml:space="preserve">when known harm/benefit is injected into otherwise-null data, KCOR reliably detects it.</w:t>
      </w:r>
    </w:p>
    <w:bookmarkStart w:id="55" w:name="X6d2c3df7c858147e92688cdd96b762d885ea8e2"/>
    <w:p>
      <w:pPr>
        <w:pStyle w:val="Heading3"/>
      </w:pPr>
      <w:r>
        <w:t xml:space="preserve">3.0 Asymmetric frailty correction and linearization of cumulative hazards</w:t>
      </w:r>
    </w:p>
    <w:p>
      <w:pPr>
        <w:pStyle w:val="FirstParagraph"/>
      </w:pPr>
      <w:r>
        <w:t xml:space="preserve">Across all examined age strata in the Czech Republic mortality dataset, fitted frailty parameters exhibit a pronounced asymmetry. Vaccinated cohorts consistently show negligible estimated frailty variance (</w:t>
      </w:r>
      <m:oMath>
        <m:acc>
          <m:accPr>
            <m:chr m:val="̂"/>
          </m:accPr>
          <m:e>
            <m:r>
              <m:t>θ</m:t>
            </m:r>
          </m:e>
        </m:acc>
        <m:r>
          <m:rPr>
            <m:sty m:val="p"/>
          </m:rPr>
          <m:t>≈</m:t>
        </m:r>
        <m:r>
          <m:t>0</m:t>
        </m:r>
      </m:oMath>
      <w:r>
        <w:t xml:space="preserve">), while the unvaccinated cohort exhibits substantial frailty-driven depletion. This asymmetric pattern is a quantitative fingerprint of healthy-vaccinee selection acting at cohort entry.</w:t>
      </w:r>
    </w:p>
    <w:p>
      <w:pPr>
        <w:pStyle w:val="BodyText"/>
      </w:pPr>
      <w:r>
        <w:t xml:space="preserve">As a consequence, KCOR normalization leaves vaccinated cumulative hazards nearly unchanged, while substantially increasing the depletion-neutralized cumulative hazard for the unvaccinated cohort. This pattern is visible directly in adjusted versus unadjusted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neutralization, the adjusted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are approximately linear in event time. Residual deviations from linearity reflect real time-varying risk—such as seasonality or epidemic waves—rather than selection-induced depletion. This linearization serves as an internal diagnostic indicating that frailty-driven curvature has been effectively removed.</w:t>
      </w:r>
    </w:p>
    <w:bookmarkEnd w:id="55"/>
    <w:bookmarkStart w:id="72" w:name="X250d2743dd947cd04209f9dc9cf02b545517230"/>
    <w:p>
      <w:pPr>
        <w:pStyle w:val="Heading3"/>
      </w:pPr>
      <w:r>
        <w:t xml:space="preserve">3.1 Negative controls: null under selection-induced curvature</w:t>
      </w:r>
    </w:p>
    <w:bookmarkStart w:id="61"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1"/>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1"/>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1"/>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60"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2"/>
        </w:numPr>
      </w:pPr>
      <w:r>
        <w:t xml:space="preserve">Time unit: weeks.</w:t>
      </w:r>
    </w:p>
    <w:p>
      <w:pPr>
        <w:pStyle w:val="Compact"/>
        <w:numPr>
          <w:ilvl w:val="0"/>
          <w:numId w:val="1012"/>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2"/>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2"/>
        </w:numPr>
      </w:pPr>
      <w:r>
        <w:t xml:space="preserve">Cohort B:</w:t>
      </w:r>
      <w:r>
        <w:t xml:space="preserve"> </w:t>
      </w:r>
      <m:oMath>
        <m:sSub>
          <m:e>
            <m:r>
              <m:t>θ</m:t>
            </m:r>
          </m:e>
          <m:sub>
            <m:r>
              <m:t>B</m:t>
            </m:r>
          </m:sub>
        </m:sSub>
        <m:r>
          <m:rPr>
            <m:sty m:val="p"/>
          </m:rPr>
          <m:t>&gt;</m:t>
        </m:r>
        <m:r>
          <m:t>0</m:t>
        </m:r>
      </m:oMath>
      <w:r>
        <w:t xml:space="preserve"> </w:t>
      </w:r>
      <w:r>
        <w:t xml:space="preserve">(weaker depletion).</w:t>
      </w:r>
    </w:p>
    <w:bookmarkStart w:id="59" w:name="fig:neg_control_synthetic"/>
    <w:p>
      <w:pPr>
        <w:pStyle w:val="CaptionedFigure"/>
      </w:pPr>
      <w:r>
        <w:drawing>
          <wp:inline>
            <wp:extent cx="5334000" cy="3852333"/>
            <wp:effectExtent b="0" l="0" r="0" t="0"/>
            <wp:docPr descr="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57" name="Picture"/>
            <a:graphic>
              <a:graphicData uri="http://schemas.openxmlformats.org/drawingml/2006/picture">
                <pic:pic>
                  <pic:nvPicPr>
                    <pic:cNvPr descr="figures/fig_neg_control_synthetic.png" id="58" name="Picture"/>
                    <pic:cNvPicPr>
                      <a:picLocks noChangeArrowheads="1" noChangeAspect="1"/>
                    </pic:cNvPicPr>
                  </pic:nvPicPr>
                  <pic:blipFill>
                    <a:blip r:embed="rId56"/>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59"/>
    <w:bookmarkEnd w:id="60"/>
    <w:bookmarkEnd w:id="61"/>
    <w:bookmarkStart w:id="71"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are consistent with the estimator neutralizing selection-induced depletion curvature without introducing spurious time trends or cumulative drift.</w:t>
      </w:r>
    </w:p>
    <w:p>
      <w:pPr>
        <w:pStyle w:val="BodyText"/>
      </w:pPr>
      <w:r>
        <w:t xml:space="preserve">For the empirical age-shift negative control (Figures 3–4), we use aggregated weekly cohort summaries derived from the Czech Republic administrative mortality and vaccination dataset and exported in KCOR_CMR format.</w:t>
      </w:r>
    </w:p>
    <w:p>
      <w:pPr>
        <w:pStyle w:val="BodyText"/>
      </w:pPr>
      <w:r>
        <w:t xml:space="preserve">Two snapshots illustrate that KCOR is near-flat even under 10–20 year age differences:</w:t>
      </w:r>
    </w:p>
    <w:bookmarkStart w:id="65" w:name="fig:neg_control_10yr"/>
    <w:p>
      <w:pPr>
        <w:pStyle w:val="CaptionedFigure"/>
      </w:pPr>
      <w:r>
        <w:drawing>
          <wp:inline>
            <wp:extent cx="5334000" cy="2773680"/>
            <wp:effectExtent b="0" l="0" r="0" t="0"/>
            <wp:docPr descr="Figure 3: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4." title="" id="63" name="Picture"/>
            <a:graphic>
              <a:graphicData uri="http://schemas.openxmlformats.org/drawingml/2006/picture">
                <pic:pic>
                  <pic:nvPicPr>
                    <pic:cNvPr descr="figures/fig2_neg_control_10yr_age_diff.png" id="64" name="Picture"/>
                    <pic:cNvPicPr>
                      <a:picLocks noChangeArrowheads="1" noChangeAspect="1"/>
                    </pic:cNvPicPr>
                  </pic:nvPicPr>
                  <pic:blipFill>
                    <a:blip r:embed="rId62"/>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3: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w:t>
      </w:r>
      <w:r>
        <w:rPr>
          <w:vertAlign w:val="superscript"/>
        </w:rPr>
        <w:t xml:space="preserve">4</w:t>
      </w:r>
      <w:r>
        <w:t xml:space="preserve">.</w:t>
      </w:r>
    </w:p>
    <w:bookmarkEnd w:id="65"/>
    <w:bookmarkStart w:id="69" w:name="fig:neg_control_20yr"/>
    <w:p>
      <w:pPr>
        <w:pStyle w:val="CaptionedFigure"/>
      </w:pPr>
      <w:r>
        <w:drawing>
          <wp:inline>
            <wp:extent cx="5334000" cy="2810466"/>
            <wp:effectExtent b="0" l="0" r="0" t="0"/>
            <wp:docPr descr="Figure 4: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 title="" id="67" name="Picture"/>
            <a:graphic>
              <a:graphicData uri="http://schemas.openxmlformats.org/drawingml/2006/picture">
                <pic:pic>
                  <pic:nvPicPr>
                    <pic:cNvPr descr="figures/fig3_neg_control_20yr_age_diff.png" id="68" name="Picture"/>
                    <pic:cNvPicPr>
                      <a:picLocks noChangeArrowheads="1" noChangeAspect="1"/>
                    </pic:cNvPicPr>
                  </pic:nvPicPr>
                  <pic:blipFill>
                    <a:blip r:embed="rId66"/>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4: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w:t>
      </w:r>
    </w:p>
    <w:bookmarkEnd w:id="69"/>
    <w:bookmarkStart w:id="70" w:name="tbl:neg_control_summary"/>
    <w:p>
      <w:pPr>
        <w:pStyle w:val="TableCaption"/>
      </w:pPr>
      <w:r>
        <w:t xml:space="preserve">Table 4: Example end-of-window KCOR 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4: Example end-of-window KCOR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70"/>
    <w:bookmarkEnd w:id="71"/>
    <w:bookmarkEnd w:id="72"/>
    <w:bookmarkStart w:id="79"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73"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73"/>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w:t>
      </w:r>
    </w:p>
    <w:bookmarkStart w:id="77" w:name="fig:pos_control_injected"/>
    <w:p>
      <w:pPr>
        <w:pStyle w:val="CaptionedFigure"/>
      </w:pPr>
      <w:r>
        <w:drawing>
          <wp:inline>
            <wp:extent cx="5334000" cy="4253184"/>
            <wp:effectExtent b="0" l="0" r="0" t="0"/>
            <wp:docPr descr="Figure 5: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 title="" id="75" name="Picture"/>
            <a:graphic>
              <a:graphicData uri="http://schemas.openxmlformats.org/drawingml/2006/picture">
                <pic:pic>
                  <pic:nvPicPr>
                    <pic:cNvPr descr="figures/fig_pos_control_injected.png" id="76" name="Picture"/>
                    <pic:cNvPicPr>
                      <a:picLocks noChangeArrowheads="1" noChangeAspect="1"/>
                    </pic:cNvPicPr>
                  </pic:nvPicPr>
                  <pic:blipFill>
                    <a:blip r:embed="rId74"/>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5: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w:t>
      </w:r>
    </w:p>
    <w:bookmarkEnd w:id="77"/>
    <w:bookmarkStart w:id="78" w:name="tbl:pos_control_summary"/>
    <w:p>
      <w:pPr>
        <w:pStyle w:val="TableCaption"/>
      </w:pPr>
      <w:r>
        <w:t xml:space="preserve">Table 5: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5: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78"/>
    <w:bookmarkEnd w:id="79"/>
    <w:bookmarkStart w:id="84"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3"/>
        </w:numPr>
      </w:pPr>
      <w:r>
        <w:t xml:space="preserve">Quiet-window selection (calendar ISO-week bounds)</w:t>
      </w:r>
    </w:p>
    <w:p>
      <w:pPr>
        <w:pStyle w:val="Compact"/>
        <w:numPr>
          <w:ilvl w:val="0"/>
          <w:numId w:val="1013"/>
        </w:numPr>
      </w:pPr>
      <w:r>
        <w:t xml:space="preserve">Stabilization skip (early-bin handling)</w:t>
      </w:r>
    </w:p>
    <w:p>
      <w:pPr>
        <w:pStyle w:val="Compact"/>
        <w:numPr>
          <w:ilvl w:val="0"/>
          <w:numId w:val="1013"/>
        </w:numPr>
      </w:pPr>
      <w:r>
        <w:t xml:space="preserve">Time-binning resolution</w:t>
      </w:r>
    </w:p>
    <w:p>
      <w:pPr>
        <w:pStyle w:val="Compact"/>
        <w:numPr>
          <w:ilvl w:val="0"/>
          <w:numId w:val="1013"/>
        </w:numPr>
      </w:pPr>
      <w:r>
        <w:t xml:space="preserve">Age stratification and/or stratified analyses where appropriate</w:t>
      </w:r>
    </w:p>
    <w:p>
      <w:pPr>
        <w:pStyle w:val="Compact"/>
        <w:numPr>
          <w:ilvl w:val="0"/>
          <w:numId w:val="1013"/>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bookmarkStart w:id="83" w:name="fig:sensitivity_overview"/>
    <w:p>
      <w:pPr>
        <w:pStyle w:val="CaptionedFigure"/>
      </w:pPr>
      <w:r>
        <w:drawing>
          <wp:inline>
            <wp:extent cx="5334000" cy="1571483"/>
            <wp:effectExtent b="0" l="0" r="0" t="0"/>
            <wp:docPr descr="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81" name="Picture"/>
            <a:graphic>
              <a:graphicData uri="http://schemas.openxmlformats.org/drawingml/2006/picture">
                <pic:pic>
                  <pic:nvPicPr>
                    <pic:cNvPr descr="figures/fig_sensitivity_overview.png" id="82" name="Picture"/>
                    <pic:cNvPicPr>
                      <a:picLocks noChangeArrowheads="1" noChangeAspect="1"/>
                    </pic:cNvPicPr>
                  </pic:nvPicPr>
                  <pic:blipFill>
                    <a:blip r:embed="rId80"/>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83"/>
    <w:p>
      <w:pPr>
        <w:pStyle w:val="BodyText"/>
      </w:pPr>
      <w:r>
        <w:t xml:space="preserve">Across all tested parameter ranges, KCOR values remained within approximately ±5% of unity, indicating stability under reasonable variations in fitting choices.</w:t>
      </w:r>
    </w:p>
    <w:p>
      <w:r>
        <w:pict>
          <v:rect style="width:0;height:1.5pt" o:hralign="center" o:hrstd="t" o:hr="t"/>
        </w:pict>
      </w:r>
    </w:p>
    <w:bookmarkEnd w:id="84"/>
    <w:bookmarkEnd w:id="85"/>
    <w:bookmarkStart w:id="89" w:name="discussion"/>
    <w:p>
      <w:pPr>
        <w:pStyle w:val="Heading2"/>
      </w:pPr>
      <w:r>
        <w:t xml:space="preserve">4. Discussion</w:t>
      </w:r>
    </w:p>
    <w:bookmarkStart w:id="86" w:name="what-kcor-estimates"/>
    <w:p>
      <w:pPr>
        <w:pStyle w:val="Heading3"/>
      </w:pPr>
      <w:r>
        <w:t xml:space="preserve">4.1 What KCOR estimates</w:t>
      </w:r>
    </w:p>
    <w:p>
      <w:pPr>
        <w:pStyle w:val="FirstParagraph"/>
      </w:pPr>
      <w:r>
        <w:t xml:space="preserve">KCOR is a</w:t>
      </w:r>
      <w:r>
        <w:t xml:space="preserve"> </w:t>
      </w:r>
      <w:r>
        <w:rPr>
          <w:b/>
          <w:bCs/>
        </w:rPr>
        <w:t xml:space="preserve">cumulative</w:t>
      </w:r>
      <w:r>
        <w:t xml:space="preserve"> </w:t>
      </w:r>
      <w:r>
        <w:t xml:space="preserve">comparison of depletion-neutralized cumulative hazards. It is designed for settings where selection induces non-proportional hazards such that conventional proportional-hazards estimators can be difficult to interpret.</w:t>
      </w:r>
    </w:p>
    <w:p>
      <w:pPr>
        <w:pStyle w:val="BodyText"/>
      </w:pPr>
      <w:r>
        <w:t xml:space="preserve">Under the working assumptions that:</w:t>
      </w:r>
    </w:p>
    <w:p>
      <w:pPr>
        <w:pStyle w:val="Compact"/>
        <w:numPr>
          <w:ilvl w:val="0"/>
          <w:numId w:val="1014"/>
        </w:numPr>
      </w:pPr>
      <w:r>
        <w:t xml:space="preserve">selection-induced depletion dynamics can be estimated during quiet periods using a gamma-frailty mixture model, and</w:t>
      </w:r>
    </w:p>
    <w:p>
      <w:pPr>
        <w:pStyle w:val="Compact"/>
        <w:numPr>
          <w:ilvl w:val="0"/>
          <w:numId w:val="1014"/>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frailty-factored comparison space rather than assuming proportional hazards.</w:t>
      </w:r>
    </w:p>
    <w:bookmarkEnd w:id="86"/>
    <w:bookmarkStart w:id="87"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neutralize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87"/>
    <w:bookmarkStart w:id="88"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15"/>
        </w:numPr>
      </w:pPr>
      <w:r>
        <w:t xml:space="preserve">Enrollment definition and justification</w:t>
      </w:r>
    </w:p>
    <w:p>
      <w:pPr>
        <w:pStyle w:val="Compact"/>
        <w:numPr>
          <w:ilvl w:val="0"/>
          <w:numId w:val="1015"/>
        </w:numPr>
      </w:pPr>
      <w:r>
        <w:t xml:space="preserve">Risk set definitions and event-time binning</w:t>
      </w:r>
    </w:p>
    <w:p>
      <w:pPr>
        <w:pStyle w:val="Compact"/>
        <w:numPr>
          <w:ilvl w:val="0"/>
          <w:numId w:val="1015"/>
        </w:numPr>
      </w:pPr>
      <w:r>
        <w:t xml:space="preserve">Quiet-window definition and justification</w:t>
      </w:r>
    </w:p>
    <w:p>
      <w:pPr>
        <w:pStyle w:val="Compact"/>
        <w:numPr>
          <w:ilvl w:val="0"/>
          <w:numId w:val="1015"/>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15"/>
        </w:numPr>
      </w:pPr>
      <w:r>
        <w:t xml:space="preserve">Skip/stabilization rule and robustness to nearby values</w:t>
      </w:r>
    </w:p>
    <w:p>
      <w:pPr>
        <w:pStyle w:val="Compact"/>
        <w:numPr>
          <w:ilvl w:val="0"/>
          <w:numId w:val="1015"/>
        </w:numPr>
      </w:pPr>
      <w:r>
        <w:t xml:space="preserve">Predefined negative/positive controls used for validation</w:t>
      </w:r>
    </w:p>
    <w:p>
      <w:pPr>
        <w:pStyle w:val="Compact"/>
        <w:numPr>
          <w:ilvl w:val="0"/>
          <w:numId w:val="1015"/>
        </w:numPr>
      </w:pPr>
      <w:r>
        <w:t xml:space="preserve">Sensitivity analysis plan and results</w:t>
      </w:r>
    </w:p>
    <w:p>
      <w:r>
        <w:pict>
          <v:rect style="width:0;height:1.5pt" o:hralign="center" o:hrstd="t" o:hr="t"/>
        </w:pict>
      </w:r>
    </w:p>
    <w:bookmarkEnd w:id="88"/>
    <w:bookmarkEnd w:id="89"/>
    <w:bookmarkStart w:id="92" w:name="limitations"/>
    <w:p>
      <w:pPr>
        <w:pStyle w:val="Heading2"/>
      </w:pPr>
      <w:r>
        <w:t xml:space="preserve">5. Limitations</w:t>
      </w:r>
    </w:p>
    <w:p>
      <w:pPr>
        <w:pStyle w:val="Compact"/>
        <w:numPr>
          <w:ilvl w:val="0"/>
          <w:numId w:val="1016"/>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16"/>
        </w:numPr>
      </w:pPr>
      <w:r>
        <w:rPr>
          <w:b/>
          <w:bCs/>
        </w:rPr>
        <w:t xml:space="preserve">θ estimation is data-driven</w:t>
      </w:r>
      <w:r>
        <w:t xml:space="preserve">: KCOR does not impose θ = 0 for any cohort. The frequent observation that</w:t>
      </w:r>
      <w:r>
        <w:t xml:space="preserve"> </w:t>
      </w:r>
      <m:oMath>
        <m:acc>
          <m:accPr>
            <m:chr m:val="̂"/>
          </m:accPr>
          <m:e>
            <m:r>
              <m:t>θ</m:t>
            </m:r>
          </m:e>
        </m:acc>
        <m:r>
          <m:rPr>
            <m:sty m:val="p"/>
          </m:rPr>
          <m:t>≈</m:t>
        </m:r>
        <m:r>
          <m:t>0</m:t>
        </m:r>
      </m:oMath>
      <w:r>
        <w:t xml:space="preserve"> </w:t>
      </w:r>
      <w:r>
        <w:t xml:space="preserve">for vaccinated cohorts is a data-driven result of the frailty fit and should not be interpreted as an assumption of homogeneity.</w:t>
      </w:r>
    </w:p>
    <w:p>
      <w:pPr>
        <w:pStyle w:val="Compact"/>
        <w:numPr>
          <w:ilvl w:val="0"/>
          <w:numId w:val="1016"/>
        </w:numPr>
      </w:pPr>
      <w:r>
        <w:rPr>
          <w:b/>
          <w:bCs/>
        </w:rPr>
        <w:t xml:space="preserve">Sparse events</w:t>
      </w:r>
      <w:r>
        <w:t xml:space="preserve">: When event counts are small, hazard estimation and parameter fitting can be unstable.</w:t>
      </w:r>
    </w:p>
    <w:p>
      <w:pPr>
        <w:pStyle w:val="Compact"/>
        <w:numPr>
          <w:ilvl w:val="0"/>
          <w:numId w:val="1016"/>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16"/>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16"/>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θ̂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90" w:name="X23cf99625f696e3debeff054e3876378086bb67"/>
    <w:p>
      <w:pPr>
        <w:pStyle w:val="Heading3"/>
      </w:pPr>
      <w:r>
        <w:t xml:space="preserve">5.1 Failure modes and diagnostics (recommended)</w:t>
      </w:r>
    </w:p>
    <w:p>
      <w:pPr>
        <w:pStyle w:val="FirstParagraph"/>
      </w:pPr>
      <w:r>
        <w:t xml:space="preserve">KCOR is designed to neutralize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17"/>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17"/>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17"/>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17"/>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18"/>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18"/>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18"/>
        </w:numPr>
      </w:pPr>
      <w:r>
        <w:rPr>
          <w:b/>
          <w:bCs/>
        </w:rPr>
        <w:t xml:space="preserve">Sensitivity analyses</w:t>
      </w:r>
      <w:r>
        <w:t xml:space="preserve"> </w:t>
      </w:r>
      <w:r>
        <w:t xml:space="preserve">over plausible quiet windows and skip-weeks values.</w:t>
      </w:r>
    </w:p>
    <w:p>
      <w:pPr>
        <w:pStyle w:val="Compact"/>
        <w:numPr>
          <w:ilvl w:val="0"/>
          <w:numId w:val="1018"/>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90"/>
    <w:bookmarkStart w:id="91"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r>
        <w:pict>
          <v:rect style="width:0;height:1.5pt" o:hralign="center" o:hrstd="t" o:hr="t"/>
        </w:pict>
      </w:r>
    </w:p>
    <w:bookmarkEnd w:id="91"/>
    <w:bookmarkEnd w:id="92"/>
    <w:bookmarkStart w:id="93"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w:t>
      </w:r>
    </w:p>
    <w:p>
      <w:r>
        <w:pict>
          <v:rect style="width:0;height:1.5pt" o:hralign="center" o:hrstd="t" o:hr="t"/>
        </w:pict>
      </w:r>
    </w:p>
    <w:bookmarkEnd w:id="93"/>
    <w:bookmarkStart w:id="104" w:name="declarations-journal-requirements"/>
    <w:p>
      <w:pPr>
        <w:pStyle w:val="Heading2"/>
      </w:pPr>
      <w:r>
        <w:t xml:space="preserve">Declarations (journal requirements)</w:t>
      </w:r>
    </w:p>
    <w:bookmarkStart w:id="94" w:name="Xd182db0490b2de20bd2b4e4cc8698599182035f"/>
    <w:p>
      <w:pPr>
        <w:pStyle w:val="Heading3"/>
      </w:pPr>
      <w:r>
        <w:t xml:space="preserve">Ethics approval and consent to participate</w:t>
      </w:r>
    </w:p>
    <w:p>
      <w:pPr>
        <w:pStyle w:val="FirstParagraph"/>
      </w:pPr>
      <w:r>
        <w:t xml:space="preserve">Not applicable. This is a methods-only manuscript. The primary validation results use synthetic data. Empirical negative-control figures (Figures 3–4) use aggregated cohort summaries derived from Czech Republic administrative data; no record-level data are shared in this manuscript.</w:t>
      </w:r>
      <w:r>
        <w:rPr>
          <w:vertAlign w:val="superscript"/>
        </w:rPr>
        <w:t xml:space="preserve">4</w:t>
      </w:r>
    </w:p>
    <w:bookmarkEnd w:id="94"/>
    <w:bookmarkStart w:id="95" w:name="consent-for-publication"/>
    <w:p>
      <w:pPr>
        <w:pStyle w:val="Heading3"/>
      </w:pPr>
      <w:r>
        <w:t xml:space="preserve">Consent for publication</w:t>
      </w:r>
    </w:p>
    <w:p>
      <w:pPr>
        <w:pStyle w:val="FirstParagraph"/>
      </w:pPr>
      <w:r>
        <w:t xml:space="preserve">Not applicable.</w:t>
      </w:r>
    </w:p>
    <w:bookmarkEnd w:id="95"/>
    <w:bookmarkStart w:id="96" w:name="data-availability"/>
    <w:p>
      <w:pPr>
        <w:pStyle w:val="Heading3"/>
      </w:pPr>
      <w:r>
        <w:t xml:space="preserve">Data availability</w:t>
      </w:r>
    </w:p>
    <w:p>
      <w:pPr>
        <w:pStyle w:val="Compact"/>
        <w:numPr>
          <w:ilvl w:val="0"/>
          <w:numId w:val="1019"/>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19"/>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19"/>
        </w:numPr>
      </w:pPr>
      <w:r>
        <w:t xml:space="preserve">The reference implementation includes example datasets in KCOR_CMR format for reproducibility.</w:t>
      </w:r>
    </w:p>
    <w:p>
      <w:pPr>
        <w:pStyle w:val="Compact"/>
        <w:numPr>
          <w:ilvl w:val="0"/>
          <w:numId w:val="1019"/>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96"/>
    <w:bookmarkStart w:id="99" w:name="code-availability"/>
    <w:p>
      <w:pPr>
        <w:pStyle w:val="Heading3"/>
      </w:pPr>
      <w:r>
        <w:t xml:space="preserve">Code availability</w:t>
      </w:r>
    </w:p>
    <w:p>
      <w:pPr>
        <w:pStyle w:val="Compact"/>
        <w:numPr>
          <w:ilvl w:val="0"/>
          <w:numId w:val="1020"/>
        </w:numPr>
      </w:pPr>
      <w:r>
        <w:t xml:space="preserve">The KCOR v6 reference implementation and complete validation suite are available in the project repository.</w:t>
      </w:r>
    </w:p>
    <w:p>
      <w:pPr>
        <w:pStyle w:val="Compact"/>
        <w:numPr>
          <w:ilvl w:val="0"/>
          <w:numId w:val="1020"/>
        </w:numPr>
      </w:pPr>
      <w:r>
        <w:t xml:space="preserve">Repository URL:</w:t>
      </w:r>
      <w:r>
        <w:t xml:space="preserve"> </w:t>
      </w:r>
      <w:hyperlink r:id="rId97">
        <w:r>
          <w:rPr>
            <w:rStyle w:val="Hyperlink"/>
          </w:rPr>
          <w:t xml:space="preserve">https://github.com/skirsch/KCOR</w:t>
        </w:r>
      </w:hyperlink>
    </w:p>
    <w:p>
      <w:pPr>
        <w:pStyle w:val="Compact"/>
        <w:numPr>
          <w:ilvl w:val="0"/>
          <w:numId w:val="1020"/>
        </w:numPr>
      </w:pPr>
      <w:r>
        <w:t xml:space="preserve">Zenodo DOI:</w:t>
      </w:r>
      <w:r>
        <w:t xml:space="preserve"> </w:t>
      </w:r>
      <w:hyperlink r:id="rId98">
        <w:r>
          <w:rPr>
            <w:rStyle w:val="Hyperlink"/>
          </w:rPr>
          <w:t xml:space="preserve">10.5281/zenodo.18050329</w:t>
        </w:r>
      </w:hyperlink>
    </w:p>
    <w:bookmarkEnd w:id="99"/>
    <w:bookmarkStart w:id="100" w:name="competing-interests"/>
    <w:p>
      <w:pPr>
        <w:pStyle w:val="Heading3"/>
      </w:pPr>
      <w:r>
        <w:t xml:space="preserve">Competing interests</w:t>
      </w:r>
    </w:p>
    <w:p>
      <w:pPr>
        <w:pStyle w:val="FirstParagraph"/>
      </w:pPr>
      <w:r>
        <w:t xml:space="preserve">The author is a board member of the Vaccine Safety Research Foundation.</w:t>
      </w:r>
    </w:p>
    <w:bookmarkEnd w:id="100"/>
    <w:bookmarkStart w:id="101" w:name="funding"/>
    <w:p>
      <w:pPr>
        <w:pStyle w:val="Heading3"/>
      </w:pPr>
      <w:r>
        <w:t xml:space="preserve">Funding</w:t>
      </w:r>
    </w:p>
    <w:p>
      <w:pPr>
        <w:pStyle w:val="FirstParagraph"/>
      </w:pPr>
      <w:r>
        <w:t xml:space="preserve">This research received no external funding.</w:t>
      </w:r>
    </w:p>
    <w:bookmarkEnd w:id="101"/>
    <w:bookmarkStart w:id="102"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02"/>
    <w:bookmarkStart w:id="103" w:name="acknowledgements"/>
    <w:p>
      <w:pPr>
        <w:pStyle w:val="Heading3"/>
      </w:pPr>
      <w:r>
        <w:t xml:space="preserve">Acknowledgements</w:t>
      </w:r>
    </w:p>
    <w:p>
      <w:pPr>
        <w:pStyle w:val="FirstParagraph"/>
      </w:pPr>
      <w:r>
        <w:t xml:space="preserve">[TODO]</w:t>
      </w:r>
    </w:p>
    <w:p>
      <w:r>
        <w:pict>
          <v:rect style="width:0;height:1.5pt" o:hralign="center" o:hrstd="t" o:hr="t"/>
        </w:pict>
      </w:r>
    </w:p>
    <w:bookmarkEnd w:id="103"/>
    <w:bookmarkEnd w:id="104"/>
    <w:bookmarkStart w:id="120"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09" w:name="appendix-a.-mathematical-derivations"/>
    <w:p>
      <w:pPr>
        <w:pStyle w:val="Heading3"/>
      </w:pPr>
      <w:r>
        <w:t xml:space="preserve">Appendix A. Mathematical derivations</w:t>
      </w:r>
    </w:p>
    <w:bookmarkStart w:id="105"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05"/>
    <w:bookmarkStart w:id="106"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{#eq:gamma-frailty-identity} in the main text).</w:t>
      </w:r>
    </w:p>
    <w:bookmarkEnd w:id="106"/>
    <w:bookmarkStart w:id="107"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07"/>
    <w:bookmarkStart w:id="108"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08"/>
    <w:bookmarkEnd w:id="109"/>
    <w:bookmarkStart w:id="114" w:name="appendix-b.-control-test-specifications"/>
    <w:p>
      <w:pPr>
        <w:pStyle w:val="Heading3"/>
      </w:pPr>
      <w:r>
        <w:t xml:space="preserve">Appendix B. Control-test specifications</w:t>
      </w:r>
    </w:p>
    <w:bookmarkStart w:id="110" w:name="X2180becb792c7366d1a2d9abe674c7e8eb8a3b6"/>
    <w:p>
      <w:pPr>
        <w:pStyle w:val="Heading4"/>
      </w:pPr>
      <w:r>
        <w:t xml:space="preserve">B.1 Negative control: synthetic gamma-frailty null</w:t>
      </w:r>
    </w:p>
    <w:p>
      <w:pPr>
        <w:pStyle w:val="FirstParagraph"/>
      </w:pPr>
      <w:r>
        <w:t xml:space="preserve">The synthetic negative control (Figure fig. 2) is generated using:</w:t>
      </w:r>
    </w:p>
    <w:p>
      <w:pPr>
        <w:pStyle w:val="Compact"/>
        <w:numPr>
          <w:ilvl w:val="0"/>
          <w:numId w:val="1021"/>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1"/>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1"/>
        </w:numPr>
      </w:pPr>
      <w:r>
        <w:rPr>
          <w:b/>
          <w:bCs/>
        </w:rPr>
        <w:t xml:space="preserve">Cohort A weights</w:t>
      </w:r>
      <w:r>
        <w:t xml:space="preserve">: Equal weights across 5 frailty groups (0.2 each)</w:t>
      </w:r>
    </w:p>
    <w:p>
      <w:pPr>
        <w:pStyle w:val="Compact"/>
        <w:numPr>
          <w:ilvl w:val="0"/>
          <w:numId w:val="1021"/>
        </w:numPr>
      </w:pPr>
      <w:r>
        <w:rPr>
          <w:b/>
          <w:bCs/>
        </w:rPr>
        <w:t xml:space="preserve">Cohort B weights</w:t>
      </w:r>
      <w:r>
        <w:t xml:space="preserve">: Shifted weights [0.30, 0.20, 0.20, 0.20, 0.10]</w:t>
      </w:r>
    </w:p>
    <w:p>
      <w:pPr>
        <w:pStyle w:val="Compact"/>
        <w:numPr>
          <w:ilvl w:val="0"/>
          <w:numId w:val="1021"/>
        </w:numPr>
      </w:pPr>
      <w:r>
        <w:rPr>
          <w:b/>
          <w:bCs/>
        </w:rPr>
        <w:t xml:space="preserve">Frailty values</w:t>
      </w:r>
      <w:r>
        <w:t xml:space="preserve">: [1, 2, 4, 6, 10] (relative frailty multipliers)</w:t>
      </w:r>
    </w:p>
    <w:p>
      <w:pPr>
        <w:pStyle w:val="Compact"/>
        <w:numPr>
          <w:ilvl w:val="0"/>
          <w:numId w:val="1021"/>
        </w:numPr>
      </w:pPr>
      <w:r>
        <w:rPr>
          <w:b/>
          <w:bCs/>
        </w:rPr>
        <w:t xml:space="preserve">Base weekly probability</w:t>
      </w:r>
      <w:r>
        <w:t xml:space="preserve">: 0.01</w:t>
      </w:r>
    </w:p>
    <w:p>
      <w:pPr>
        <w:pStyle w:val="Compact"/>
        <w:numPr>
          <w:ilvl w:val="0"/>
          <w:numId w:val="1021"/>
        </w:numPr>
      </w:pPr>
      <w:r>
        <w:rPr>
          <w:b/>
          <w:bCs/>
        </w:rPr>
        <w:t xml:space="preserve">Weekly log-slope</w:t>
      </w:r>
      <w:r>
        <w:t xml:space="preserve">: 0.0 (constant baseline during quiet periods)</w:t>
      </w:r>
    </w:p>
    <w:p>
      <w:pPr>
        <w:pStyle w:val="Compact"/>
        <w:numPr>
          <w:ilvl w:val="0"/>
          <w:numId w:val="1021"/>
        </w:numPr>
      </w:pPr>
      <w:r>
        <w:rPr>
          <w:b/>
          <w:bCs/>
        </w:rPr>
        <w:t xml:space="preserve">Skip weeks</w:t>
      </w:r>
      <w:r>
        <w:t xml:space="preserve">: 2</w:t>
      </w:r>
    </w:p>
    <w:p>
      <w:pPr>
        <w:pStyle w:val="Compact"/>
        <w:numPr>
          <w:ilvl w:val="0"/>
          <w:numId w:val="1021"/>
        </w:numPr>
      </w:pPr>
      <w:r>
        <w:rPr>
          <w:b/>
          <w:bCs/>
        </w:rPr>
        <w:t xml:space="preserve">Normalization weeks</w:t>
      </w:r>
      <w:r>
        <w:t xml:space="preserve">: 4</w:t>
      </w:r>
    </w:p>
    <w:p>
      <w:pPr>
        <w:pStyle w:val="Compact"/>
        <w:numPr>
          <w:ilvl w:val="0"/>
          <w:numId w:val="1021"/>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10"/>
    <w:bookmarkStart w:id="111" w:name="X6ca5a97e85e9ee460a15280db933ceb5c1ed112"/>
    <w:p>
      <w:pPr>
        <w:pStyle w:val="Heading4"/>
      </w:pPr>
      <w:r>
        <w:t xml:space="preserve">B.2 Negative control: empirical age-shift construction</w:t>
      </w:r>
    </w:p>
    <w:p>
      <w:pPr>
        <w:pStyle w:val="FirstParagraph"/>
      </w:pPr>
      <w:r>
        <w:t xml:space="preserve">The empirical negative control (Figures fig. 3 and fig. 4) is generated using:</w:t>
      </w:r>
    </w:p>
    <w:p>
      <w:pPr>
        <w:pStyle w:val="Compact"/>
        <w:numPr>
          <w:ilvl w:val="0"/>
          <w:numId w:val="1022"/>
        </w:numPr>
      </w:pPr>
      <w:r>
        <w:rPr>
          <w:b/>
          <w:bCs/>
        </w:rPr>
        <w:t xml:space="preserve">Data source</w:t>
      </w:r>
      <w:r>
        <w:t xml:space="preserve">: Czech Republic administrative mortality and vaccination data, aggregated into KCOR_CMR format</w:t>
      </w:r>
    </w:p>
    <w:p>
      <w:pPr>
        <w:pStyle w:val="Compact"/>
        <w:numPr>
          <w:ilvl w:val="0"/>
          <w:numId w:val="1022"/>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2"/>
        </w:numPr>
      </w:pPr>
      <w:r>
        <w:rPr>
          <w:b/>
          <w:bCs/>
        </w:rPr>
        <w:t xml:space="preserve">Construction</w:t>
      </w:r>
      <w:r>
        <w:t xml:space="preserve">: Age strata remapped to pseudo-doses within same vaccination category</w:t>
      </w:r>
    </w:p>
    <w:p>
      <w:pPr>
        <w:pStyle w:val="Compact"/>
        <w:numPr>
          <w:ilvl w:val="0"/>
          <w:numId w:val="1022"/>
        </w:numPr>
      </w:pPr>
      <w:r>
        <w:rPr>
          <w:b/>
          <w:bCs/>
        </w:rPr>
        <w:t xml:space="preserve">Age mapping</w:t>
      </w:r>
      <w:r>
        <w:t xml:space="preserve">:</w:t>
      </w:r>
    </w:p>
    <w:p>
      <w:pPr>
        <w:pStyle w:val="Compact"/>
        <w:numPr>
          <w:ilvl w:val="1"/>
          <w:numId w:val="1023"/>
        </w:numPr>
      </w:pPr>
      <w:r>
        <w:t xml:space="preserve">Dose 0 → YoB {1930, 1935}</w:t>
      </w:r>
    </w:p>
    <w:p>
      <w:pPr>
        <w:pStyle w:val="Compact"/>
        <w:numPr>
          <w:ilvl w:val="1"/>
          <w:numId w:val="1023"/>
        </w:numPr>
      </w:pPr>
      <w:r>
        <w:t xml:space="preserve">Dose 1 → YoB {1940, 1945}</w:t>
      </w:r>
    </w:p>
    <w:p>
      <w:pPr>
        <w:pStyle w:val="Compact"/>
        <w:numPr>
          <w:ilvl w:val="1"/>
          <w:numId w:val="1023"/>
        </w:numPr>
      </w:pPr>
      <w:r>
        <w:t xml:space="preserve">Dose 2 → YoB {1950, 1955}</w:t>
      </w:r>
    </w:p>
    <w:p>
      <w:pPr>
        <w:pStyle w:val="Compact"/>
        <w:numPr>
          <w:ilvl w:val="0"/>
          <w:numId w:val="1022"/>
        </w:numPr>
      </w:pPr>
      <w:r>
        <w:rPr>
          <w:b/>
          <w:bCs/>
        </w:rPr>
        <w:t xml:space="preserve">Output YoB</w:t>
      </w:r>
      <w:r>
        <w:t xml:space="preserve">: Fixed at 1950 (unvax cohort) or 1940 (vax cohort)</w:t>
      </w:r>
    </w:p>
    <w:p>
      <w:pPr>
        <w:pStyle w:val="Compact"/>
        <w:numPr>
          <w:ilvl w:val="0"/>
          <w:numId w:val="1022"/>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11"/>
    <w:bookmarkStart w:id="112" w:name="b.3-positive-control-injected-effect"/>
    <w:p>
      <w:pPr>
        <w:pStyle w:val="Heading4"/>
      </w:pPr>
      <w:r>
        <w:t xml:space="preserve">B.3 Positive control: injected effect</w:t>
      </w:r>
    </w:p>
    <w:p>
      <w:pPr>
        <w:pStyle w:val="FirstParagraph"/>
      </w:pPr>
      <w:r>
        <w:t xml:space="preserve">The positive control (Figure fig. 5 and Table tbl. 5) is generated using:</w:t>
      </w:r>
    </w:p>
    <w:p>
      <w:pPr>
        <w:pStyle w:val="Compact"/>
        <w:numPr>
          <w:ilvl w:val="0"/>
          <w:numId w:val="1024"/>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4"/>
        </w:numPr>
      </w:pPr>
      <w:r>
        <w:rPr>
          <w:b/>
          <w:bCs/>
        </w:rPr>
        <w:t xml:space="preserve">Initial cohort size</w:t>
      </w:r>
      <w:r>
        <w:t xml:space="preserve">: 100,000 per cohort</w:t>
      </w:r>
    </w:p>
    <w:p>
      <w:pPr>
        <w:pStyle w:val="Compact"/>
        <w:numPr>
          <w:ilvl w:val="0"/>
          <w:numId w:val="1024"/>
        </w:numPr>
      </w:pPr>
      <w:r>
        <w:rPr>
          <w:b/>
          <w:bCs/>
        </w:rPr>
        <w:t xml:space="preserve">Baseline hazard</w:t>
      </w:r>
      <w:r>
        <w:t xml:space="preserve">: 0.002 per week</w:t>
      </w:r>
    </w:p>
    <w:p>
      <w:pPr>
        <w:pStyle w:val="Compact"/>
        <w:numPr>
          <w:ilvl w:val="0"/>
          <w:numId w:val="1024"/>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4"/>
        </w:numPr>
      </w:pPr>
      <w:r>
        <w:rPr>
          <w:b/>
          <w:bCs/>
        </w:rPr>
        <w:t xml:space="preserve">Effect window</w:t>
      </w:r>
      <w:r>
        <w:t xml:space="preserve">: weeks 20–80</w:t>
      </w:r>
    </w:p>
    <w:p>
      <w:pPr>
        <w:pStyle w:val="Compact"/>
        <w:numPr>
          <w:ilvl w:val="0"/>
          <w:numId w:val="1024"/>
        </w:numPr>
      </w:pPr>
      <w:r>
        <w:rPr>
          <w:b/>
          <w:bCs/>
        </w:rPr>
        <w:t xml:space="preserve">Hazard multipliers</w:t>
      </w:r>
      <w:r>
        <w:t xml:space="preserve">:</w:t>
      </w:r>
    </w:p>
    <w:p>
      <w:pPr>
        <w:pStyle w:val="Compact"/>
        <w:numPr>
          <w:ilvl w:val="1"/>
          <w:numId w:val="1025"/>
        </w:numPr>
      </w:pPr>
      <w:r>
        <w:t xml:space="preserve">Harm scenario:</w:t>
      </w:r>
      <w:r>
        <w:t xml:space="preserve"> </w:t>
      </w:r>
      <m:oMath>
        <m:r>
          <m:t>r</m:t>
        </m:r>
        <m:r>
          <m:rPr>
            <m:sty m:val="p"/>
          </m:rPr>
          <m:t>=</m:t>
        </m:r>
        <m:r>
          <m:t>1.2</m:t>
        </m:r>
      </m:oMath>
    </w:p>
    <w:p>
      <w:pPr>
        <w:pStyle w:val="Compact"/>
        <w:numPr>
          <w:ilvl w:val="1"/>
          <w:numId w:val="1025"/>
        </w:numPr>
      </w:pPr>
      <w:r>
        <w:t xml:space="preserve">Benefit scenario:</w:t>
      </w:r>
      <w:r>
        <w:t xml:space="preserve"> </w:t>
      </w:r>
      <m:oMath>
        <m:r>
          <m:t>r</m:t>
        </m:r>
        <m:r>
          <m:rPr>
            <m:sty m:val="p"/>
          </m:rPr>
          <m:t>=</m:t>
        </m:r>
        <m:r>
          <m:t>0.8</m:t>
        </m:r>
      </m:oMath>
    </w:p>
    <w:p>
      <w:pPr>
        <w:pStyle w:val="Compact"/>
        <w:numPr>
          <w:ilvl w:val="0"/>
          <w:numId w:val="1024"/>
        </w:numPr>
      </w:pPr>
      <w:r>
        <w:rPr>
          <w:b/>
          <w:bCs/>
        </w:rPr>
        <w:t xml:space="preserve">Random seed</w:t>
      </w:r>
      <w:r>
        <w:t xml:space="preserve">: 42</w:t>
      </w:r>
    </w:p>
    <w:p>
      <w:pPr>
        <w:pStyle w:val="Compact"/>
        <w:numPr>
          <w:ilvl w:val="0"/>
          <w:numId w:val="1024"/>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12"/>
    <w:bookmarkStart w:id="113" w:name="b.4-sensitivity-analysis-parameters"/>
    <w:p>
      <w:pPr>
        <w:pStyle w:val="Heading4"/>
      </w:pPr>
      <w:r>
        <w:t xml:space="preserve">B.4 Sensitivity analysis parameters</w:t>
      </w:r>
    </w:p>
    <w:p>
      <w:pPr>
        <w:pStyle w:val="FirstParagraph"/>
      </w:pPr>
      <w:r>
        <w:t xml:space="preserve">The sensitivity analysis (Figure fig. 6) varies:</w:t>
      </w:r>
    </w:p>
    <w:p>
      <w:pPr>
        <w:pStyle w:val="Compact"/>
        <w:numPr>
          <w:ilvl w:val="0"/>
          <w:numId w:val="1026"/>
        </w:numPr>
      </w:pPr>
      <w:r>
        <w:rPr>
          <w:b/>
          <w:bCs/>
        </w:rPr>
        <w:t xml:space="preserve">Baseline weeks</w:t>
      </w:r>
      <w:r>
        <w:t xml:space="preserve">: [2, 3, 4, 5, 6, 7, 8]</w:t>
      </w:r>
    </w:p>
    <w:p>
      <w:pPr>
        <w:pStyle w:val="Compact"/>
        <w:numPr>
          <w:ilvl w:val="0"/>
          <w:numId w:val="1026"/>
        </w:numPr>
      </w:pPr>
      <w:r>
        <w:rPr>
          <w:b/>
          <w:bCs/>
        </w:rPr>
        <w:t xml:space="preserve">Quiet-start offsets</w:t>
      </w:r>
      <w:r>
        <w:t xml:space="preserve">: [-12, -8, -4, 0, +4, +8, +12] weeks from 2022-24</w:t>
      </w:r>
    </w:p>
    <w:p>
      <w:pPr>
        <w:pStyle w:val="Compact"/>
        <w:numPr>
          <w:ilvl w:val="0"/>
          <w:numId w:val="1026"/>
        </w:numPr>
      </w:pPr>
      <w:r>
        <w:rPr>
          <w:b/>
          <w:bCs/>
        </w:rPr>
        <w:t xml:space="preserve">Quiet-window end</w:t>
      </w:r>
      <w:r>
        <w:t xml:space="preserve">: Fixed at 2024-16</w:t>
      </w:r>
    </w:p>
    <w:p>
      <w:pPr>
        <w:pStyle w:val="Compact"/>
        <w:numPr>
          <w:ilvl w:val="0"/>
          <w:numId w:val="1026"/>
        </w:numPr>
      </w:pPr>
      <w:r>
        <w:rPr>
          <w:b/>
          <w:bCs/>
        </w:rPr>
        <w:t xml:space="preserve">Dose pairs</w:t>
      </w:r>
      <w:r>
        <w:t xml:space="preserve">: 1 vs 0, 2 vs 0, 2 vs 1</w:t>
      </w:r>
    </w:p>
    <w:p>
      <w:pPr>
        <w:pStyle w:val="Compact"/>
        <w:numPr>
          <w:ilvl w:val="0"/>
          <w:numId w:val="1026"/>
        </w:numPr>
      </w:pPr>
      <w:r>
        <w:rPr>
          <w:b/>
          <w:bCs/>
        </w:rPr>
        <w:t xml:space="preserve">Cohorts</w:t>
      </w:r>
      <w:r>
        <w:t xml:space="preserve">: 2021_24</w:t>
      </w:r>
    </w:p>
    <w:p>
      <w:pPr>
        <w:pStyle w:val="FirstParagraph"/>
      </w:pPr>
      <w:r>
        <w:t xml:space="preserve">Output grids show KCOR values for each parameter combination.</w:t>
      </w:r>
    </w:p>
    <w:bookmarkEnd w:id="113"/>
    <w:bookmarkEnd w:id="114"/>
    <w:bookmarkStart w:id="119" w:name="X3fb27f9d14d988b0afc4c757bd6d2a45d2ae0b5"/>
    <w:p>
      <w:pPr>
        <w:pStyle w:val="Heading3"/>
      </w:pPr>
      <w:r>
        <w:t xml:space="preserve">Appendix C. Additional figures and diagnostics</w:t>
      </w:r>
    </w:p>
    <w:bookmarkStart w:id="115"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27"/>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27"/>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27"/>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15"/>
    <w:bookmarkStart w:id="116"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28"/>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28"/>
        </w:numPr>
      </w:pPr>
      <w:r>
        <w:rPr>
          <w:b/>
          <w:bCs/>
        </w:rPr>
        <w:t xml:space="preserve">Outliers</w:t>
      </w:r>
      <w:r>
        <w:t xml:space="preserve">: Individual weeks with large residuals may indicate data quality issues or external shocks.</w:t>
      </w:r>
    </w:p>
    <w:p>
      <w:pPr>
        <w:pStyle w:val="Compact"/>
        <w:numPr>
          <w:ilvl w:val="0"/>
          <w:numId w:val="1028"/>
        </w:numPr>
      </w:pPr>
      <w:r>
        <w:rPr>
          <w:b/>
          <w:bCs/>
        </w:rPr>
        <w:t xml:space="preserve">Autocorrelation</w:t>
      </w:r>
      <w:r>
        <w:t xml:space="preserve">: Strong autocorrelation in residuals suggests the model is missing time-varying structure.</w:t>
      </w:r>
    </w:p>
    <w:bookmarkEnd w:id="116"/>
    <w:bookmarkStart w:id="117"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29"/>
        </w:numPr>
      </w:pPr>
      <w:r>
        <w:rPr>
          <w:b/>
          <w:bCs/>
        </w:rPr>
        <w:t xml:space="preserve">Quiet-window perturbation</w:t>
      </w:r>
      <w:r>
        <w:t xml:space="preserve">: Shift the quiet-window start/end by ±4 weeks and re-fit. Stable parameters should vary by &lt; 10%.</w:t>
      </w:r>
    </w:p>
    <w:p>
      <w:pPr>
        <w:pStyle w:val="Compact"/>
        <w:numPr>
          <w:ilvl w:val="0"/>
          <w:numId w:val="1029"/>
        </w:numPr>
      </w:pPr>
      <w:r>
        <w:rPr>
          <w:b/>
          <w:bCs/>
        </w:rPr>
        <w:t xml:space="preserve">Skip-weeks sensitivity</w:t>
      </w:r>
      <w:r>
        <w:t xml:space="preserve">: Vary SKIP_WEEKS from 0 to 8 and verify KCOR trajectories remain qualitatively similar.</w:t>
      </w:r>
    </w:p>
    <w:p>
      <w:pPr>
        <w:pStyle w:val="Compact"/>
        <w:numPr>
          <w:ilvl w:val="0"/>
          <w:numId w:val="1029"/>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6) provides a systematic assessment of parameter stability.</w:t>
      </w:r>
    </w:p>
    <w:bookmarkEnd w:id="117"/>
    <w:bookmarkStart w:id="118"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30"/>
        </w:numPr>
      </w:pPr>
      <w:r>
        <w:t xml:space="preserve">Avoid major epidemic waves or external mortality shocks</w:t>
      </w:r>
    </w:p>
    <w:p>
      <w:pPr>
        <w:pStyle w:val="Compact"/>
        <w:numPr>
          <w:ilvl w:val="0"/>
          <w:numId w:val="1030"/>
        </w:numPr>
      </w:pPr>
      <w:r>
        <w:t xml:space="preserve">Contain sufficient event counts for stable estimation</w:t>
      </w:r>
    </w:p>
    <w:p>
      <w:pPr>
        <w:pStyle w:val="Compact"/>
        <w:numPr>
          <w:ilvl w:val="0"/>
          <w:numId w:val="1030"/>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p>
      <w:r>
        <w:pict>
          <v:rect style="width:0;height:1.5pt" o:hralign="center" o:hrstd="t" o:hr="t"/>
        </w:pict>
      </w:r>
    </w:p>
    <w:bookmarkEnd w:id="118"/>
    <w:bookmarkEnd w:id="119"/>
    <w:bookmarkEnd w:id="120"/>
    <w:bookmarkStart w:id="129" w:name="references"/>
    <w:p>
      <w:pPr>
        <w:pStyle w:val="Heading2"/>
      </w:pPr>
      <w:r>
        <w:t xml:space="preserve">References</w:t>
      </w:r>
    </w:p>
    <w:bookmarkStart w:id="128" w:name="refs"/>
    <w:bookmarkStart w:id="122" w:name="ref-obel2024"/>
    <w:p>
      <w:pPr>
        <w:pStyle w:val="Bibliography"/>
      </w:pPr>
      <w:r>
        <w:t xml:space="preserve">1.</w:t>
      </w:r>
      <w:r>
        <w:t xml:space="preserve"> </w:t>
      </w:r>
      <w:r>
        <w:t xml:space="preserve">	</w:t>
      </w:r>
      <w:r>
        <w:t xml:space="preserve">Obel N, Fox M, Tetens M, Pedersen L, Krause T, Ullum H,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 Clinical Epidemiology. 2024 July;Volume 16:501–12. doi:</w:t>
      </w:r>
      <w:hyperlink r:id="rId121">
        <w:r>
          <w:rPr>
            <w:rStyle w:val="Hyperlink"/>
          </w:rPr>
          <w:t xml:space="preserve">10.2147/CLEP.S468572</w:t>
        </w:r>
      </w:hyperlink>
    </w:p>
    <w:bookmarkEnd w:id="122"/>
    <w:bookmarkStart w:id="124" w:name="ref-chemaitelly2025"/>
    <w:p>
      <w:pPr>
        <w:pStyle w:val="Bibliography"/>
      </w:pPr>
      <w:r>
        <w:t xml:space="preserve">2.</w:t>
      </w:r>
      <w:r>
        <w:t xml:space="preserve"> </w:t>
      </w:r>
      <w:r>
        <w:t xml:space="preserve">	</w:t>
      </w:r>
      <w:r>
        <w:t xml:space="preserve">Chemaitelly H, Ayoub HH, Coyle P, Tang P, Hasan MR, Yassine HM,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editors. eLife. 2025 June;14:e103690. doi:</w:t>
      </w:r>
      <w:hyperlink r:id="rId123">
        <w:r>
          <w:rPr>
            <w:rStyle w:val="Hyperlink"/>
          </w:rPr>
          <w:t xml:space="preserve">10.7554/eLife.103690</w:t>
        </w:r>
      </w:hyperlink>
    </w:p>
    <w:bookmarkEnd w:id="124"/>
    <w:bookmarkStart w:id="126" w:name="ref-vaupel1979"/>
    <w:p>
      <w:pPr>
        <w:pStyle w:val="Bibliography"/>
      </w:pPr>
      <w:r>
        <w:t xml:space="preserve">3.</w:t>
      </w:r>
      <w:r>
        <w:t xml:space="preserve"> </w:t>
      </w:r>
      <w:r>
        <w:t xml:space="preserve">	</w:t>
      </w:r>
      <w:r>
        <w:t xml:space="preserve">Vaupel JW, Manton KG, Stallard E. The impact of heterogeneity in individual frailty on the dynamics of mortality. Demography. 1979 Aug;16(3):439–54. doi:</w:t>
      </w:r>
      <w:hyperlink r:id="rId125">
        <w:r>
          <w:rPr>
            <w:rStyle w:val="Hyperlink"/>
          </w:rPr>
          <w:t xml:space="preserve">10.2307/2061224</w:t>
        </w:r>
      </w:hyperlink>
    </w:p>
    <w:bookmarkEnd w:id="126"/>
    <w:bookmarkStart w:id="127" w:name="ref-sanca2024"/>
    <w:p>
      <w:pPr>
        <w:pStyle w:val="Bibliography"/>
      </w:pPr>
      <w:r>
        <w:t xml:space="preserve">4.</w:t>
      </w:r>
      <w:r>
        <w:t xml:space="preserve"> </w:t>
      </w:r>
      <w:r>
        <w:t xml:space="preserve">	</w:t>
      </w:r>
      <w:r>
        <w:t xml:space="preserve">Šanca O, Jarkovský J, Klimeš D, Zelinková H, Klika P, K. Benešová,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 National Health Information Portal. 2024;</w:t>
      </w:r>
      <w:r>
        <w:t xml:space="preserve"> </w:t>
      </w:r>
    </w:p>
    <w:bookmarkEnd w:id="127"/>
    <w:bookmarkEnd w:id="128"/>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56" Target="media/rId56.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hyperlink" Id="rId121" Target="https://doi.org/10.2147/CLEP.S468572" TargetMode="External" /><Relationship Type="http://schemas.openxmlformats.org/officeDocument/2006/relationships/hyperlink" Id="rId125" Target="https://doi.org/10.2307/2061224" TargetMode="External" /><Relationship Type="http://schemas.openxmlformats.org/officeDocument/2006/relationships/hyperlink" Id="rId98" Target="https://doi.org/10.5281/zenodo.18050329" TargetMode="External" /><Relationship Type="http://schemas.openxmlformats.org/officeDocument/2006/relationships/hyperlink" Id="rId123" Target="https://doi.org/10.7554/eLife.103690" TargetMode="External" /><Relationship Type="http://schemas.openxmlformats.org/officeDocument/2006/relationships/hyperlink" Id="rId97"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2147/CLEP.S468572" TargetMode="External" /><Relationship Type="http://schemas.openxmlformats.org/officeDocument/2006/relationships/hyperlink" Id="rId125" Target="https://doi.org/10.2307/2061224" TargetMode="External" /><Relationship Type="http://schemas.openxmlformats.org/officeDocument/2006/relationships/hyperlink" Id="rId98" Target="https://doi.org/10.5281/zenodo.18050329" TargetMode="External" /><Relationship Type="http://schemas.openxmlformats.org/officeDocument/2006/relationships/hyperlink" Id="rId123" Target="https://doi.org/10.7554/eLife.103690" TargetMode="External" /><Relationship Type="http://schemas.openxmlformats.org/officeDocument/2006/relationships/hyperlink" Id="rId97"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2025-12-26T22:23:12Z</dcterms:created>
  <dcterms:modified xsi:type="dcterms:W3CDTF">2025-12-26T22:23:12Z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vancouver-superscript.csl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