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68.png" ContentType="image/png"/>
  <Override PartName="/word/media/rId63.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main"/>
    <w:bookmarkStart w:id="158" w:name="Xb558c015cbeea3090c50751492c4ebdb2030436"/>
    <w:p>
      <w:pPr>
        <w:pStyle w:val="Heading1"/>
      </w:pPr>
      <w:r>
        <w:t xml:space="preserve">KCOR: Depletion-Neutralized Cohort Comparison via Gamma-Frailty Normalization</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under selection-induced cohort bias</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frailty model; gamma mixture model; frailty inversion; frailty heterogeneity; depletion of susceptibles; non-proportional hazards; cumulative hazard; hazard normalization; cumulative hazards; estimands; gamma frailty; negative controls; observational studies; observational cohort studies</w:t>
      </w:r>
    </w:p>
    <w:bookmarkEnd w:id="9"/>
    <w:bookmarkStart w:id="10" w:name="abstract"/>
    <w:p>
      <w:pPr>
        <w:pStyle w:val="Heading2"/>
      </w:pPr>
      <w:r>
        <w:t xml:space="preserve">Abstract</w:t>
      </w:r>
    </w:p>
    <w:p>
      <w:pPr>
        <w:pStyle w:val="FirstParagraph"/>
      </w:pPr>
      <w:r>
        <w:rPr>
          <w:b/>
          <w:bCs/>
        </w:rPr>
        <w:t xml:space="preserve">Background</w:t>
      </w:r>
      <w:r>
        <w:br/>
      </w:r>
      <w:r>
        <w:t xml:space="preserve">Retrospective cohort analyses frequently involve heterogeneous populations subject to selection-induced depletion under latent frailty. This process produces non-proportional hazards and curvature in observed cumulative hazards that can bias standard survival estimands when applied directly to registry and administrative data.</w:t>
      </w:r>
    </w:p>
    <w:p>
      <w:pPr>
        <w:pStyle w:val="BodyText"/>
      </w:pPr>
      <w:r>
        <w:rPr>
          <w:b/>
          <w:bCs/>
        </w:rPr>
        <w:t xml:space="preserve">Methods</w:t>
      </w:r>
      <w:r>
        <w:br/>
      </w:r>
      <w:r>
        <w:t xml:space="preserve">We introduce KCOR, a depletion-neutralized cohort comparison framework based on gamma-frailty normalization. KCOR estimates cohort-specific depletion geometry during prespecified epidemiologically quiet periods and applies an analytic inversion to map observed cumulative hazards into a common, depletion-neutralized scale prior to comparison. The method requires only minimal event-time information and does not rely on proportional hazards assumptions or rich covariate adjustment.</w:t>
      </w:r>
    </w:p>
    <w:p>
      <w:pPr>
        <w:pStyle w:val="BodyText"/>
      </w:pPr>
      <w:r>
        <w:rPr>
          <w:b/>
          <w:bCs/>
        </w:rPr>
        <w:t xml:space="preserve">Results</w:t>
      </w:r>
      <w:r>
        <w:br/>
      </w:r>
      <w:r>
        <w:t xml:space="preserve">Through extensive simulation studies spanning a wide range of frailty heterogeneity and selection strength, as well as empirical negative and positive controls, we show that commonly used methods—including Cox proportional hazards regression—can exhibit systematic non-null behavior under selection-only regimes. In contrast, KCOR-normalized trajectories remain stable and centered near the null across these settings.</w:t>
      </w:r>
    </w:p>
    <w:p>
      <w:pPr>
        <w:pStyle w:val="BodyText"/>
      </w:pPr>
      <w:r>
        <w:rPr>
          <w:b/>
          <w:bCs/>
        </w:rPr>
        <w:t xml:space="preserve">Conclusions</w:t>
      </w:r>
      <w:r>
        <w:br/>
      </w:r>
      <w:r>
        <w:t xml:space="preserve">KCOR provides a diagnostic and descriptive framework for comparing fixed cohorts under selection-induced hazard curvature. By separating depletion normalization from outcome comparison, the method restores a common comparison scale prior to model fitting and improves the interpretability of cumulative outcome analyses in heterogeneous real-world data.</w:t>
      </w:r>
    </w:p>
    <w:p>
      <w:pPr>
        <w:pStyle w:val="BodyText"/>
      </w:pPr>
      <w:r>
        <w:rPr>
          <w:b/>
          <w:bCs/>
        </w:rPr>
        <w:t xml:space="preserve">Key contributions</w:t>
      </w:r>
    </w:p>
    <w:p>
      <w:pPr>
        <w:pStyle w:val="Compact"/>
        <w:numPr>
          <w:ilvl w:val="0"/>
          <w:numId w:val="1002"/>
        </w:numPr>
      </w:pPr>
      <w:r>
        <w:t xml:space="preserve">Introduces a principled depletion-neutralization mapping for heterogeneous cohorts under latent frailty.</w:t>
      </w:r>
    </w:p>
    <w:p>
      <w:pPr>
        <w:pStyle w:val="Compact"/>
        <w:numPr>
          <w:ilvl w:val="0"/>
          <w:numId w:val="1002"/>
        </w:numPr>
      </w:pPr>
      <w:r>
        <w:t xml:space="preserve">Demonstrates systematic non-null behavior of standard survival methods under selection-only regimes.</w:t>
      </w:r>
    </w:p>
    <w:p>
      <w:pPr>
        <w:pStyle w:val="Compact"/>
        <w:numPr>
          <w:ilvl w:val="0"/>
          <w:numId w:val="1002"/>
        </w:numPr>
      </w:pPr>
      <w:r>
        <w:t xml:space="preserve">Provides a practical diagnostic framework requiring minimal registry data.</w:t>
      </w:r>
    </w:p>
    <w:bookmarkEnd w:id="10"/>
    <w:bookmarkStart w:id="12" w:name="key-messages"/>
    <w:p>
      <w:pPr>
        <w:pStyle w:val="Heading2"/>
      </w:pPr>
      <w:r>
        <w:t xml:space="preserve">Key messages</w:t>
      </w:r>
    </w:p>
    <w:p>
      <w:pPr>
        <w:pStyle w:val="FirstParagraph"/>
      </w:pPr>
      <w:r>
        <w:t xml:space="preserve">• Selection-induced depletion under latent frailty heterogeneity produces non-proportional hazards and curvature in cumulative hazard trajectories that can bias direct application of standard survival estimands in many retrospective cohort studies.</w:t>
      </w:r>
    </w:p>
    <w:p>
      <w:pPr>
        <w:pStyle w:val="BodyText"/>
      </w:pPr>
      <w:r>
        <w:t xml:space="preserve">• KCOR provides a diagnostic and normalization framework that removes selection-induced depletion curvature from cumulative hazards using minimal registry data, restoring a common comparison scale across cohorts.</w:t>
      </w:r>
    </w:p>
    <w:p>
      <w:pPr>
        <w:pStyle w:val="BodyText"/>
      </w:pPr>
      <w:r>
        <w:t xml:space="preserve">• KCOR separates normalization from comparison: once hazards are depletion-neutralized, cohorts may be compared using standard post-adjustment estimands (e.g., ratios, differences, slopes, or restricted mean survival time), with the choice driven by interpretability rather than identifiability constraints.</w:t>
      </w:r>
    </w:p>
    <w:p>
      <w:pPr>
        <w:pStyle w:val="BodyText"/>
      </w:pPr>
      <w:r>
        <w:t xml:space="preserve">• Simulation studies and empirical controls show that under selection-only regimes, KCOR-normalized trajectories remain stable and centered near the null, while commonly used estimands such as Cox regression can exhibit systematic non-null behavior when applied to unadjusted data.</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3"/>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3"/>
        </w:numPr>
      </w:pPr>
      <w:r>
        <w:rPr>
          <w:b/>
          <w:bCs/>
        </w:rPr>
        <w:t xml:space="preserve">Compute observed hazards</w:t>
      </w:r>
      <w:r>
        <w:t xml:space="preserve">: From weekly alive/dead counts, compute weekly mortality risk and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3"/>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3"/>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3"/>
        </w:numPr>
      </w:pPr>
      <w:r>
        <w:rPr>
          <w:b/>
          <w:bCs/>
        </w:rPr>
        <w:t xml:space="preserve">Compute adjusted cumulative hazard</w:t>
      </w:r>
      <w:r>
        <w:t xml:space="preserve">: Apply the gamma-frailty inversion (Equation (11))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pStyle w:val="FirstParagraph"/>
      </w:pPr>
      <w:r>
        <w:rPr>
          <w:i/>
          <w:iCs/>
        </w:rPr>
        <w:t xml:space="preserve">After normalization, cohort comparisons are performed on the depletion-neutralized scale using a prespecified estimand; in this manuscript, we report cumulative hazard ratios for concreteness.</w:t>
      </w:r>
    </w:p>
    <w:p>
      <w:pPr>
        <w:numPr>
          <w:ilvl w:val="0"/>
          <w:numId w:val="1004"/>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4"/>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4"/>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pPr>
        <w:pStyle w:val="FirstParagraph"/>
      </w:pPr>
      <w:r>
        <w:t xml:space="preserve">Observed cumulative hazards are computed by summing weekly integrated hazard increments</w:t>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t>D</m:t>
                </m:r>
              </m:e>
              <m:sub>
                <m:r>
                  <m:t>d</m:t>
                </m:r>
                <m:r>
                  <m:rPr>
                    <m:sty m:val="p"/>
                  </m:rPr>
                  <m:t>,</m:t>
                </m:r>
                <m:r>
                  <m:t>t</m:t>
                </m:r>
              </m:sub>
            </m:sSub>
            <m:r>
              <m:rPr>
                <m:sty m:val="p"/>
              </m:rPr>
              <m:t>/</m:t>
            </m:r>
            <m:sSub>
              <m:e>
                <m:r>
                  <m:t>Y</m:t>
                </m:r>
              </m:e>
              <m:sub>
                <m:r>
                  <m:t>d</m:t>
                </m:r>
                <m:r>
                  <m:rPr>
                    <m:sty m:val="p"/>
                  </m:rPr>
                  <m:t>,</m:t>
                </m:r>
                <m:r>
                  <m:t>t</m:t>
                </m:r>
              </m:sub>
            </m:sSub>
          </m:e>
        </m:d>
      </m:oMath>
      <w:r>
        <w:t xml:space="preserve">, where</w:t>
      </w:r>
      <w:r>
        <w:t xml:space="preserve"> </w:t>
      </w:r>
      <m:oMath>
        <m:sSub>
          <m:e>
            <m:r>
              <m:t>D</m:t>
            </m:r>
          </m:e>
          <m:sub>
            <m:r>
              <m:t>d</m:t>
            </m:r>
            <m:r>
              <m:rPr>
                <m:sty m:val="p"/>
              </m:rPr>
              <m:t>,</m:t>
            </m:r>
            <m:r>
              <m:t>t</m:t>
            </m:r>
          </m:sub>
        </m:sSub>
      </m:oMath>
      <w:r>
        <w:t xml:space="preserve"> </w:t>
      </w:r>
      <w:r>
        <w:t xml:space="preserve">is the number of deaths during week</w:t>
      </w:r>
      <w:r>
        <w:t xml:space="preserve"> </w:t>
      </w:r>
      <m:oMath>
        <m:r>
          <m:t>t</m:t>
        </m:r>
      </m:oMath>
      <w:r>
        <w:t xml:space="preserve"> </w:t>
      </w:r>
      <w:r>
        <w:t xml:space="preserve">and</w:t>
      </w:r>
      <w:r>
        <w:t xml:space="preserve"> </w:t>
      </w:r>
      <m:oMath>
        <m:sSub>
          <m:e>
            <m:r>
              <m:t>Y</m:t>
            </m:r>
          </m:e>
          <m:sub>
            <m:r>
              <m:t>d</m:t>
            </m:r>
            <m:r>
              <m:rPr>
                <m:sty m:val="p"/>
              </m:rPr>
              <m:t>,</m:t>
            </m:r>
            <m:r>
              <m:t>t</m:t>
            </m:r>
          </m:sub>
        </m:sSub>
      </m:oMath>
      <w:r>
        <w:t xml:space="preserve"> </w:t>
      </w:r>
      <w:r>
        <w:t xml:space="preserve">is the number at risk at the start of that week.</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5"/>
        </w:numPr>
      </w:pPr>
      <w:r>
        <w:rPr>
          <w:b/>
          <w:bCs/>
        </w:rPr>
        <w:t xml:space="preserve">Cox PH</w:t>
      </w:r>
      <w:r>
        <w:t xml:space="preserve">: assumes hazards differ by a time-invariant multiplicative factor (proportional hazards).</w:t>
      </w:r>
    </w:p>
    <w:p>
      <w:pPr>
        <w:pStyle w:val="Compact"/>
        <w:numPr>
          <w:ilvl w:val="0"/>
          <w:numId w:val="1005"/>
        </w:numPr>
      </w:pPr>
      <w:r>
        <w:rPr>
          <w:b/>
          <w:bCs/>
        </w:rPr>
        <w:t xml:space="preserve">IPTW / matching</w:t>
      </w:r>
      <w:r>
        <w:t xml:space="preserve">: can balance measured covariates yet fail to balance unmeasured frailty and the resulting depletion dynamics.</w:t>
      </w:r>
    </w:p>
    <w:p>
      <w:pPr>
        <w:pStyle w:val="Compact"/>
        <w:numPr>
          <w:ilvl w:val="0"/>
          <w:numId w:val="1005"/>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6"/>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6"/>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In this manuscript, the reported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work makes four primary contributions.</w:t>
      </w:r>
    </w:p>
    <w:p>
      <w:pPr>
        <w:pStyle w:val="BodyText"/>
      </w:pPr>
      <w:r>
        <w:t xml:space="preserve">First, we identify and formalize a common failure mode in retrospective cohort survival analysis: selection-induced depletion under latent frailty heterogeneity generates non-proportional hazards and curvature in cumulative hazard trajectories that can bias standard survival estimands when applied directly to observed data.</w:t>
      </w:r>
    </w:p>
    <w:p>
      <w:pPr>
        <w:pStyle w:val="BodyText"/>
      </w:pPr>
      <w:r>
        <w:t xml:space="preserve">Second, we introduce KCOR as a diagnostic and normalization framework that estimates cohort-specific depletion geometry during epidemiologically quiet periods and maps observed cumulative hazards into a depletion-neutralized space via gamma-frailty inversion. This normalization step restores approximate stationarity of hazards and comparability across cohorts using only minimal registry data.</w:t>
      </w:r>
    </w:p>
    <w:p>
      <w:pPr>
        <w:pStyle w:val="BodyText"/>
      </w:pPr>
      <w:r>
        <w:t xml:space="preserve">Third, we demonstrate through simulation and empirical negative controls that commonly used estimands—including Cox proportional hazards regression and related survival-based summaries—can exhibit systematic non-null behavior under selection-only regimes, while KCOR-normalized trajectories remain stable and centered near the null.</w:t>
      </w:r>
    </w:p>
    <w:p>
      <w:pPr>
        <w:pStyle w:val="BodyText"/>
      </w:pPr>
      <w:r>
        <w:t xml:space="preserve">Fourth, we clarify that KCOR does not privilege a single comparison estimand. Rather, it separates normalization from comparison: once hazards are depletion-neutralized, cohorts may be compared using a range of standard post-adjustment estimands (e.g., ratios, differences, slopes, or restricted mean survival time), with the choice driven by interpretability and scientific context. In this manuscript, we focus on ratios of adjusted cumulative hazards as a stable and interpretable summary aligned with the normalization geometry.</w:t>
      </w:r>
    </w:p>
    <w:p>
      <w:pPr>
        <w:pStyle w:val="BodyText"/>
      </w:pPr>
      <w:r>
        <w:t xml:space="preserve">Together, these contributions position KCOR not as a replacement for existing survival estimands, but as a prerequisite normalization step that addresses a source of bias arising prior to model fitting in many retrospective cohort studies.</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can bias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7"/>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7"/>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8"/>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9"/>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10"/>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11"/>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3"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2"/>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2"/>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3"/>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3"/>
        </w:numPr>
      </w:pPr>
      <w:r>
        <w:rPr>
          <w:b/>
          <w:bCs/>
        </w:rPr>
        <w:t xml:space="preserve">Map observed cumulative hazards into a depletion-neutralized space</w:t>
      </w:r>
      <w:r>
        <w:t xml:space="preserve"> </w:t>
      </w:r>
      <w:r>
        <w:t xml:space="preserve">by inverting that geometry.</w:t>
      </w:r>
    </w:p>
    <w:p>
      <w:pPr>
        <w:pStyle w:val="Compact"/>
        <w:numPr>
          <w:ilvl w:val="0"/>
          <w:numId w:val="1013"/>
        </w:numPr>
      </w:pPr>
      <w:r>
        <w:rPr>
          <w:b/>
          <w:bCs/>
        </w:rPr>
        <w:t xml:space="preserve">Compare cohorts only after normalization</w:t>
      </w:r>
      <w:r>
        <w:t xml:space="preserve"> </w:t>
      </w:r>
      <w:r>
        <w:t xml:space="preserve">using a prespecified post-adjustment estimand; in this work, we use ratios of depletion-neutralized cumulative hazards (KCOR).</w:t>
      </w:r>
    </w:p>
    <w:bookmarkStart w:id="30" w:name="target-estimand"/>
    <w:p>
      <w:pPr>
        <w:pStyle w:val="Heading3"/>
      </w:pPr>
      <w:r>
        <w:t xml:space="preserve">2.1.1 Target estimand</w:t>
      </w:r>
    </w:p>
    <w:p>
      <w:pPr>
        <w:pStyle w:val="FirstParagraph"/>
      </w:pPr>
      <w:r>
        <w:rPr>
          <w:i/>
          <w:iCs/>
        </w:rPr>
        <w:t xml:space="preserve">KCOR separates normalization from comparison. The normalization step produces depletion-neutralized baseline cumulative hazards that render cohorts comparable; the subsequent comparison may be carried out using a variety of cumulative or summary estimands. In this manuscript, we define and report the cumulative hazard ratio as the primary estimand.</w:t>
      </w:r>
    </w:p>
    <w:p>
      <w:pPr>
        <w:pStyle w:val="BodyText"/>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4"/>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4"/>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4"/>
        </w:numPr>
      </w:pPr>
      <w:r>
        <w:t xml:space="preserve">absence of systematic residual structure in cumulative-hazard space.</w:t>
      </w:r>
    </w:p>
    <w:p>
      <w:pPr>
        <w:pStyle w:val="FirstParagraph"/>
      </w:pPr>
      <w:r>
        <w:t xml:space="preserve">Diagnostics corresponding to each assumption are summarized in Table D.1 and discussed in detail in Appendix D.</w:t>
      </w:r>
    </w:p>
    <w:p>
      <w:r>
        <w:pict>
          <v:rect style="width:0;height:1.5pt" o:hralign="center" o:hrstd="t" o:hr="t"/>
        </w:pict>
      </w:r>
    </w:p>
    <w:bookmarkEnd w:id="31"/>
    <w:bookmarkStart w:id="32" w:name="assumptions"/>
    <w:p>
      <w:pPr>
        <w:pStyle w:val="Heading3"/>
      </w:pPr>
      <w:r>
        <w:t xml:space="preserve">Assumptions</w:t>
      </w:r>
    </w:p>
    <w:p>
      <w:pPr>
        <w:pStyle w:val="BlockText"/>
      </w:pPr>
      <w:r>
        <w:t xml:space="preserve">The KCOR framework relies on the following assumptions, which are diagnostic rather than causal in nature:</w:t>
      </w:r>
    </w:p>
    <w:p>
      <w:pPr>
        <w:pStyle w:val="BlockText"/>
        <w:numPr>
          <w:ilvl w:val="0"/>
          <w:numId w:val="1015"/>
        </w:numPr>
      </w:pPr>
      <w:r>
        <w:rPr>
          <w:b/>
          <w:bCs/>
        </w:rPr>
        <w:t xml:space="preserve">Fixed cohort enrollment.</w:t>
      </w:r>
      <w:r>
        <w:t xml:space="preserve"> </w:t>
      </w:r>
      <w:r>
        <w:t xml:space="preserve">Cohorts are defined at a common enrollment time and followed forward without dynamic entry or rebalancing.</w:t>
      </w:r>
    </w:p>
    <w:p>
      <w:pPr>
        <w:pStyle w:val="BlockText"/>
        <w:numPr>
          <w:ilvl w:val="0"/>
          <w:numId w:val="1015"/>
        </w:numPr>
      </w:pPr>
      <w:r>
        <w:rPr>
          <w:b/>
          <w:bCs/>
        </w:rPr>
        <w:t xml:space="preserve">Multiplicative latent frailty.</w:t>
      </w:r>
      <w:r>
        <w:t xml:space="preserve"> </w:t>
      </w:r>
      <w:r>
        <w:t xml:space="preserve">Individual hazards are assumed to be multiplicatively composed of a baseline hazard and an unobserved frailty term, with cohort-specific frailty distributions.</w:t>
      </w:r>
    </w:p>
    <w:p>
      <w:pPr>
        <w:pStyle w:val="BlockText"/>
        <w:numPr>
          <w:ilvl w:val="0"/>
          <w:numId w:val="1015"/>
        </w:numPr>
      </w:pPr>
      <w:r>
        <w:rPr>
          <w:b/>
          <w:bCs/>
        </w:rPr>
        <w:t xml:space="preserve">Quiet-window stability.</w:t>
      </w:r>
      <w:r>
        <w:t xml:space="preserve"> </w:t>
      </w:r>
      <w:r>
        <w:t xml:space="preserve">A prespecified epidemiologically quiet period exists during which external shocks to the baseline hazard are minimal, allowing depletion geometry to be estimated from observed cumulative hazards.</w:t>
      </w:r>
    </w:p>
    <w:p>
      <w:pPr>
        <w:pStyle w:val="BlockText"/>
        <w:numPr>
          <w:ilvl w:val="0"/>
          <w:numId w:val="1015"/>
        </w:numPr>
      </w:pPr>
      <w:r>
        <w:rPr>
          <w:b/>
          <w:bCs/>
        </w:rPr>
        <w:t xml:space="preserve">Independence across strata.</w:t>
      </w:r>
      <w:r>
        <w:t xml:space="preserve"> </w:t>
      </w:r>
      <w:r>
        <w:t xml:space="preserve">Cohorts or strata are analyzed independently, without interference, spillover, or cross-cohort coupling.</w:t>
      </w:r>
    </w:p>
    <w:p>
      <w:pPr>
        <w:pStyle w:val="BlockText"/>
        <w:numPr>
          <w:ilvl w:val="0"/>
          <w:numId w:val="1015"/>
        </w:numPr>
      </w:pPr>
      <w:r>
        <w:rPr>
          <w:b/>
          <w:bCs/>
        </w:rPr>
        <w:t xml:space="preserve">Sufficient event-time resolution.</w:t>
      </w:r>
      <w:r>
        <w:t xml:space="preserve"> </w:t>
      </w:r>
      <w:r>
        <w:t xml:space="preserve">Event timing is observed at a temporal resolution adequate to estimate cumulative hazards over the quiet window.</w:t>
      </w:r>
    </w:p>
    <w:p>
      <w:pPr>
        <w:pStyle w:val="BlockText"/>
      </w:pPr>
      <w:r>
        <w:t xml:space="preserve">These assumptions are evaluated empirically using post-normalization diagnostics. Violations are expected to manifest as residual curvature, drift, or instability in adjusted cumulative hazard trajectories.</w:t>
      </w:r>
    </w:p>
    <w:bookmarkEnd w:id="32"/>
    <w:bookmarkEnd w:id="33"/>
    <w:bookmarkStart w:id="34"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6"/>
        </w:numPr>
      </w:pPr>
      <w:r>
        <w:rPr>
          <w:b/>
          <w:bCs/>
        </w:rPr>
        <w:t xml:space="preserve">No post-enrollment switching</w:t>
      </w:r>
      <w:r>
        <w:t xml:space="preserve"> </w:t>
      </w:r>
      <w:r>
        <w:t xml:space="preserve">is allowed (individuals remain in their enrollment cohort),</w:t>
      </w:r>
    </w:p>
    <w:p>
      <w:pPr>
        <w:pStyle w:val="Compact"/>
        <w:numPr>
          <w:ilvl w:val="0"/>
          <w:numId w:val="1016"/>
        </w:numPr>
      </w:pPr>
      <w:r>
        <w:rPr>
          <w:b/>
          <w:bCs/>
        </w:rPr>
        <w:t xml:space="preserve">No censoring</w:t>
      </w:r>
      <w:r>
        <w:t xml:space="preserve"> </w:t>
      </w:r>
      <w:r>
        <w:t xml:space="preserve">is applied (other than administrative end of follow-up),</w:t>
      </w:r>
    </w:p>
    <w:p>
      <w:pPr>
        <w:pStyle w:val="Compact"/>
        <w:numPr>
          <w:ilvl w:val="0"/>
          <w:numId w:val="1016"/>
        </w:numPr>
      </w:pPr>
      <w:r>
        <w:t xml:space="preserve">analyses are performed on the resulting fixed risk sets.</w:t>
      </w:r>
    </w:p>
    <w:p>
      <w:pPr>
        <w:pStyle w:val="FirstParagraph"/>
      </w:pPr>
      <w:r>
        <w:t xml:space="preserve">Censoring or reclassification due to cohort transitions (e.g., moving between exposure groups over time) is not permitted, because such transitions alter the frailty composition of the cohort in a time-dependent manner. Allowing transitions would introduce additional, endogenous selection that changes cohort mortality trajectories in unpredictable ways, confounding depletion effects that KCOR is designed to normalize.</w:t>
      </w:r>
    </w:p>
    <w:p>
      <w:pPr>
        <w:pStyle w:val="BodyText"/>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Conceptual requirements of the KCOR framework are distinguished from operational defaults, which are reported separately for reproducibility (Appendix E).</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4"/>
    <w:bookmarkStart w:id="37"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5"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5"/>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6"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6"/>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7"/>
    <w:bookmarkStart w:id="78" w:name="Xac986e115b315a486d7d296f1ed82bc5da7c6c5"/>
    <w:p>
      <w:pPr>
        <w:pStyle w:val="Heading2"/>
      </w:pPr>
      <w:r>
        <w:t xml:space="preserve">2.4 Selection model: gamma frailty and depletion normalization</w:t>
      </w:r>
    </w:p>
    <w:bookmarkStart w:id="39"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8"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8"/>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9"/>
    <w:bookmarkStart w:id="43" w:name="gamma-frailty-identity-and-inversion"/>
    <w:p>
      <w:pPr>
        <w:pStyle w:val="Heading3"/>
      </w:pPr>
      <w:r>
        <w:t xml:space="preserve">2.4.2 Gamma-frailty identity and inversion</w:t>
      </w:r>
    </w:p>
    <w:p>
      <w:pPr>
        <w:pStyle w:val="FirstParagraph"/>
      </w:pPr>
      <w:r>
        <w:t xml:space="preserve">Let</w:t>
      </w:r>
    </w:p>
    <w:bookmarkStart w:id="40"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0"/>
    <w:p>
      <w:pPr>
        <w:pStyle w:val="BodyText"/>
      </w:pPr>
      <w:r>
        <w:t xml:space="preserve">denote the baseline cumulative hazard. Integrating over gamma frailty yields the gamma-frailty identity</w:t>
      </w:r>
    </w:p>
    <w:bookmarkStart w:id="41"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1"/>
    <w:p>
      <w:pPr>
        <w:pStyle w:val="BodyText"/>
      </w:pPr>
      <w:r>
        <w:t xml:space="preserve">which can be inverted exactly as</w:t>
      </w:r>
    </w:p>
    <w:bookmarkStart w:id="42"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2"/>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3"/>
    <w:bookmarkStart w:id="45"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4"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4"/>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5"/>
    <w:bookmarkStart w:id="47"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6"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7"/>
        </w:numPr>
      </w:pPr>
      <w:r>
        <w:t xml:space="preserve">Calendar-time hazard curves exhibit approximate linearity with no sustained trend breaks.</w:t>
      </w:r>
    </w:p>
    <w:p>
      <w:pPr>
        <w:pStyle w:val="Compact"/>
        <w:numPr>
          <w:ilvl w:val="0"/>
          <w:numId w:val="1017"/>
        </w:numPr>
      </w:pPr>
      <w:r>
        <w:t xml:space="preserve">Periods containing epidemic waves, reporting artifacts, or policy shocks are excluded.</w:t>
      </w:r>
    </w:p>
    <w:p>
      <w:pPr>
        <w:pStyle w:val="Compact"/>
        <w:numPr>
          <w:ilvl w:val="0"/>
          <w:numId w:val="1017"/>
        </w:numPr>
      </w:pPr>
      <w:r>
        <w:t xml:space="preserve">The window spans a minimum duration sufficient for stable slope estimation.</w:t>
      </w:r>
    </w:p>
    <w:p>
      <w:pPr>
        <w:pStyle w:val="Compact"/>
        <w:numPr>
          <w:ilvl w:val="0"/>
          <w:numId w:val="1017"/>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6"/>
    <w:bookmarkEnd w:id="47"/>
    <w:bookmarkStart w:id="50"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8"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8"/>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9"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9"/>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p>
      <w:pPr>
        <w:pStyle w:val="BodyText"/>
      </w:pPr>
      <w:r>
        <w:t xml:space="preserve">All analyses use a prespecified reference implementation with fixed operational defaults; full details are provided in Appendix E.</w:t>
      </w:r>
    </w:p>
    <w:bookmarkEnd w:id="50"/>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1"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1"/>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bookmarkStart w:id="53" w:name="kcor-identity-summary"/>
    <w:p>
      <w:pPr>
        <w:pStyle w:val="Heading4"/>
      </w:pPr>
      <w:r>
        <w:t xml:space="preserve">KCOR Identity Summary</w:t>
      </w:r>
    </w:p>
    <w:p>
      <w:pPr>
        <w:pStyle w:val="FirstParagraph"/>
      </w:pPr>
      <w:r>
        <w:t xml:space="preserve">This block summarizes the core KCOR identities used throughout the manuscript; each appears elsewhere in full detail. References point to the original labeled equations to preserve equation numbering.</w:t>
      </w:r>
    </w:p>
    <w:p>
      <w:pPr>
        <w:pStyle w:val="BodyText"/>
      </w:pPr>
      <w:r>
        <w:t xml:space="preserve">Unlabeled summary forms: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t>  </m:t>
          </m:r>
          <m:r>
            <m:rPr>
              <m:nor/>
              <m:sty m:val="p"/>
            </m:rPr>
            <m:t>(see Equation @eq:hazard-discrete).</m:t>
          </m:r>
        </m:oMath>
      </m:oMathPara>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t>  </m:t>
          </m:r>
          <m:r>
            <m:rPr>
              <m:nor/>
              <m:sty m:val="p"/>
            </m:rPr>
            <m:t>(see Equation @eq:nls-objective).</m:t>
          </m:r>
        </m:oMath>
      </m:oMathPara>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t>  </m:t>
          </m:r>
          <m:r>
            <m:rPr>
              <m:nor/>
              <m:sty m:val="p"/>
            </m:rPr>
            <m:t>(see Equation @eq:normalized-cumhazard).</m:t>
          </m:r>
        </m:oMath>
      </m:oMathPara>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t>  </m:t>
          </m:r>
          <m:r>
            <m:rPr>
              <m:nor/>
              <m:sty m:val="p"/>
            </m:rPr>
            <m:t>(see Equation @eq:kcor-estimand).</m:t>
          </m:r>
        </m:oMath>
      </m:oMathPara>
    </w:p>
    <w:p>
      <w:pPr>
        <w:pStyle w:val="FirstParagraph"/>
      </w:pPr>
      <w:r>
        <w:t xml:space="preserve">Where:</w:t>
      </w:r>
      <w:r>
        <w:t xml:space="preserve"> </w:t>
      </w:r>
      <m:oMath>
        <m:r>
          <m:t>d</m:t>
        </m:r>
      </m:oMath>
      <w:r>
        <w:t xml:space="preserve"> </w:t>
      </w:r>
      <w:r>
        <w:t xml:space="preserve">indexes cohorts;</w:t>
      </w:r>
      <w:r>
        <w:t xml:space="preserve"> </w:t>
      </w:r>
      <m:oMath>
        <m:r>
          <m:t>t</m:t>
        </m:r>
      </m:oMath>
      <w:r>
        <w:t xml:space="preserve"> </w:t>
      </w:r>
      <w:r>
        <w:t xml:space="preserve">is discrete event time since enrollment;</w:t>
      </w:r>
      <w:r>
        <w:t xml:space="preserve"> </w:t>
      </w:r>
      <m:oMath>
        <m:sSub>
          <m:e>
            <m:r>
              <m:t>N</m:t>
            </m:r>
          </m:e>
          <m:sub>
            <m:r>
              <m:t>d</m:t>
            </m:r>
          </m:sub>
        </m:sSub>
        <m:r>
          <m:rPr>
            <m:sty m:val="p"/>
          </m:rPr>
          <m:t>(</m:t>
        </m:r>
        <m:r>
          <m:t>t</m:t>
        </m:r>
        <m:r>
          <m:rPr>
            <m:sty m:val="p"/>
          </m:rPr>
          <m:t>)</m:t>
        </m:r>
      </m:oMath>
      <w:r>
        <w:t xml:space="preserve"> </w:t>
      </w:r>
      <w:r>
        <w:t xml:space="preserve">is the risk set size at the start of interval</w:t>
      </w:r>
      <w:r>
        <w:t xml:space="preserve"> </w:t>
      </w:r>
      <m:oMath>
        <m:r>
          <m:t>t</m:t>
        </m:r>
      </m:oMath>
      <w:r>
        <w:t xml:space="preserve">;</w:t>
      </w:r>
      <w:r>
        <w:t xml:space="preserve"> </w:t>
      </w:r>
      <m:oMath>
        <m:sSub>
          <m:e>
            <m:r>
              <m:t>d</m:t>
            </m:r>
          </m:e>
          <m:sub>
            <m:r>
              <m:t>d</m:t>
            </m:r>
          </m:sub>
        </m:sSub>
        <m:r>
          <m:rPr>
            <m:sty m:val="p"/>
          </m:rPr>
          <m:t>(</m:t>
        </m:r>
        <m:r>
          <m:t>t</m:t>
        </m:r>
        <m:r>
          <m:rPr>
            <m:sty m:val="p"/>
          </m:rPr>
          <m:t>)</m:t>
        </m:r>
      </m:oMath>
      <w:r>
        <w:t xml:space="preserve"> </w:t>
      </w:r>
      <w:r>
        <w:t xml:space="preserve">is deaths in interval</w:t>
      </w:r>
      <w:r>
        <w:t xml:space="preserve"> </w:t>
      </w:r>
      <m:oMath>
        <m:r>
          <m:t>t</m:t>
        </m:r>
      </m:oMath>
      <w:r>
        <w:t xml:space="preserve">;</w:t>
      </w:r>
      <w:r>
        <w:t xml:space="preserve"> </w:t>
      </w:r>
      <m:oMath>
        <m:sSub>
          <m:e>
            <m:r>
              <m:rPr>
                <m:scr m:val="script"/>
                <m:sty m:val="p"/>
              </m:rPr>
              <m:t>T</m:t>
            </m:r>
          </m:e>
          <m:sub>
            <m:r>
              <m:t>d</m:t>
            </m:r>
          </m:sub>
        </m:sSub>
      </m:oMath>
      <w:r>
        <w:t xml:space="preserve"> </w:t>
      </w:r>
      <w:r>
        <w:t xml:space="preserve">is the set of fit bins lying inside the prespecified quiet window;</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is the observed cumulative hazard; and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the depletion-neutralized baseline cumulative hazard used for cohort comparison.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2"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w:t>
      </w:r>
    </w:p>
    <w:p>
      <w:pPr>
        <w:pStyle w:val="BodyText"/>
      </w:pPr>
      <w:r>
        <w:rPr>
          <w:i/>
          <w:iCs/>
        </w:rPr>
        <w:t xml:space="preserve">Rather, normalization defines a common comparison space; the choice of estimand on that space is a scientific decision. This work focuses on cumulative hazard ratios because they are stable, interpretable, and directly aligned with the normalization geometry.</w:t>
      </w:r>
    </w:p>
    <w:p>
      <w:pPr>
        <w:pStyle w:val="BodyText"/>
      </w:pPr>
      <w:r>
        <w:t xml:space="preserve">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End w:id="53"/>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8"/>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8"/>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9"/>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20"/>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1"/>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1"/>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1"/>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1"/>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1"/>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4"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2"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2"/>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2"/>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Table 6 reports numerical summaries of the Cox-vs-KCOR behavior across the frailty grid.</w:t>
      </w:r>
    </w:p>
    <w:p>
      <w:pPr>
        <w:pStyle w:val="BodyText"/>
      </w:pPr>
      <w:r>
        <w:t xml:space="preserve">Additional Cox HR results from the same synthetic-null grid are provided in the Supplementary Material (Figure 5).</w:t>
      </w:r>
    </w:p>
    <w:bookmarkStart w:id="71" w:name="fig:cox_bias_kcor"/>
    <w:p>
      <w:pPr>
        <w:pStyle w:val="CaptionedFigure"/>
      </w:pPr>
      <w:r>
        <w:drawing>
          <wp:inline>
            <wp:extent cx="5334000" cy="3975680"/>
            <wp:effectExtent b="0" l="0" r="0" t="0"/>
            <wp:docPr descr="Figure 2.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69" name="Picture"/>
            <a:graphic>
              <a:graphicData uri="http://schemas.openxmlformats.org/drawingml/2006/picture">
                <pic:pic>
                  <pic:nvPicPr>
                    <pic:cNvPr descr="figures/fig_cox_bias_kco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1"/>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2"/>
    <w:bookmarkStart w:id="73"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is not supported by the data.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3"/>
    <w:bookmarkEnd w:id="74"/>
    <w:bookmarkStart w:id="75"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5"/>
    <w:bookmarkStart w:id="76"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76"/>
    <w:bookmarkStart w:id="77"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77"/>
    <w:bookmarkEnd w:id="78"/>
    <w:bookmarkStart w:id="9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3"/>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86" w:name="X250d2743dd947cd04209f9dc9cf02b545517230"/>
    <w:p>
      <w:pPr>
        <w:pStyle w:val="Heading3"/>
      </w:pPr>
      <w:r>
        <w:t xml:space="preserve">3.1 Negative controls: null under selection-induced curvature</w:t>
      </w:r>
    </w:p>
    <w:bookmarkStart w:id="80"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4"/>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79"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5"/>
        </w:numPr>
      </w:pPr>
      <w:r>
        <w:t xml:space="preserve">Time unit: weeks.</w:t>
      </w:r>
    </w:p>
    <w:p>
      <w:pPr>
        <w:pStyle w:val="Compact"/>
        <w:numPr>
          <w:ilvl w:val="0"/>
          <w:numId w:val="1025"/>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6 shows this construction.</w:t>
      </w:r>
    </w:p>
    <w:p>
      <w:pPr>
        <w:pStyle w:val="BodyText"/>
      </w:pPr>
      <w:r>
        <w:t xml:space="preserve">The corresponding synthetic negative-control figure is provided in the Supplementary Material (Figure 6).</w:t>
      </w:r>
    </w:p>
    <w:bookmarkEnd w:id="79"/>
    <w:bookmarkEnd w:id="80"/>
    <w:bookmarkStart w:id="85"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3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84"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 title="" id="82" name="Picture"/>
            <a:graphic>
              <a:graphicData uri="http://schemas.openxmlformats.org/drawingml/2006/picture">
                <pic:pic>
                  <pic:nvPicPr>
                    <pic:cNvPr descr="figures/fig2_neg_control_10yr_age_diff.png" id="83" name="Picture"/>
                    <pic:cNvPicPr>
                      <a:picLocks noChangeArrowheads="1" noChangeAspect="1"/>
                    </pic:cNvPicPr>
                  </pic:nvPicPr>
                  <pic:blipFill>
                    <a:blip r:embed="rId81"/>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84"/>
    <w:p>
      <w:pPr>
        <w:pStyle w:val="BodyText"/>
      </w:pPr>
      <w:r>
        <w:t xml:space="preserve">The corresponding 20-year age-shift negative control is provided in the Supplementary Material (Figure 7).</w:t>
      </w:r>
    </w:p>
    <w:p>
      <w:pPr>
        <w:pStyle w:val="BodyText"/>
      </w:pPr>
      <w:r>
        <w:t xml:space="preserve">Table 7 provides numeric summaries.</w:t>
      </w:r>
    </w:p>
    <w:bookmarkEnd w:id="85"/>
    <w:bookmarkEnd w:id="86"/>
    <w:bookmarkStart w:id="9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87"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87"/>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4 and Table 8 confirm this behavior.</w:t>
      </w:r>
    </w:p>
    <w:bookmarkStart w:id="91" w:name="fig:pos_control_injected"/>
    <w:p>
      <w:pPr>
        <w:pStyle w:val="CaptionedFigure"/>
      </w:pPr>
      <w:r>
        <w:drawing>
          <wp:inline>
            <wp:extent cx="5334000" cy="4253184"/>
            <wp:effectExtent b="0" l="0" r="0" t="0"/>
            <wp:docPr descr="Figure 4.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89" name="Picture"/>
            <a:graphic>
              <a:graphicData uri="http://schemas.openxmlformats.org/drawingml/2006/picture">
                <pic:pic>
                  <pic:nvPicPr>
                    <pic:cNvPr descr="figures/fig_pos_control_injected.png" id="90" name="Picture"/>
                    <pic:cNvPicPr>
                      <a:picLocks noChangeArrowheads="1" noChangeAspect="1"/>
                    </pic:cNvPicPr>
                  </pic:nvPicPr>
                  <pic:blipFill>
                    <a:blip r:embed="rId8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4.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91"/>
    <w:bookmarkEnd w:id="92"/>
    <w:bookmarkStart w:id="9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6"/>
        </w:numPr>
      </w:pPr>
      <w:r>
        <w:t xml:space="preserve">Quiet-window selection (calendar ISO-week bounds)</w:t>
      </w:r>
    </w:p>
    <w:p>
      <w:pPr>
        <w:pStyle w:val="Compact"/>
        <w:numPr>
          <w:ilvl w:val="0"/>
          <w:numId w:val="1026"/>
        </w:numPr>
      </w:pPr>
      <w:r>
        <w:t xml:space="preserve">Stabilization skip (early-bin handling)</w:t>
      </w:r>
    </w:p>
    <w:p>
      <w:pPr>
        <w:pStyle w:val="Compact"/>
        <w:numPr>
          <w:ilvl w:val="0"/>
          <w:numId w:val="1026"/>
        </w:numPr>
      </w:pPr>
      <w:r>
        <w:t xml:space="preserve">Time-binning resolution</w:t>
      </w:r>
    </w:p>
    <w:p>
      <w:pPr>
        <w:pStyle w:val="Compact"/>
        <w:numPr>
          <w:ilvl w:val="0"/>
          <w:numId w:val="1026"/>
        </w:numPr>
      </w:pPr>
      <w:r>
        <w:t xml:space="preserve">Age stratification and/or stratified analyses where appropriate</w:t>
      </w:r>
    </w:p>
    <w:p>
      <w:pPr>
        <w:pStyle w:val="Compact"/>
        <w:numPr>
          <w:ilvl w:val="0"/>
          <w:numId w:val="1026"/>
        </w:numPr>
      </w:pPr>
      <w:r>
        <w:t xml:space="preserve">Baseline shape choice (default constant baseline over the fit window; alternatives can be assessed as sensitivity)</w:t>
      </w:r>
    </w:p>
    <w:p>
      <w:pPr>
        <w:pStyle w:val="FirstParagraph"/>
      </w:pPr>
      <w:r>
        <w:t xml:space="preserve">KCOR stability across the parameter grid is summarized in the Supplementary Material (Figure 8).</w:t>
      </w:r>
    </w:p>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93"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7"/>
        </w:numPr>
      </w:pPr>
      <w:r>
        <w:rPr>
          <w:b/>
          <w:bCs/>
        </w:rPr>
        <w:t xml:space="preserve">Gamma</w:t>
      </w:r>
      <w:r>
        <w:t xml:space="preserve"> </w:t>
      </w:r>
      <w:r>
        <w:t xml:space="preserve">(baseline reference)</w:t>
      </w:r>
    </w:p>
    <w:p>
      <w:pPr>
        <w:pStyle w:val="Compact"/>
        <w:numPr>
          <w:ilvl w:val="0"/>
          <w:numId w:val="1027"/>
        </w:numPr>
      </w:pPr>
      <w:r>
        <w:rPr>
          <w:b/>
          <w:bCs/>
        </w:rPr>
        <w:t xml:space="preserve">Lognormal</w:t>
      </w:r>
      <w:r>
        <w:t xml:space="preserve"> </w:t>
      </w:r>
      <w:r>
        <w:t xml:space="preserve">frailty</w:t>
      </w:r>
    </w:p>
    <w:p>
      <w:pPr>
        <w:pStyle w:val="Compact"/>
        <w:numPr>
          <w:ilvl w:val="0"/>
          <w:numId w:val="1027"/>
        </w:numPr>
      </w:pPr>
      <w:r>
        <w:rPr>
          <w:b/>
          <w:bCs/>
        </w:rPr>
        <w:t xml:space="preserve">Two-point mixture</w:t>
      </w:r>
      <w:r>
        <w:t xml:space="preserve"> </w:t>
      </w:r>
      <w:r>
        <w:t xml:space="preserve">(discrete frailty)</w:t>
      </w:r>
    </w:p>
    <w:p>
      <w:pPr>
        <w:pStyle w:val="Compact"/>
        <w:numPr>
          <w:ilvl w:val="0"/>
          <w:numId w:val="1027"/>
        </w:numPr>
      </w:pPr>
      <w:r>
        <w:rPr>
          <w:b/>
          <w:bCs/>
        </w:rPr>
        <w:t xml:space="preserve">Bimodal</w:t>
      </w:r>
      <w:r>
        <w:t xml:space="preserve"> </w:t>
      </w:r>
      <w:r>
        <w:t xml:space="preserve">frailty distributions</w:t>
      </w:r>
    </w:p>
    <w:p>
      <w:pPr>
        <w:pStyle w:val="Compact"/>
        <w:numPr>
          <w:ilvl w:val="0"/>
          <w:numId w:val="1027"/>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can degrade gracefully by attenuating toward unity or by not meeting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93"/>
    <w:bookmarkEnd w:id="94"/>
    <w:bookmarkStart w:id="95"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Simulation grid figures are provided in the Supplementary Material (Figures 9 and 10).</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diagnostics are intended to indicate loss of identifiability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p>
      <w:pPr>
        <w:pStyle w:val="BodyText"/>
      </w:pPr>
      <w:r>
        <w:t xml:space="preserve">S7 and skip-window sensitivity figures referenced in this section are provided in the Supplementary Material (Figures 11, 12, and 13).</w:t>
      </w:r>
    </w:p>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among the methods evaluated, KCOR remained stable and near-null, while RMST and time-varying Cox produced non-null contrasts that varied with frailty strength, consistent with inherited depletion geometry rather than causal signal (Table 10). Across selection-only scenarios, among the estimands evaluated, KCOR’s median deviation from the null remained approximately zero across the full frailty grid, whereas RMST and time-varying Cox produced systematic non-null contrasts that increased with frailty strength (Table 10).</w:t>
      </w:r>
    </w:p>
    <w:p>
      <w:pPr>
        <w:pStyle w:val="BodyText"/>
      </w:pPr>
      <w:r>
        <w:t xml:space="preserve">Bootstrap coverage results are summarized in Table 11.</w:t>
      </w:r>
    </w:p>
    <w:bookmarkEnd w:id="95"/>
    <w:bookmarkStart w:id="9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96"/>
    <w:bookmarkStart w:id="9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Post-normalization diagnostics are used to assess whether the depletion geometry has been adequately corrected. In practice, we treat the following criteria as indicative of acceptable normalization: (i) residual drift in adjusted cumulative hazards below 5% per year within the evaluation window; (ii) approximate linearity during the quiet period with coefficient of determination R² ≥ 0.98; and (iii) root-mean-square deviation consistent with values observed under simulated null regimes.</w:t>
      </w:r>
    </w:p>
    <w:p>
      <w:pPr>
        <w:pStyle w:val="BodyText"/>
      </w:pPr>
      <w:r>
        <w:t xml:space="preserve">These thresholds were calibrated empirically through simulation studies spanning a wide range of frailty heterogeneity and selection strength. Diagnostics are intended to identify departures from the modeling assumptions rather than to provide formal hypothesis tests, and should be interpreted as descriptive measures of normalization adequacy.</w:t>
      </w:r>
    </w:p>
    <w:bookmarkEnd w:id="97"/>
    <w:bookmarkEnd w:id="98"/>
    <w:bookmarkStart w:id="103"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99"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99"/>
    <w:bookmarkStart w:id="100"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rPr>
          <w:i/>
          <w:iCs/>
        </w:rPr>
        <w:t xml:space="preserve">Many commonly used survival estimands—such as hazard ratios, cumulative hazard differences, or restricted mean survival time—are not intrinsically invalid. Their failure in retrospective cohort studies arises when they are applied to unadjusted data exhibiting selection-induced depletion. KCOR does not replace these estimands; instead, it provides a normalization step that restores comparability. After depletion normalization, such estimands may be meaningfully computed, with the choice driven by interpretability rather than by identifiability constraints imposed by selection bias.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8"/>
        </w:numPr>
      </w:pPr>
      <w:r>
        <w:t xml:space="preserve">selection-induced depletion dynamics can be estimated during quiet periods using a gamma-frailty mixture model, and</w:t>
      </w:r>
    </w:p>
    <w:p>
      <w:pPr>
        <w:pStyle w:val="Compact"/>
        <w:numPr>
          <w:ilvl w:val="0"/>
          <w:numId w:val="102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00"/>
    <w:bookmarkStart w:id="101"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1"/>
    <w:bookmarkStart w:id="102"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9"/>
        </w:numPr>
      </w:pPr>
      <w:r>
        <w:t xml:space="preserve">Enrollment definition and justification</w:t>
      </w:r>
    </w:p>
    <w:p>
      <w:pPr>
        <w:pStyle w:val="Compact"/>
        <w:numPr>
          <w:ilvl w:val="0"/>
          <w:numId w:val="1029"/>
        </w:numPr>
      </w:pPr>
      <w:r>
        <w:t xml:space="preserve">Risk set definitions and event-time binning</w:t>
      </w:r>
    </w:p>
    <w:p>
      <w:pPr>
        <w:pStyle w:val="Compact"/>
        <w:numPr>
          <w:ilvl w:val="0"/>
          <w:numId w:val="1029"/>
        </w:numPr>
      </w:pPr>
      <w:r>
        <w:t xml:space="preserve">Quiet-window definition and justification</w:t>
      </w:r>
    </w:p>
    <w:p>
      <w:pPr>
        <w:pStyle w:val="Compact"/>
        <w:numPr>
          <w:ilvl w:val="0"/>
          <w:numId w:val="1029"/>
        </w:numPr>
      </w:pPr>
      <w:r>
        <w:t xml:space="preserve">Baseline-shape choice (default constant baseline over the fit window) and fit diagnostics</w:t>
      </w:r>
    </w:p>
    <w:p>
      <w:pPr>
        <w:pStyle w:val="Compact"/>
        <w:numPr>
          <w:ilvl w:val="0"/>
          <w:numId w:val="1029"/>
        </w:numPr>
      </w:pPr>
      <w:r>
        <w:t xml:space="preserve">Skip/stabilization rule and robustness to nearby values</w:t>
      </w:r>
    </w:p>
    <w:p>
      <w:pPr>
        <w:pStyle w:val="Compact"/>
        <w:numPr>
          <w:ilvl w:val="0"/>
          <w:numId w:val="1029"/>
        </w:numPr>
      </w:pPr>
      <w:r>
        <w:t xml:space="preserve">Predefined negative/positive controls used for validation</w:t>
      </w:r>
    </w:p>
    <w:p>
      <w:pPr>
        <w:pStyle w:val="Compact"/>
        <w:numPr>
          <w:ilvl w:val="0"/>
          <w:numId w:val="102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pPr>
        <w:pStyle w:val="BlockText"/>
      </w:pPr>
      <w:r>
        <w:t xml:space="preserve">This work is intentionally non-causal. KCOR is not proposed as an estimator of treatment effects, nor does it attempt to recover counterfactual outcomes under hypothetical interventions. Instead, it is a diagnostic and descriptive framework designed to address a specific geometric distortion that arises prior to model fitting in retrospective cohort data: selection-induced depletion under latent frailty heterogeneity. By estimating and inverting cohort-specific depletion geometry during epidemiologically quiet periods, KCOR maps observed cumulative hazards into a common comparison scale on which standard post-adjustment summaries may be meaningfully interpreted. The stability of KCOR-normalized trajectories under selection-only regimes should therefore not be construed as evidence of causal neutrality, but rather as evidence that the normalization removes bias arising from heterogeneous risk composition before any causal or associational estimand is imposed. In this sense, KCOR is complementary to, rather than a substitute for, causal inference frameworks, and may be viewed as a preprocessing step that clarifies the limits of what can be inferred from observational data when proportional hazards assumptions are violated. Future work may explore how depletion-neutralized hazard representations could be incorporated into causal pipelines—for example, as inputs to target trial emulation or sensitivity analyses—while preserving the separation between normalization and causal identification emphasized here.</w:t>
      </w:r>
    </w:p>
    <w:bookmarkEnd w:id="102"/>
    <w:bookmarkEnd w:id="103"/>
    <w:bookmarkStart w:id="107" w:name="limitations"/>
    <w:p>
      <w:pPr>
        <w:pStyle w:val="Heading2"/>
      </w:pPr>
      <w:r>
        <w:t xml:space="preserve">5. Limitations</w:t>
      </w:r>
    </w:p>
    <w:p>
      <w:pPr>
        <w:pStyle w:val="Compact"/>
        <w:numPr>
          <w:ilvl w:val="0"/>
          <w:numId w:val="103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30"/>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30"/>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30"/>
        </w:numPr>
      </w:pPr>
      <w:r>
        <w:rPr>
          <w:b/>
          <w:bCs/>
        </w:rPr>
        <w:t xml:space="preserve">Sparse events</w:t>
      </w:r>
      <w:r>
        <w:t xml:space="preserve">: When event counts are small, hazard estimation and parameter fitting can be unstable.</w:t>
      </w:r>
    </w:p>
    <w:p>
      <w:pPr>
        <w:pStyle w:val="Compact"/>
        <w:numPr>
          <w:ilvl w:val="0"/>
          <w:numId w:val="103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3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30"/>
        </w:numPr>
      </w:pPr>
      <w:r>
        <w:rPr>
          <w:b/>
          <w:bCs/>
        </w:rPr>
        <w:t xml:space="preserve">Applicability to other outcomes</w:t>
      </w:r>
      <w:r>
        <w:t xml:space="preserve">: 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p>
      <w:pPr>
        <w:pStyle w:val="Compact"/>
        <w:numPr>
          <w:ilvl w:val="0"/>
          <w:numId w:val="103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4"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1"/>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1"/>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2"/>
        </w:numPr>
      </w:pPr>
      <w:r>
        <w:rPr>
          <w:b/>
          <w:bCs/>
        </w:rPr>
        <w:t xml:space="preserve">Sensitivity analyses</w:t>
      </w:r>
      <w:r>
        <w:t xml:space="preserve"> </w:t>
      </w:r>
      <w:r>
        <w:t xml:space="preserve">over plausible quiet windows and skip-weeks values.</w:t>
      </w:r>
    </w:p>
    <w:p>
      <w:pPr>
        <w:pStyle w:val="Compact"/>
        <w:numPr>
          <w:ilvl w:val="0"/>
          <w:numId w:val="1032"/>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4"/>
    <w:bookmarkStart w:id="105"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05"/>
    <w:bookmarkStart w:id="106"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06"/>
    <w:bookmarkEnd w:id="107"/>
    <w:bookmarkStart w:id="109"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can exhibit systematic deviation under non-proportional hazards and selection-induced depletion, KCOR provides a practical alternative that operates on minimal individual-level information—dates of birth, intervention, and death—while remaining applicable to national registry data where richer covariates are unavailable or unreliable.</w:t>
      </w:r>
    </w:p>
    <w:p>
      <w:pPr>
        <w:pStyle w:val="BodyText"/>
      </w:pPr>
      <w:r>
        <w:t xml:space="preserve">Reproducibility: code, simulations, and manuscript build instructions are available in the project repository (</w:t>
      </w:r>
      <w:hyperlink r:id="rId108">
        <w:r>
          <w:rPr>
            <w:rStyle w:val="Hyperlink"/>
          </w:rPr>
          <w:t xml:space="preserve">https://github.com/skirsch/KCOR</w:t>
        </w:r>
      </w:hyperlink>
      <w:r>
        <w:t xml:space="preserve">).</w:t>
      </w:r>
    </w:p>
    <w:bookmarkEnd w:id="109"/>
    <w:bookmarkStart w:id="120" w:name="declarations"/>
    <w:p>
      <w:pPr>
        <w:pStyle w:val="Heading2"/>
      </w:pPr>
      <w:r>
        <w:t xml:space="preserve">Declarations</w:t>
      </w:r>
    </w:p>
    <w:bookmarkStart w:id="110"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3 and 7) use aggregated cohort summaries derived from Czech Republic administrative data; no record-level data are shared in this manuscript.</w:t>
      </w:r>
      <w:r>
        <w:rPr>
          <w:vertAlign w:val="superscript"/>
        </w:rPr>
        <w:t xml:space="preserve">12</w:t>
      </w:r>
    </w:p>
    <w:bookmarkEnd w:id="110"/>
    <w:bookmarkStart w:id="111" w:name="consent-for-publication"/>
    <w:p>
      <w:pPr>
        <w:pStyle w:val="Heading3"/>
      </w:pPr>
      <w:r>
        <w:t xml:space="preserve">Consent for publication</w:t>
      </w:r>
    </w:p>
    <w:p>
      <w:pPr>
        <w:pStyle w:val="FirstParagraph"/>
      </w:pPr>
      <w:r>
        <w:t xml:space="preserve">Not applicable.</w:t>
      </w:r>
    </w:p>
    <w:bookmarkEnd w:id="111"/>
    <w:bookmarkStart w:id="112"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3"/>
        </w:numPr>
      </w:pPr>
      <w:r>
        <w:t xml:space="preserve">The reference implementation includes example datasets in KCOR_CMR format for reproducibility.</w:t>
      </w:r>
    </w:p>
    <w:p>
      <w:pPr>
        <w:pStyle w:val="Compact"/>
        <w:numPr>
          <w:ilvl w:val="0"/>
          <w:numId w:val="103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12"/>
    <w:bookmarkStart w:id="114" w:name="code-availability"/>
    <w:p>
      <w:pPr>
        <w:pStyle w:val="Heading3"/>
      </w:pPr>
      <w:r>
        <w:t xml:space="preserve">Code availability</w:t>
      </w:r>
    </w:p>
    <w:p>
      <w:pPr>
        <w:pStyle w:val="Compact"/>
        <w:numPr>
          <w:ilvl w:val="0"/>
          <w:numId w:val="1034"/>
        </w:numPr>
      </w:pPr>
      <w:r>
        <w:t xml:space="preserve">The KCOR reference implementation and complete validation suite are available in the project repository.</w:t>
      </w:r>
    </w:p>
    <w:p>
      <w:pPr>
        <w:pStyle w:val="Compact"/>
        <w:numPr>
          <w:ilvl w:val="0"/>
          <w:numId w:val="1034"/>
        </w:numPr>
      </w:pPr>
      <w:r>
        <w:t xml:space="preserve">Repository URL:</w:t>
      </w:r>
      <w:r>
        <w:t xml:space="preserve"> </w:t>
      </w:r>
      <w:hyperlink r:id="rId108">
        <w:r>
          <w:rPr>
            <w:rStyle w:val="Hyperlink"/>
          </w:rPr>
          <w:t xml:space="preserve">https://github.com/skirsch/KCOR</w:t>
        </w:r>
      </w:hyperlink>
    </w:p>
    <w:p>
      <w:pPr>
        <w:pStyle w:val="Compact"/>
        <w:numPr>
          <w:ilvl w:val="0"/>
          <w:numId w:val="1034"/>
        </w:numPr>
      </w:pPr>
      <w:r>
        <w:t xml:space="preserve">Zenodo DOI:</w:t>
      </w:r>
      <w:r>
        <w:t xml:space="preserve"> </w:t>
      </w:r>
      <w:hyperlink r:id="rId113">
        <w:r>
          <w:rPr>
            <w:rStyle w:val="Hyperlink"/>
          </w:rPr>
          <w:t xml:space="preserve">10.5281/zenodo.18050329</w:t>
        </w:r>
      </w:hyperlink>
    </w:p>
    <w:p>
      <w:pPr>
        <w:pStyle w:val="Compact"/>
        <w:numPr>
          <w:ilvl w:val="0"/>
          <w:numId w:val="1034"/>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14"/>
    <w:bookmarkStart w:id="115" w:name="use-of-artificial-intelligence-tools"/>
    <w:p>
      <w:pPr>
        <w:pStyle w:val="Heading3"/>
      </w:pPr>
      <w:r>
        <w:t xml:space="preserve">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manuscript.</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115"/>
    <w:bookmarkStart w:id="116" w:name="competing-interests"/>
    <w:p>
      <w:pPr>
        <w:pStyle w:val="Heading3"/>
      </w:pPr>
      <w:r>
        <w:t xml:space="preserve">Competing interests</w:t>
      </w:r>
    </w:p>
    <w:p>
      <w:pPr>
        <w:pStyle w:val="FirstParagraph"/>
      </w:pPr>
      <w:r>
        <w:t xml:space="preserve">The author is a board member of the Vaccine Safety Research Foundation.</w:t>
      </w:r>
    </w:p>
    <w:bookmarkEnd w:id="116"/>
    <w:bookmarkStart w:id="117" w:name="funding"/>
    <w:p>
      <w:pPr>
        <w:pStyle w:val="Heading3"/>
      </w:pPr>
      <w:r>
        <w:t xml:space="preserve">Funding</w:t>
      </w:r>
    </w:p>
    <w:p>
      <w:pPr>
        <w:pStyle w:val="FirstParagraph"/>
      </w:pPr>
      <w:r>
        <w:t xml:space="preserve">This research received no external funding.</w:t>
      </w:r>
    </w:p>
    <w:bookmarkEnd w:id="117"/>
    <w:bookmarkStart w:id="118"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18"/>
    <w:bookmarkStart w:id="119"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19"/>
    <w:bookmarkEnd w:id="120"/>
    <w:bookmarkStart w:id="145" w:name="references"/>
    <w:p>
      <w:pPr>
        <w:pStyle w:val="Heading2"/>
      </w:pPr>
      <w:r>
        <w:t xml:space="preserve">References</w:t>
      </w:r>
    </w:p>
    <w:bookmarkStart w:id="144" w:name="refs"/>
    <w:bookmarkStart w:id="122"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21">
        <w:r>
          <w:rPr>
            <w:rStyle w:val="Hyperlink"/>
          </w:rPr>
          <w:t xml:space="preserve">10.2307/2061224</w:t>
        </w:r>
      </w:hyperlink>
    </w:p>
    <w:bookmarkEnd w:id="122"/>
    <w:bookmarkStart w:id="124"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23">
        <w:r>
          <w:rPr>
            <w:rStyle w:val="Hyperlink"/>
          </w:rPr>
          <w:t xml:space="preserve">10.2147/CLEP.S468572</w:t>
        </w:r>
      </w:hyperlink>
    </w:p>
    <w:bookmarkEnd w:id="124"/>
    <w:bookmarkStart w:id="126"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25">
        <w:r>
          <w:rPr>
            <w:rStyle w:val="Hyperlink"/>
          </w:rPr>
          <w:t xml:space="preserve">10.7554/eLife.103690</w:t>
        </w:r>
      </w:hyperlink>
    </w:p>
    <w:bookmarkEnd w:id="126"/>
    <w:bookmarkStart w:id="128"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27">
        <w:r>
          <w:rPr>
            <w:rStyle w:val="Hyperlink"/>
          </w:rPr>
          <w:t xml:space="preserve">10.1093/biomet/81.3.515</w:t>
        </w:r>
      </w:hyperlink>
    </w:p>
    <w:bookmarkEnd w:id="128"/>
    <w:bookmarkStart w:id="130"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29">
        <w:r>
          <w:rPr>
            <w:rStyle w:val="Hyperlink"/>
          </w:rPr>
          <w:t xml:space="preserve">10.1214/aos/1176345976</w:t>
        </w:r>
      </w:hyperlink>
    </w:p>
    <w:bookmarkEnd w:id="130"/>
    <w:bookmarkStart w:id="132"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31">
        <w:r>
          <w:rPr>
            <w:rStyle w:val="Hyperlink"/>
          </w:rPr>
          <w:t xml:space="preserve">10.1002/sim.1203</w:t>
        </w:r>
      </w:hyperlink>
    </w:p>
    <w:bookmarkEnd w:id="132"/>
    <w:bookmarkStart w:id="134"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33">
        <w:r>
          <w:rPr>
            <w:rStyle w:val="Hyperlink"/>
          </w:rPr>
          <w:t xml:space="preserve">10.1002/sim.4780080803</w:t>
        </w:r>
      </w:hyperlink>
    </w:p>
    <w:bookmarkEnd w:id="134"/>
    <w:bookmarkStart w:id="136"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35">
        <w:r>
          <w:rPr>
            <w:rStyle w:val="Hyperlink"/>
          </w:rPr>
          <w:t xml:space="preserve">10.1093/biomet/81.1.61</w:t>
        </w:r>
      </w:hyperlink>
    </w:p>
    <w:bookmarkEnd w:id="136"/>
    <w:bookmarkStart w:id="138"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37">
        <w:r>
          <w:rPr>
            <w:rStyle w:val="Hyperlink"/>
          </w:rPr>
          <w:t xml:space="preserve">10.1111/j.1467-9469.2006.00529.x</w:t>
        </w:r>
      </w:hyperlink>
    </w:p>
    <w:bookmarkEnd w:id="138"/>
    <w:bookmarkStart w:id="140"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39">
        <w:r>
          <w:rPr>
            <w:rStyle w:val="Hyperlink"/>
          </w:rPr>
          <w:t xml:space="preserve">10.1097/00001648-200009000-00011</w:t>
        </w:r>
      </w:hyperlink>
    </w:p>
    <w:bookmarkEnd w:id="140"/>
    <w:bookmarkStart w:id="142"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41">
        <w:r>
          <w:rPr>
            <w:rStyle w:val="Hyperlink"/>
          </w:rPr>
          <w:t xml:space="preserve">10.1093/aje/kwn164</w:t>
        </w:r>
      </w:hyperlink>
    </w:p>
    <w:bookmarkEnd w:id="142"/>
    <w:bookmarkStart w:id="143"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43"/>
    <w:bookmarkEnd w:id="144"/>
    <w:bookmarkEnd w:id="145"/>
    <w:bookmarkStart w:id="157" w:name="tables"/>
    <w:p>
      <w:pPr>
        <w:pStyle w:val="Heading2"/>
      </w:pPr>
      <w:r>
        <w:t xml:space="preserve">Tables</w:t>
      </w:r>
    </w:p>
    <w:bookmarkStart w:id="14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6"/>
    <w:p/>
    <w:bookmarkStart w:id="147"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47"/>
    <w:p>
      <w:pPr>
        <w:pStyle w:val="BodyText"/>
      </w:pPr>
      <w:r>
        <w:t xml:space="preserve">Note: KCOR is reported here as a cumulative hazard ratio for comparability; alternative post-normalization estimands are admissible within the framework.</w:t>
      </w:r>
    </w:p>
    <w:bookmarkStart w:id="148"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48"/>
    <w:p/>
    <w:bookmarkStart w:id="149"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49"/>
    <w:p/>
    <w:bookmarkStart w:id="150"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50"/>
    <w:p/>
    <w:bookmarkStart w:id="151"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51"/>
    <w:p/>
    <w:bookmarkStart w:id="152"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52"/>
    <w:p/>
    <w:bookmarkStart w:id="153"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53"/>
    <w:p/>
    <w:bookmarkStart w:id="154"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54"/>
    <w:p/>
    <w:bookmarkStart w:id="155"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55"/>
    <w:p/>
    <w:bookmarkStart w:id="156"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56"/>
    <w:p>
      <w:pPr>
        <w:pStyle w:val="BodyText"/>
      </w:pPr>
      <w:r>
        <w:rPr>
          <w:b/>
          <w:bCs/>
        </w:rPr>
        <w:t xml:space="preserve">Table D.1: KCOR assumptions and corresponding diagnostics.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Assumption</w:t>
            </w:r>
          </w:p>
        </w:tc>
        <w:tc>
          <w:tcPr/>
          <w:p>
            <w:pPr>
              <w:pStyle w:val="Compact"/>
            </w:pPr>
            <w:r>
              <w:t xml:space="preserve">What must hold</w:t>
            </w:r>
          </w:p>
        </w:tc>
        <w:tc>
          <w:tcPr/>
          <w:p>
            <w:pPr>
              <w:pStyle w:val="Compact"/>
            </w:pPr>
            <w:r>
              <w:t xml:space="preserve">Diagnostic signal</w:t>
            </w:r>
          </w:p>
        </w:tc>
        <w:tc>
          <w:tcPr/>
          <w:p>
            <w:pPr>
              <w:pStyle w:val="Compact"/>
            </w:pPr>
            <w:r>
              <w:t xml:space="preserve">Interpretation</w:t>
            </w:r>
          </w:p>
        </w:tc>
        <w:tc>
          <w:tcPr/>
          <w:p>
            <w:pPr>
              <w:pStyle w:val="Compact"/>
            </w:pPr>
            <w:r>
              <w:t xml:space="preserve">Action if violated</w:t>
            </w:r>
          </w:p>
        </w:tc>
      </w:tr>
      <w:tr>
        <w:tc>
          <w:tcPr/>
          <w:p>
            <w:pPr>
              <w:pStyle w:val="Compact"/>
            </w:pPr>
            <w:r>
              <w:t xml:space="preserve">A1. Fixed cohort at enrollment</w:t>
            </w:r>
          </w:p>
        </w:tc>
        <w:tc>
          <w:tcPr/>
          <w:p>
            <w:pPr>
              <w:pStyle w:val="Compact"/>
            </w:pPr>
            <w:r>
              <w:t xml:space="preserve">Cohort membership does not change over follow-up</w:t>
            </w:r>
          </w:p>
        </w:tc>
        <w:tc>
          <w:tcPr/>
          <w:p>
            <w:pPr>
              <w:pStyle w:val="Compact"/>
            </w:pPr>
            <w:r>
              <w:t xml:space="preserve">Step changes or discontinuities inconsistent with depletion</w:t>
            </w:r>
          </w:p>
        </w:tc>
        <w:tc>
          <w:tcPr/>
          <w:p>
            <w:pPr>
              <w:pStyle w:val="Compact"/>
            </w:pPr>
            <w:r>
              <w:t xml:space="preserve">Endogenous selection or reclassification</w:t>
            </w:r>
          </w:p>
        </w:tc>
        <w:tc>
          <w:tcPr/>
          <w:p>
            <w:pPr>
              <w:pStyle w:val="Compact"/>
            </w:pPr>
            <w:r>
              <w:t xml:space="preserve">Redefine cohort at enrollment; disallow transitions</w:t>
            </w:r>
          </w:p>
        </w:tc>
      </w:tr>
      <w:tr>
        <w:tc>
          <w:tcPr/>
          <w:p>
            <w:pPr>
              <w:pStyle w:val="Compact"/>
            </w:pPr>
            <w:r>
              <w:t xml:space="preserve">A2. Shared external hazard environment</w:t>
            </w:r>
          </w:p>
        </w:tc>
        <w:tc>
          <w:tcPr/>
          <w:p>
            <w:pPr>
              <w:pStyle w:val="Compact"/>
            </w:pPr>
            <w:r>
              <w:t xml:space="preserve">Cohorts experience the same background hazard within the comparison window</w:t>
            </w:r>
          </w:p>
        </w:tc>
        <w:tc>
          <w:tcPr/>
          <w:p>
            <w:pPr>
              <w:pStyle w:val="Compact"/>
            </w:pPr>
            <w:r>
              <w:t xml:space="preserve">Divergent slopes during prespecified quiet periods</w:t>
            </w:r>
          </w:p>
        </w:tc>
        <w:tc>
          <w:tcPr/>
          <w:p>
            <w:pPr>
              <w:pStyle w:val="Compact"/>
            </w:pPr>
            <w:r>
              <w:t xml:space="preserve">Unshared exogenous shocks or policy/measurement effects</w:t>
            </w:r>
          </w:p>
        </w:tc>
        <w:tc>
          <w:tcPr/>
          <w:p>
            <w:pPr>
              <w:pStyle w:val="Compact"/>
            </w:pPr>
            <w:r>
              <w:t xml:space="preserve">Restrict calendar window, stratify, or use alternative controls</w:t>
            </w:r>
          </w:p>
        </w:tc>
      </w:tr>
      <w:tr>
        <w:tc>
          <w:tcPr/>
          <w:p>
            <w:pPr>
              <w:pStyle w:val="Compact"/>
            </w:pPr>
            <w:r>
              <w:t xml:space="preserve">A3. Time-invariant latent frailty</w:t>
            </w:r>
          </w:p>
        </w:tc>
        <w:tc>
          <w:tcPr/>
          <w:p>
            <w:pPr>
              <w:pStyle w:val="Compact"/>
            </w:pPr>
            <w:r>
              <w:t xml:space="preserve">Individual frailty is time-invariant over follow-up</w:t>
            </w:r>
          </w:p>
        </w:tc>
        <w:tc>
          <w:tcPr/>
          <w:p>
            <w:pPr>
              <w:pStyle w:val="Compact"/>
            </w:pPr>
            <w:r>
              <w:t xml:space="preserve">Systematic residual curvature after normalization</w:t>
            </w:r>
          </w:p>
        </w:tc>
        <w:tc>
          <w:tcPr/>
          <w:p>
            <w:pPr>
              <w:pStyle w:val="Compact"/>
            </w:pPr>
            <w:r>
              <w:t xml:space="preserve">Time-varying susceptibility or competing selection processes</w:t>
            </w:r>
          </w:p>
        </w:tc>
        <w:tc>
          <w:tcPr/>
          <w:p>
            <w:pPr>
              <w:pStyle w:val="Compact"/>
            </w:pPr>
            <w:r>
              <w:t xml:space="preserve">Shorten follow-up window; reinterpret as time-varying selection</w:t>
            </w:r>
          </w:p>
        </w:tc>
      </w:tr>
      <w:tr>
        <w:tc>
          <w:tcPr/>
          <w:p>
            <w:pPr>
              <w:pStyle w:val="Compact"/>
            </w:pPr>
            <w:r>
              <w:t xml:space="preserve">A4. Adequacy of gamma frailty</w:t>
            </w:r>
          </w:p>
        </w:tc>
        <w:tc>
          <w:tcPr/>
          <w:p>
            <w:pPr>
              <w:pStyle w:val="Compact"/>
            </w:pPr>
            <w:r>
              <w:t xml:space="preserve">Gamma family adequately approximates frailty mixing</w:t>
            </w:r>
          </w:p>
        </w:tc>
        <w:tc>
          <w:tcPr/>
          <w:p>
            <w:pPr>
              <w:pStyle w:val="Compact"/>
            </w:pPr>
            <w:r>
              <w:t xml:space="preserve">Residual curvature or poor fit diagnostics after inversion</w:t>
            </w:r>
          </w:p>
        </w:tc>
        <w:tc>
          <w:tcPr/>
          <w:p>
            <w:pPr>
              <w:pStyle w:val="Compact"/>
            </w:pPr>
            <w:r>
              <w:t xml:space="preserve">Frailty distribution misspecification</w:t>
            </w:r>
          </w:p>
        </w:tc>
        <w:tc>
          <w:tcPr/>
          <w:p>
            <w:pPr>
              <w:pStyle w:val="Compact"/>
            </w:pPr>
            <w:r>
              <w:t xml:space="preserve">Treat as diagnostic; avoid over-interpretation</w:t>
            </w:r>
          </w:p>
        </w:tc>
      </w:tr>
      <w:tr>
        <w:tc>
          <w:tcPr/>
          <w:p>
            <w:pPr>
              <w:pStyle w:val="Compact"/>
            </w:pPr>
            <w:r>
              <w:t xml:space="preserve">A5. Quiet-window validity</w:t>
            </w:r>
          </w:p>
        </w:tc>
        <w:tc>
          <w:tcPr/>
          <w:p>
            <w:pPr>
              <w:pStyle w:val="Compact"/>
            </w:pPr>
            <w:r>
              <w:t xml:space="preserve">No intervention effect during frailty-estimation window</w:t>
            </w:r>
          </w:p>
        </w:tc>
        <w:tc>
          <w:tcPr/>
          <w:p>
            <w:pPr>
              <w:pStyle w:val="Compact"/>
            </w:pPr>
            <w:r>
              <w:t xml:space="preserve">Slope breaks or non-parallel trends within quiet window</w:t>
            </w:r>
          </w:p>
        </w:tc>
        <w:tc>
          <w:tcPr/>
          <w:p>
            <w:pPr>
              <w:pStyle w:val="Compact"/>
            </w:pPr>
            <w:r>
              <w:t xml:space="preserve">Contaminated quiet window</w:t>
            </w:r>
          </w:p>
        </w:tc>
        <w:tc>
          <w:tcPr/>
          <w:p>
            <w:pPr>
              <w:pStyle w:val="Compact"/>
            </w:pPr>
            <w:r>
              <w:t xml:space="preserve">Redefine quiet window; rerun diagnostics</w:t>
            </w:r>
          </w:p>
        </w:tc>
      </w:tr>
    </w:tbl>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hyperlink" Id="rId131" Target="https://doi.org/10.1002/sim.1203" TargetMode="External" /><Relationship Type="http://schemas.openxmlformats.org/officeDocument/2006/relationships/hyperlink" Id="rId133" Target="https://doi.org/10.1002/sim.4780080803" TargetMode="External" /><Relationship Type="http://schemas.openxmlformats.org/officeDocument/2006/relationships/hyperlink" Id="rId141" Target="https://doi.org/10.1093/aje/kwn164" TargetMode="External" /><Relationship Type="http://schemas.openxmlformats.org/officeDocument/2006/relationships/hyperlink" Id="rId135" Target="https://doi.org/10.1093/biomet/81.1.61" TargetMode="External" /><Relationship Type="http://schemas.openxmlformats.org/officeDocument/2006/relationships/hyperlink" Id="rId127" Target="https://doi.org/10.1093/biomet/81.3.515" TargetMode="External" /><Relationship Type="http://schemas.openxmlformats.org/officeDocument/2006/relationships/hyperlink" Id="rId139" Target="https://doi.org/10.1097/00001648-200009000-00011" TargetMode="External" /><Relationship Type="http://schemas.openxmlformats.org/officeDocument/2006/relationships/hyperlink" Id="rId137" Target="https://doi.org/10.1111/j.1467-9469.2006.00529.x" TargetMode="External" /><Relationship Type="http://schemas.openxmlformats.org/officeDocument/2006/relationships/hyperlink" Id="rId129" Target="https://doi.org/10.1214/aos/1176345976" TargetMode="External" /><Relationship Type="http://schemas.openxmlformats.org/officeDocument/2006/relationships/hyperlink" Id="rId123"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3" Target="https://doi.org/10.5281/zenodo.18050329" TargetMode="External" /><Relationship Type="http://schemas.openxmlformats.org/officeDocument/2006/relationships/hyperlink" Id="rId125" Target="https://doi.org/10.7554/eLife.103690" TargetMode="External" /><Relationship Type="http://schemas.openxmlformats.org/officeDocument/2006/relationships/hyperlink" Id="rId10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1203" TargetMode="External" /><Relationship Type="http://schemas.openxmlformats.org/officeDocument/2006/relationships/hyperlink" Id="rId133" Target="https://doi.org/10.1002/sim.4780080803" TargetMode="External" /><Relationship Type="http://schemas.openxmlformats.org/officeDocument/2006/relationships/hyperlink" Id="rId141" Target="https://doi.org/10.1093/aje/kwn164" TargetMode="External" /><Relationship Type="http://schemas.openxmlformats.org/officeDocument/2006/relationships/hyperlink" Id="rId135" Target="https://doi.org/10.1093/biomet/81.1.61" TargetMode="External" /><Relationship Type="http://schemas.openxmlformats.org/officeDocument/2006/relationships/hyperlink" Id="rId127" Target="https://doi.org/10.1093/biomet/81.3.515" TargetMode="External" /><Relationship Type="http://schemas.openxmlformats.org/officeDocument/2006/relationships/hyperlink" Id="rId139" Target="https://doi.org/10.1097/00001648-200009000-00011" TargetMode="External" /><Relationship Type="http://schemas.openxmlformats.org/officeDocument/2006/relationships/hyperlink" Id="rId137" Target="https://doi.org/10.1111/j.1467-9469.2006.00529.x" TargetMode="External" /><Relationship Type="http://schemas.openxmlformats.org/officeDocument/2006/relationships/hyperlink" Id="rId129" Target="https://doi.org/10.1214/aos/1176345976" TargetMode="External" /><Relationship Type="http://schemas.openxmlformats.org/officeDocument/2006/relationships/hyperlink" Id="rId123"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3" Target="https://doi.org/10.5281/zenodo.18050329" TargetMode="External" /><Relationship Type="http://schemas.openxmlformats.org/officeDocument/2006/relationships/hyperlink" Id="rId125" Target="https://doi.org/10.7554/eLife.103690" TargetMode="External" /><Relationship Type="http://schemas.openxmlformats.org/officeDocument/2006/relationships/hyperlink" Id="rId10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2026-01-09T01:01:21Z</dcterms:created>
  <dcterms:modified xsi:type="dcterms:W3CDTF">2026-01-09T01:01:21Z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