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9.png" ContentType="image/png"/>
  <Override PartName="/word/media/rId13.png" ContentType="image/png"/>
  <Override PartName="/word/media/rId37.png" ContentType="image/png"/>
  <Override PartName="/word/media/rId33.png" ContentType="image/png"/>
  <Override PartName="/word/media/rId21.png" ContentType="image/png"/>
  <Override PartName="/word/media/rId29.png" ContentType="image/png"/>
  <Override PartName="/word/media/rId25.png" ContentType="image/png"/>
  <Override PartName="/word/media/rId41.png" ContentType="image/png"/>
  <Override PartName="/word/media/rId82.png" ContentType="image/png"/>
  <Override PartName="/word/media/rId69.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supp"/>
    <w:bookmarkStart w:id="100" w:name="kcor-supplementary-material"/>
    <w:p>
      <w:pPr>
        <w:pStyle w:val="Heading2"/>
      </w:pPr>
      <w:r>
        <w:t xml:space="preserve">KCOR Supplementary material</w:t>
      </w:r>
    </w:p>
    <w:p>
      <w:pPr>
        <w:pStyle w:val="FirstParagraph"/>
      </w:pPr>
      <w:r>
        <w:t xml:space="preserve">Supplementary appendices provide mathematical derivations and full control-test specifications.</w:t>
      </w:r>
    </w:p>
    <w:bookmarkStart w:id="45" w:name="supplementary-figures"/>
    <w:p>
      <w:pPr>
        <w:pStyle w:val="Heading3"/>
      </w:pPr>
      <w:r>
        <w:t xml:space="preserve">Supplementary Figures</w:t>
      </w:r>
    </w:p>
    <w:bookmarkStart w:id="12" w:name="fig:cox_bias_hr"/>
    <w:p>
      <w:pPr>
        <w:pStyle w:val="CaptionedFigure"/>
      </w:pPr>
      <w:r>
        <w:drawing>
          <wp:inline>
            <wp:extent cx="5334000" cy="3975680"/>
            <wp:effectExtent b="0" l="0" r="0" t="0"/>
            <wp:docPr descr="Figure 5.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10" name="Picture"/>
            <a:graphic>
              <a:graphicData uri="http://schemas.openxmlformats.org/drawingml/2006/picture">
                <pic:pic>
                  <pic:nvPicPr>
                    <pic:cNvPr descr="figures/fig_cox_bias_hr_vs_theta.png" id="11" name="Picture"/>
                    <pic:cNvPicPr>
                      <a:picLocks noChangeArrowheads="1" noChangeAspect="1"/>
                    </pic:cNvPicPr>
                  </pic:nvPicPr>
                  <pic:blipFill>
                    <a:blip r:embed="rId9"/>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5.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12"/>
    <w:bookmarkStart w:id="16" w:name="fig:neg_control_synthetic"/>
    <w:p>
      <w:pPr>
        <w:pStyle w:val="CaptionedFigure"/>
      </w:pPr>
      <w:r>
        <w:drawing>
          <wp:inline>
            <wp:extent cx="5334000" cy="3852333"/>
            <wp:effectExtent b="0" l="0" r="0" t="0"/>
            <wp:docPr descr="Figure 6.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14" name="Picture"/>
            <a:graphic>
              <a:graphicData uri="http://schemas.openxmlformats.org/drawingml/2006/picture">
                <pic:pic>
                  <pic:nvPicPr>
                    <pic:cNvPr descr="figures/fig_neg_control_synthetic.png" id="15" name="Picture"/>
                    <pic:cNvPicPr>
                      <a:picLocks noChangeArrowheads="1" noChangeAspect="1"/>
                    </pic:cNvPicPr>
                  </pic:nvPicPr>
                  <pic:blipFill>
                    <a:blip r:embed="rId13"/>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6.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16"/>
    <w:bookmarkStart w:id="20" w:name="fig:neg_control_20yr"/>
    <w:p>
      <w:pPr>
        <w:pStyle w:val="CaptionedFigure"/>
      </w:pPr>
      <w:r>
        <w:drawing>
          <wp:inline>
            <wp:extent cx="5334000" cy="2810466"/>
            <wp:effectExtent b="0" l="0" r="0" t="0"/>
            <wp:docPr descr="Figure 7. Empirical negative control with approximately 20-year age difference between cohorts. Even under extreme composition differences, \mathrm{KCOR}(t) exhibits no systematic drift, demonstrating robustness to selection-induced curvature. KCOR curves are anchored at t_0 = 4 weeks (i.e., plotted as \mathrm{KCOR}(t; t_0)). Uncertainty bands (95% bootstrap intervals) are shown. Data source: Czech Republic mortality and vaccination dataset processed into KCOR_CMR aggregated format (negative-control construction; see Appendix B.2)." title="" id="18" name="Picture"/>
            <a:graphic>
              <a:graphicData uri="http://schemas.openxmlformats.org/drawingml/2006/picture">
                <pic:pic>
                  <pic:nvPicPr>
                    <pic:cNvPr descr="figures/fig3_neg_control_20yr_age_diff.png" id="19" name="Picture"/>
                    <pic:cNvPicPr>
                      <a:picLocks noChangeArrowheads="1" noChangeAspect="1"/>
                    </pic:cNvPicPr>
                  </pic:nvPicPr>
                  <pic:blipFill>
                    <a:blip r:embed="rId17"/>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7.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20"/>
    <w:bookmarkStart w:id="24"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22" name="Picture"/>
            <a:graphic>
              <a:graphicData uri="http://schemas.openxmlformats.org/drawingml/2006/picture">
                <pic:pic>
                  <pic:nvPicPr>
                    <pic:cNvPr descr="figures/fig_sensitivity_overview.png" id="23" name="Picture"/>
                    <pic:cNvPicPr>
                      <a:picLocks noChangeArrowheads="1" noChangeAspect="1"/>
                    </pic:cNvPicPr>
                  </pic:nvPicPr>
                  <pic:blipFill>
                    <a:blip r:embed="rId21"/>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24"/>
    <w:bookmarkStart w:id="28"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26" name="Picture"/>
            <a:graphic>
              <a:graphicData uri="http://schemas.openxmlformats.org/drawingml/2006/picture">
                <pic:pic>
                  <pic:nvPicPr>
                    <pic:cNvPr descr="figures/fig_sim_grid_overview.png" id="27" name="Picture"/>
                    <pic:cNvPicPr>
                      <a:picLocks noChangeArrowheads="1" noChangeAspect="1"/>
                    </pic:cNvPicPr>
                  </pic:nvPicPr>
                  <pic:blipFill>
                    <a:blip r:embed="rId25"/>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28"/>
    <w:bookmarkStart w:id="32"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30" name="Picture"/>
            <a:graphic>
              <a:graphicData uri="http://schemas.openxmlformats.org/drawingml/2006/picture">
                <pic:pic>
                  <pic:nvPicPr>
                    <pic:cNvPr descr="figures/fig_sim_grid_diagnostics.png" id="31" name="Picture"/>
                    <pic:cNvPicPr>
                      <a:picLocks noChangeArrowheads="1" noChangeAspect="1"/>
                    </pic:cNvPicPr>
                  </pic:nvPicPr>
                  <pic:blipFill>
                    <a:blip r:embed="rId29"/>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32"/>
    <w:bookmarkStart w:id="36"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34" name="Picture"/>
            <a:graphic>
              <a:graphicData uri="http://schemas.openxmlformats.org/drawingml/2006/picture">
                <pic:pic>
                  <pic:nvPicPr>
                    <pic:cNvPr descr="figures/fig_s7_overview.png" id="35" name="Picture"/>
                    <pic:cNvPicPr>
                      <a:picLocks noChangeArrowheads="1" noChangeAspect="1"/>
                    </pic:cNvPicPr>
                  </pic:nvPicPr>
                  <pic:blipFill>
                    <a:blip r:embed="rId33"/>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36"/>
    <w:bookmarkStart w:id="40"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38" name="Picture"/>
            <a:graphic>
              <a:graphicData uri="http://schemas.openxmlformats.org/drawingml/2006/picture">
                <pic:pic>
                  <pic:nvPicPr>
                    <pic:cNvPr descr="figures/fig_s7_diagnostics.png" id="39" name="Picture"/>
                    <pic:cNvPicPr>
                      <a:picLocks noChangeArrowheads="1" noChangeAspect="1"/>
                    </pic:cNvPicPr>
                  </pic:nvPicPr>
                  <pic:blipFill>
                    <a:blip r:embed="rId37"/>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40"/>
    <w:bookmarkStart w:id="44"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42" name="Picture"/>
            <a:graphic>
              <a:graphicData uri="http://schemas.openxmlformats.org/drawingml/2006/picture">
                <pic:pic>
                  <pic:nvPicPr>
                    <pic:cNvPr descr="figures/fig_skip_weeks_sensitivity.png" id="43" name="Picture"/>
                    <pic:cNvPicPr>
                      <a:picLocks noChangeArrowheads="1" noChangeAspect="1"/>
                    </pic:cNvPicPr>
                  </pic:nvPicPr>
                  <pic:blipFill>
                    <a:blip r:embed="rId41"/>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44"/>
    <w:bookmarkEnd w:id="45"/>
    <w:bookmarkStart w:id="51" w:name="appendix-a-mathematical-derivations"/>
    <w:p>
      <w:pPr>
        <w:pStyle w:val="Heading3"/>
      </w:pPr>
      <w:r>
        <w:t xml:space="preserve">Appendix A: Mathematical derivations</w:t>
      </w:r>
    </w:p>
    <w:bookmarkStart w:id="46"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in which individual</w:t>
      </w:r>
      <w:r>
        <w:t xml:space="preserve"> </w:t>
      </w:r>
      <m:oMath>
        <m:r>
          <m:t>i</m:t>
        </m:r>
      </m:oMath>
      <w:r>
        <w:t xml:space="preserve"> </w:t>
      </w:r>
      <w:r>
        <w:t xml:space="preserve">has hazard</w:t>
      </w:r>
    </w:p>
    <w:p>
      <w:pPr>
        <w:pStyle w:val="BodyText"/>
      </w:pPr>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r>
            <m:rPr>
              <m:nor/>
              <m:sty m:val="p"/>
            </m:rPr>
            <m:t>(A.1)</m:t>
          </m:r>
        </m:oMath>
      </m:oMathPara>
    </w:p>
    <w:p>
      <w:pPr>
        <w:pStyle w:val="FirstParagraph"/>
      </w:pPr>
      <w:r>
        <w:t xml:space="preserve">where the frailty</w:t>
      </w:r>
      <w:r>
        <w:t xml:space="preserve"> </w:t>
      </w:r>
      <m:oMath>
        <m:sSub>
          <m:e>
            <m:r>
              <m:t>z</m:t>
            </m:r>
          </m:e>
          <m:sub>
            <m:r>
              <m:t>i</m:t>
            </m:r>
            <m:r>
              <m:rPr>
                <m:sty m:val="p"/>
              </m:rPr>
              <m:t>,</m:t>
            </m:r>
            <m:r>
              <m:t>d</m:t>
            </m:r>
          </m:sub>
        </m:sSub>
      </m:oMath>
      <w:r>
        <w:t xml:space="preserve"> </w:t>
      </w:r>
      <w:r>
        <w:t xml:space="preserve">is drawn from a distribution with mean 1 and variance</w:t>
      </w:r>
      <w:r>
        <w:t xml:space="preserve"> </w:t>
      </w:r>
      <m:oMath>
        <m:sSub>
          <m:e>
            <m:r>
              <m:t>θ</m:t>
            </m:r>
          </m:e>
          <m:sub>
            <m:r>
              <m:t>d</m:t>
            </m:r>
          </m:sub>
        </m:sSub>
        <m:r>
          <m:rPr>
            <m:sty m:val="p"/>
          </m:rPr>
          <m:t>&gt;</m:t>
        </m:r>
        <m:r>
          <m:t>0</m:t>
        </m:r>
      </m:oMath>
      <w:r>
        <w:t xml:space="preserve">. Let</w:t>
      </w:r>
    </w:p>
    <w:p>
      <w:pPr>
        <w:pStyle w:val="BodyText"/>
      </w:pPr>
      <m:oMathPara>
        <m:oMathParaPr>
          <m:jc m:val="center"/>
        </m:oMathParaP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r>
            <m:rPr>
              <m:sty m:val="p"/>
            </m:rPr>
            <m:t>.</m:t>
          </m:r>
          <m:r>
            <m:t>  </m:t>
          </m:r>
          <m:r>
            <m:rPr>
              <m:nor/>
              <m:sty m:val="p"/>
            </m:rPr>
            <m:t>(A.2)</m:t>
          </m:r>
        </m:oMath>
      </m:oMathPara>
    </w:p>
    <w:p>
      <w:pPr>
        <w:pStyle w:val="FirstParagraph"/>
      </w:pPr>
      <w:r>
        <w:t xml:space="preserve">denote the individual survival function, where</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nor/>
              <m:sty m:val="p"/>
            </m:rPr>
            <m:t>(A.3)</m:t>
          </m:r>
        </m:oMath>
      </m:oMathPara>
    </w:p>
    <w:p>
      <w:pPr>
        <w:pStyle w:val="FirstParagraph"/>
      </w:pPr>
      <w:r>
        <w:t xml:space="preserve">is the baseline cumulative hazard.</w:t>
      </w:r>
    </w:p>
    <w:p>
      <w:pPr>
        <w:pStyle w:val="BodyText"/>
      </w:pPr>
      <w:r>
        <w:t xml:space="preserve">The cohort survival function, obtained by integrating over the frailty distribution, is</w:t>
      </w:r>
    </w:p>
    <w:p>
      <w:pPr>
        <w:pStyle w:val="BodyText"/>
      </w:pPr>
      <m:oMathPara>
        <m:oMathParaPr>
          <m:jc m:val="center"/>
        </m:oMathParaPr>
        <m:oMath>
          <m:sSub>
            <m:e>
              <m:r>
                <m:t>S</m:t>
              </m:r>
            </m:e>
            <m:sub>
              <m:r>
                <m:t>d</m:t>
              </m:r>
            </m:sub>
          </m:sSub>
          <m:r>
            <m:rPr>
              <m:sty m:val="p"/>
            </m:rPr>
            <m:t>(</m:t>
          </m:r>
          <m:r>
            <m:t>t</m:t>
          </m:r>
          <m:r>
            <m:rPr>
              <m:sty m:val="p"/>
            </m:rPr>
            <m:t>)</m:t>
          </m:r>
          <m:r>
            <m:rPr>
              <m:sty m:val="p"/>
            </m:rPr>
            <m:t>=</m:t>
          </m:r>
          <m:r>
            <m:rPr>
              <m:scr m:val="double-struck"/>
              <m:sty m:val="p"/>
            </m:rPr>
            <m:t>E</m:t>
          </m:r>
          <m:r>
            <m:rPr>
              <m:sty m:val="p"/>
            </m:rPr>
            <m:t>[</m:t>
          </m:r>
          <m:sSub>
            <m:e>
              <m:r>
                <m:t>S</m:t>
              </m:r>
            </m:e>
            <m:sub>
              <m:r>
                <m:t>i</m:t>
              </m:r>
              <m:r>
                <m:rPr>
                  <m:sty m:val="p"/>
                </m:rPr>
                <m:t>,</m:t>
              </m:r>
              <m:r>
                <m:t>d</m:t>
              </m:r>
            </m:sub>
          </m:sSub>
          <m:r>
            <m:rPr>
              <m:sty m:val="p"/>
            </m:rPr>
            <m:t>(</m:t>
          </m:r>
          <m:r>
            <m:t>t</m:t>
          </m:r>
          <m:r>
            <m:rPr>
              <m:sty m:val="p"/>
            </m:rPr>
            <m:t>)</m:t>
          </m:r>
          <m:r>
            <m:rPr>
              <m:sty m:val="p"/>
            </m:rPr>
            <m:t>]</m:t>
          </m:r>
          <m:r>
            <m:rPr>
              <m:sty m:val="p"/>
            </m:rPr>
            <m:t>=</m:t>
          </m:r>
          <m:r>
            <m:rPr>
              <m:scr m:val="double-struck"/>
              <m:sty m:val="p"/>
            </m:rPr>
            <m:t>E</m:t>
          </m:r>
          <m:r>
            <m:rPr>
              <m:sty m:val="p"/>
            </m:rPr>
            <m:t>[</m:t>
          </m:r>
          <m:r>
            <m:rPr>
              <m:sty m:val="p"/>
            </m:rPr>
            <m:t>exp</m:t>
          </m:r>
          <m:r>
            <m:rPr>
              <m:sty m:val="p"/>
            </m:rPr>
            <m:t>(</m:t>
          </m:r>
          <m:r>
            <m:rPr>
              <m:sty m:val="p"/>
            </m:rPr>
            <m:t>−</m:t>
          </m:r>
          <m:r>
            <m:t>z</m:t>
          </m:r>
          <m:r>
            <m:t> </m:t>
          </m:r>
          <m:sSub>
            <m:e>
              <m:r>
                <m:t>H</m:t>
              </m:r>
            </m:e>
            <m:sub>
              <m:r>
                <m:t>0</m:t>
              </m:r>
              <m:r>
                <m:rPr>
                  <m:sty m:val="p"/>
                </m:rPr>
                <m:t>,</m:t>
              </m:r>
              <m:r>
                <m:t>d</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r>
                <m:rPr>
                  <m:sty m:val="p"/>
                </m:rPr>
                <m:t>,</m:t>
              </m:r>
              <m:r>
                <m:t>d</m:t>
              </m:r>
            </m:sub>
          </m:sSub>
          <m:r>
            <m:rPr>
              <m:sty m:val="p"/>
            </m:rPr>
            <m:t>(</m:t>
          </m:r>
          <m:r>
            <m:t>t</m:t>
          </m:r>
          <m:r>
            <m:rPr>
              <m:sty m:val="p"/>
            </m:rPr>
            <m:t>)</m:t>
          </m:r>
          <m:r>
            <m:rPr>
              <m:sty m:val="p"/>
            </m:rPr>
            <m:t>)</m:t>
          </m:r>
          <m:r>
            <m:rPr>
              <m:sty m:val="p"/>
            </m:rPr>
            <m:t>.</m:t>
          </m:r>
          <m:r>
            <m:t>  </m:t>
          </m:r>
          <m:r>
            <m:rPr>
              <m:nor/>
              <m:sty m:val="p"/>
            </m:rPr>
            <m:t>(A.4)</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denotes the Laplace transform of the frailty distribution. The corresponding cohort-level hazard is</w:t>
      </w:r>
    </w:p>
    <w:p>
      <w:pPr>
        <w:pStyle w:val="BodyText"/>
      </w:pPr>
      <m:oMathPara>
        <m:oMathParaPr>
          <m:jc m:val="center"/>
        </m:oMathParaPr>
        <m:oMath>
          <m:sSub>
            <m:e>
              <m:r>
                <m:t>h</m:t>
              </m:r>
            </m:e>
            <m:sub>
              <m:r>
                <m:t>d</m:t>
              </m:r>
            </m:sub>
          </m:sSub>
          <m:r>
            <m:rPr>
              <m:sty m:val="p"/>
            </m:rPr>
            <m:t>(</m:t>
          </m:r>
          <m:r>
            <m:t>t</m:t>
          </m:r>
          <m:r>
            <m:rPr>
              <m:sty m:val="p"/>
            </m:rPr>
            <m:t>)</m:t>
          </m:r>
          <m:r>
            <m:rPr>
              <m:sty m:val="p"/>
            </m:rPr>
            <m:t>=</m:t>
          </m:r>
          <m:r>
            <m:rPr>
              <m:sty m:val="p"/>
            </m:rPr>
            <m:t>−</m:t>
          </m:r>
          <m:f>
            <m:fPr>
              <m:type m:val="bar"/>
            </m:fPr>
            <m:num>
              <m:r>
                <m:t>d</m:t>
              </m:r>
            </m:num>
            <m:den>
              <m:r>
                <m:t>d</m:t>
              </m:r>
              <m:r>
                <m:t>t</m:t>
              </m:r>
            </m:den>
          </m:f>
          <m:r>
            <m:rPr>
              <m:sty m:val="p"/>
            </m:rPr>
            <m:t>log</m:t>
          </m:r>
          <m:sSub>
            <m:e>
              <m:r>
                <m:t>S</m:t>
              </m:r>
            </m:e>
            <m:sub>
              <m:r>
                <m:t>d</m:t>
              </m:r>
            </m:sub>
          </m:sSub>
          <m:r>
            <m:rPr>
              <m:sty m:val="p"/>
            </m:rPr>
            <m:t>(</m:t>
          </m:r>
          <m:r>
            <m:t>t</m:t>
          </m:r>
          <m:r>
            <m:rPr>
              <m:sty m:val="p"/>
            </m:rPr>
            <m:t>)</m:t>
          </m:r>
          <m:r>
            <m:rPr>
              <m:sty m:val="p"/>
            </m:rPr>
            <m:t>.</m:t>
          </m:r>
          <m:r>
            <m:t>  </m:t>
          </m:r>
          <m:r>
            <m:rPr>
              <m:nor/>
              <m:sty m:val="p"/>
            </m:rPr>
            <m:t>(A.5)</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 that</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
          <m:e>
            <m:r>
              <m:t>h</m:t>
            </m:r>
          </m:e>
          <m:sub>
            <m:r>
              <m:t>d</m:t>
            </m:r>
          </m:sub>
        </m:sSub>
        <m:r>
          <m:rPr>
            <m:sty m:val="p"/>
          </m:rPr>
          <m:t>(</m:t>
        </m:r>
        <m:r>
          <m:t>t</m:t>
        </m:r>
        <m:r>
          <m:rPr>
            <m:sty m:val="p"/>
          </m:rPr>
          <m:t>)</m:t>
        </m:r>
      </m:oMath>
      <w:r>
        <w:t xml:space="preserve"> </w:t>
      </w:r>
      <w:r>
        <w:t xml:space="preserve">is generally time-varying. High-frailty individuals experience events earlier, progressively depleting the higher-risk portion of the cohort and shifting the surviving population, conditional on survival, toward lower frailty over time. This selection-induced depletion is the mechanism by which frailty heterogeneity induces</w:t>
      </w:r>
      <w:r>
        <w:t xml:space="preserve"> </w:t>
      </w:r>
      <w:r>
        <w:rPr>
          <w:b/>
          <w:bCs/>
        </w:rPr>
        <w:t xml:space="preserve">curvature</w:t>
      </w:r>
      <w:r>
        <w:t xml:space="preserve"> </w:t>
      </w:r>
      <w:r>
        <w:t xml:space="preserve">in cohort-level hazards.</w:t>
      </w:r>
    </w:p>
    <w:bookmarkEnd w:id="46"/>
    <w:bookmarkStart w:id="47"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r>
            <m:t>  </m:t>
          </m:r>
          <m:r>
            <m:rPr>
              <m:nor/>
              <m:sty m:val="p"/>
            </m:rPr>
            <m:t>(A.6)</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r>
            <m:t>  </m:t>
          </m:r>
          <m:r>
            <m:rPr>
              <m:nor/>
              <m:sty m:val="p"/>
            </m:rPr>
            <m:t>(A.7)</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t>  </m:t>
          </m:r>
          <m:r>
            <m:rPr>
              <m:nor/>
              <m:sty m:val="p"/>
            </m:rPr>
            <m:t>(A.8)</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r>
            <m:t>  </m:t>
          </m:r>
          <m:r>
            <m:rPr>
              <m:nor/>
              <m:sty m:val="p"/>
            </m:rPr>
            <m:t>(A.9)</m:t>
          </m:r>
        </m:oMath>
      </m:oMathPara>
    </w:p>
    <w:p>
      <w:pPr>
        <w:pStyle w:val="FirstParagraph"/>
      </w:pPr>
      <w:r>
        <w:t xml:space="preserve">This is the gamma-frailty identity (see Equation (6) in the main text).</w:t>
      </w:r>
    </w:p>
    <w:bookmarkEnd w:id="47"/>
    <w:bookmarkStart w:id="48"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r>
            <m:t>  </m:t>
          </m:r>
          <m:r>
            <m:rPr>
              <m:nor/>
              <m:sty m:val="p"/>
            </m:rPr>
            <m:t>(A.10)</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48"/>
    <w:bookmarkStart w:id="49"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49"/>
    <w:bookmarkStart w:id="50"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nor/>
              <m:sty m:val="p"/>
            </m:rPr>
            <m:t>(A.11)</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r>
            <m:t>  </m:t>
          </m:r>
          <m:r>
            <m:rPr>
              <m:nor/>
              <m:sty m:val="p"/>
            </m:rPr>
            <m:t>(A.12)</m:t>
          </m:r>
        </m:oMath>
      </m:oMathPara>
    </w:p>
    <w:p>
      <w:pPr>
        <w:pStyle w:val="FirstParagraph"/>
      </w:pPr>
      <w:r>
        <w:t xml:space="preserve">In practice, Monte Carlo resampling provides a more robust approach that captures uncertainty from both event realization and parameter estimation.</w:t>
      </w:r>
    </w:p>
    <w:bookmarkEnd w:id="50"/>
    <w:bookmarkEnd w:id="51"/>
    <w:bookmarkStart w:id="64" w:name="appendix-b-control-test-specifications"/>
    <w:p>
      <w:pPr>
        <w:pStyle w:val="Heading3"/>
      </w:pPr>
      <w:r>
        <w:t xml:space="preserve">Appendix B: Control-test specifications</w:t>
      </w:r>
    </w:p>
    <w:bookmarkStart w:id="52" w:name="X2180becb792c7366d1a2d9abe674c7e8eb8a3b6"/>
    <w:p>
      <w:pPr>
        <w:pStyle w:val="Heading4"/>
      </w:pPr>
      <w:r>
        <w:t xml:space="preserve">B.1 Negative control: synthetic gamma-frailty null</w:t>
      </w:r>
    </w:p>
    <w:p>
      <w:pPr>
        <w:pStyle w:val="FirstParagraph"/>
      </w:pPr>
      <w:r>
        <w:t xml:space="preserve">The synthetic negative control (Figure 6) is generated using:</w:t>
      </w:r>
    </w:p>
    <w:p>
      <w:pPr>
        <w:pStyle w:val="Compact"/>
        <w:numPr>
          <w:ilvl w:val="0"/>
          <w:numId w:val="100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0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01"/>
        </w:numPr>
      </w:pPr>
      <w:r>
        <w:rPr>
          <w:b/>
          <w:bCs/>
        </w:rPr>
        <w:t xml:space="preserve">Cohort A weights</w:t>
      </w:r>
      <w:r>
        <w:t xml:space="preserve">: Equal weights across 5 frailty groups (0.2 each)</w:t>
      </w:r>
    </w:p>
    <w:p>
      <w:pPr>
        <w:pStyle w:val="Compact"/>
        <w:numPr>
          <w:ilvl w:val="0"/>
          <w:numId w:val="1001"/>
        </w:numPr>
      </w:pPr>
      <w:r>
        <w:rPr>
          <w:b/>
          <w:bCs/>
        </w:rPr>
        <w:t xml:space="preserve">Cohort B weights</w:t>
      </w:r>
      <w:r>
        <w:t xml:space="preserve">: Shifted weights [0.30, 0.20, 0.20, 0.20, 0.10]</w:t>
      </w:r>
    </w:p>
    <w:p>
      <w:pPr>
        <w:pStyle w:val="Compact"/>
        <w:numPr>
          <w:ilvl w:val="0"/>
          <w:numId w:val="1001"/>
        </w:numPr>
      </w:pPr>
      <w:r>
        <w:rPr>
          <w:b/>
          <w:bCs/>
        </w:rPr>
        <w:t xml:space="preserve">Frailty values</w:t>
      </w:r>
      <w:r>
        <w:t xml:space="preserve">: [1, 2, 4, 6, 10] (relative frailty multipliers)</w:t>
      </w:r>
    </w:p>
    <w:p>
      <w:pPr>
        <w:pStyle w:val="Compact"/>
        <w:numPr>
          <w:ilvl w:val="0"/>
          <w:numId w:val="1001"/>
        </w:numPr>
      </w:pPr>
      <w:r>
        <w:rPr>
          <w:b/>
          <w:bCs/>
        </w:rPr>
        <w:t xml:space="preserve">Base weekly probability</w:t>
      </w:r>
      <w:r>
        <w:t xml:space="preserve">: 0.01</w:t>
      </w:r>
    </w:p>
    <w:p>
      <w:pPr>
        <w:pStyle w:val="Compact"/>
        <w:numPr>
          <w:ilvl w:val="0"/>
          <w:numId w:val="1001"/>
        </w:numPr>
      </w:pPr>
      <w:r>
        <w:rPr>
          <w:b/>
          <w:bCs/>
        </w:rPr>
        <w:t xml:space="preserve">Weekly log-slope</w:t>
      </w:r>
      <w:r>
        <w:t xml:space="preserve">: 0.0 (constant baseline during quiet periods)</w:t>
      </w:r>
    </w:p>
    <w:p>
      <w:pPr>
        <w:pStyle w:val="Compact"/>
        <w:numPr>
          <w:ilvl w:val="0"/>
          <w:numId w:val="1001"/>
        </w:numPr>
      </w:pPr>
      <w:r>
        <w:rPr>
          <w:b/>
          <w:bCs/>
        </w:rPr>
        <w:t xml:space="preserve">Skip weeks</w:t>
      </w:r>
      <w:r>
        <w:t xml:space="preserve">: 2</w:t>
      </w:r>
    </w:p>
    <w:p>
      <w:pPr>
        <w:pStyle w:val="Compact"/>
        <w:numPr>
          <w:ilvl w:val="0"/>
          <w:numId w:val="1001"/>
        </w:numPr>
      </w:pPr>
      <w:r>
        <w:rPr>
          <w:b/>
          <w:bCs/>
        </w:rPr>
        <w:t xml:space="preserve">Normalization weeks</w:t>
      </w:r>
      <w:r>
        <w:t xml:space="preserve">: 4</w:t>
      </w:r>
    </w:p>
    <w:p>
      <w:pPr>
        <w:pStyle w:val="Compact"/>
        <w:numPr>
          <w:ilvl w:val="0"/>
          <w:numId w:val="100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52"/>
    <w:bookmarkStart w:id="53" w:name="X6ca5a97e85e9ee460a15280db933ceb5c1ed112"/>
    <w:p>
      <w:pPr>
        <w:pStyle w:val="Heading4"/>
      </w:pPr>
      <w:r>
        <w:t xml:space="preserve">B.2 Negative control: empirical age-shift construction</w:t>
      </w:r>
    </w:p>
    <w:p>
      <w:pPr>
        <w:pStyle w:val="FirstParagraph"/>
      </w:pPr>
      <w:r>
        <w:t xml:space="preserve">The empirical negative control (Figures 3 and 7) is generated using:</w:t>
      </w:r>
    </w:p>
    <w:p>
      <w:pPr>
        <w:pStyle w:val="Compact"/>
        <w:numPr>
          <w:ilvl w:val="0"/>
          <w:numId w:val="1002"/>
        </w:numPr>
      </w:pPr>
      <w:r>
        <w:rPr>
          <w:b/>
          <w:bCs/>
        </w:rPr>
        <w:t xml:space="preserve">Data source</w:t>
      </w:r>
      <w:r>
        <w:t xml:space="preserve">: Czech Republic administrative mortality and vaccination data, aggregated into KCOR_CMR format</w:t>
      </w:r>
    </w:p>
    <w:p>
      <w:pPr>
        <w:pStyle w:val="Compact"/>
        <w:numPr>
          <w:ilvl w:val="0"/>
          <w:numId w:val="100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02"/>
        </w:numPr>
      </w:pPr>
      <w:r>
        <w:rPr>
          <w:b/>
          <w:bCs/>
        </w:rPr>
        <w:t xml:space="preserve">Construction</w:t>
      </w:r>
      <w:r>
        <w:t xml:space="preserve">: Age strata remapped to pseudo-doses within same vaccination category</w:t>
      </w:r>
    </w:p>
    <w:p>
      <w:pPr>
        <w:pStyle w:val="Compact"/>
        <w:numPr>
          <w:ilvl w:val="0"/>
          <w:numId w:val="1002"/>
        </w:numPr>
      </w:pPr>
      <w:r>
        <w:rPr>
          <w:b/>
          <w:bCs/>
        </w:rPr>
        <w:t xml:space="preserve">Age mapping</w:t>
      </w:r>
      <w:r>
        <w:t xml:space="preserve">:</w:t>
      </w:r>
    </w:p>
    <w:p>
      <w:pPr>
        <w:pStyle w:val="Compact"/>
        <w:numPr>
          <w:ilvl w:val="1"/>
          <w:numId w:val="1003"/>
        </w:numPr>
      </w:pPr>
      <w:r>
        <w:t xml:space="preserve">Dose 0 → YoB {1930, 1935}</w:t>
      </w:r>
    </w:p>
    <w:p>
      <w:pPr>
        <w:pStyle w:val="Compact"/>
        <w:numPr>
          <w:ilvl w:val="1"/>
          <w:numId w:val="1003"/>
        </w:numPr>
      </w:pPr>
      <w:r>
        <w:t xml:space="preserve">Dose 1 → YoB {1940, 1945}</w:t>
      </w:r>
    </w:p>
    <w:p>
      <w:pPr>
        <w:pStyle w:val="Compact"/>
        <w:numPr>
          <w:ilvl w:val="1"/>
          <w:numId w:val="1003"/>
        </w:numPr>
      </w:pPr>
      <w:r>
        <w:t xml:space="preserve">Dose 2 → YoB {1950, 1955}</w:t>
      </w:r>
    </w:p>
    <w:p>
      <w:pPr>
        <w:pStyle w:val="Compact"/>
        <w:numPr>
          <w:ilvl w:val="0"/>
          <w:numId w:val="1002"/>
        </w:numPr>
      </w:pPr>
      <w:r>
        <w:rPr>
          <w:b/>
          <w:bCs/>
        </w:rPr>
        <w:t xml:space="preserve">Output YoB</w:t>
      </w:r>
      <w:r>
        <w:t xml:space="preserve">: Fixed at 1950 (unvax cohort) or 1940 (vax cohort)</w:t>
      </w:r>
    </w:p>
    <w:p>
      <w:pPr>
        <w:pStyle w:val="Compact"/>
        <w:numPr>
          <w:ilvl w:val="0"/>
          <w:numId w:val="100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53"/>
    <w:bookmarkStart w:id="54" w:name="b.3-positive-control-injected-effect"/>
    <w:p>
      <w:pPr>
        <w:pStyle w:val="Heading4"/>
      </w:pPr>
      <w:r>
        <w:t xml:space="preserve">B.3 Positive control: injected effect</w:t>
      </w:r>
    </w:p>
    <w:p>
      <w:pPr>
        <w:pStyle w:val="FirstParagraph"/>
      </w:pPr>
      <w:r>
        <w:t xml:space="preserve">The positive control (Figure 4 and Table 8) is generated using:</w:t>
      </w:r>
    </w:p>
    <w:p>
      <w:pPr>
        <w:pStyle w:val="Compact"/>
        <w:numPr>
          <w:ilvl w:val="0"/>
          <w:numId w:val="100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04"/>
        </w:numPr>
      </w:pPr>
      <w:r>
        <w:rPr>
          <w:b/>
          <w:bCs/>
        </w:rPr>
        <w:t xml:space="preserve">Initial cohort size</w:t>
      </w:r>
      <w:r>
        <w:t xml:space="preserve">: 100,000 per cohort</w:t>
      </w:r>
    </w:p>
    <w:p>
      <w:pPr>
        <w:pStyle w:val="Compact"/>
        <w:numPr>
          <w:ilvl w:val="0"/>
          <w:numId w:val="1004"/>
        </w:numPr>
      </w:pPr>
      <w:r>
        <w:rPr>
          <w:b/>
          <w:bCs/>
        </w:rPr>
        <w:t xml:space="preserve">Baseline hazard</w:t>
      </w:r>
      <w:r>
        <w:t xml:space="preserve">: 0.002 per week</w:t>
      </w:r>
    </w:p>
    <w:p>
      <w:pPr>
        <w:pStyle w:val="Compact"/>
        <w:numPr>
          <w:ilvl w:val="0"/>
          <w:numId w:val="100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04"/>
        </w:numPr>
      </w:pPr>
      <w:r>
        <w:rPr>
          <w:b/>
          <w:bCs/>
        </w:rPr>
        <w:t xml:space="preserve">Effect window</w:t>
      </w:r>
      <w:r>
        <w:t xml:space="preserve">: weeks 20–80</w:t>
      </w:r>
    </w:p>
    <w:p>
      <w:pPr>
        <w:pStyle w:val="Compact"/>
        <w:numPr>
          <w:ilvl w:val="0"/>
          <w:numId w:val="1004"/>
        </w:numPr>
      </w:pPr>
      <w:r>
        <w:rPr>
          <w:b/>
          <w:bCs/>
        </w:rPr>
        <w:t xml:space="preserve">Hazard multipliers</w:t>
      </w:r>
      <w:r>
        <w:t xml:space="preserve">:</w:t>
      </w:r>
    </w:p>
    <w:p>
      <w:pPr>
        <w:pStyle w:val="Compact"/>
        <w:numPr>
          <w:ilvl w:val="1"/>
          <w:numId w:val="1005"/>
        </w:numPr>
      </w:pPr>
      <w:r>
        <w:t xml:space="preserve">Harm scenario:</w:t>
      </w:r>
      <w:r>
        <w:t xml:space="preserve"> </w:t>
      </w:r>
      <m:oMath>
        <m:r>
          <m:t>r</m:t>
        </m:r>
        <m:r>
          <m:rPr>
            <m:sty m:val="p"/>
          </m:rPr>
          <m:t>=</m:t>
        </m:r>
        <m:r>
          <m:t>1.2</m:t>
        </m:r>
      </m:oMath>
    </w:p>
    <w:p>
      <w:pPr>
        <w:pStyle w:val="Compact"/>
        <w:numPr>
          <w:ilvl w:val="1"/>
          <w:numId w:val="1005"/>
        </w:numPr>
      </w:pPr>
      <w:r>
        <w:t xml:space="preserve">Benefit scenario:</w:t>
      </w:r>
      <w:r>
        <w:t xml:space="preserve"> </w:t>
      </w:r>
      <m:oMath>
        <m:r>
          <m:t>r</m:t>
        </m:r>
        <m:r>
          <m:rPr>
            <m:sty m:val="p"/>
          </m:rPr>
          <m:t>=</m:t>
        </m:r>
        <m:r>
          <m:t>0.8</m:t>
        </m:r>
      </m:oMath>
    </w:p>
    <w:p>
      <w:pPr>
        <w:pStyle w:val="Compact"/>
        <w:numPr>
          <w:ilvl w:val="0"/>
          <w:numId w:val="1004"/>
        </w:numPr>
      </w:pPr>
      <w:r>
        <w:rPr>
          <w:b/>
          <w:bCs/>
        </w:rPr>
        <w:t xml:space="preserve">Random seed</w:t>
      </w:r>
      <w:r>
        <w:t xml:space="preserve">: 42</w:t>
      </w:r>
    </w:p>
    <w:p>
      <w:pPr>
        <w:pStyle w:val="Compact"/>
        <w:numPr>
          <w:ilvl w:val="0"/>
          <w:numId w:val="100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54"/>
    <w:bookmarkStart w:id="55"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06"/>
        </w:numPr>
      </w:pPr>
      <w:r>
        <w:rPr>
          <w:b/>
          <w:bCs/>
        </w:rPr>
        <w:t xml:space="preserve">Baseline weeks</w:t>
      </w:r>
      <w:r>
        <w:t xml:space="preserve">: [2, 3, 4, 5, 6, 7, 8]</w:t>
      </w:r>
    </w:p>
    <w:p>
      <w:pPr>
        <w:pStyle w:val="Compact"/>
        <w:numPr>
          <w:ilvl w:val="0"/>
          <w:numId w:val="1006"/>
        </w:numPr>
      </w:pPr>
      <w:r>
        <w:rPr>
          <w:b/>
          <w:bCs/>
        </w:rPr>
        <w:t xml:space="preserve">Quiet-start offsets</w:t>
      </w:r>
      <w:r>
        <w:t xml:space="preserve">: [-12, -8, -4, 0, +4, +8, +12] weeks from 2023-01</w:t>
      </w:r>
    </w:p>
    <w:p>
      <w:pPr>
        <w:pStyle w:val="Compact"/>
        <w:numPr>
          <w:ilvl w:val="0"/>
          <w:numId w:val="1006"/>
        </w:numPr>
      </w:pPr>
      <w:r>
        <w:rPr>
          <w:b/>
          <w:bCs/>
        </w:rPr>
        <w:t xml:space="preserve">Quiet-window end</w:t>
      </w:r>
      <w:r>
        <w:t xml:space="preserve">: Fixed at 2023-52</w:t>
      </w:r>
    </w:p>
    <w:p>
      <w:pPr>
        <w:pStyle w:val="Compact"/>
        <w:numPr>
          <w:ilvl w:val="0"/>
          <w:numId w:val="1006"/>
        </w:numPr>
      </w:pPr>
      <w:r>
        <w:rPr>
          <w:b/>
          <w:bCs/>
        </w:rPr>
        <w:t xml:space="preserve">Dose pairs</w:t>
      </w:r>
      <w:r>
        <w:t xml:space="preserve">: 1 vs 0, 2 vs 0, 2 vs 1</w:t>
      </w:r>
    </w:p>
    <w:p>
      <w:pPr>
        <w:pStyle w:val="Compact"/>
        <w:numPr>
          <w:ilvl w:val="0"/>
          <w:numId w:val="1006"/>
        </w:numPr>
      </w:pPr>
      <w:r>
        <w:rPr>
          <w:b/>
          <w:bCs/>
        </w:rPr>
        <w:t xml:space="preserve">Cohorts</w:t>
      </w:r>
      <w:r>
        <w:t xml:space="preserve">: 2021_24</w:t>
      </w:r>
    </w:p>
    <w:p>
      <w:pPr>
        <w:pStyle w:val="FirstParagraph"/>
      </w:pPr>
      <w:r>
        <w:t xml:space="preserve">Output grids show KCOR(t) values for each parameter combination.</w:t>
      </w:r>
    </w:p>
    <w:bookmarkEnd w:id="55"/>
    <w:bookmarkStart w:id="56"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07"/>
        </w:numPr>
      </w:pPr>
      <w:r>
        <w:rPr>
          <w:b/>
          <w:bCs/>
        </w:rPr>
        <w:t xml:space="preserve">Mid-sampled cohort</w:t>
      </w:r>
      <w:r>
        <w:t xml:space="preserve">: frailty restricted to central quantiles (e.g., 25th–75th percentile) and renormalized to mean 1.</w:t>
      </w:r>
    </w:p>
    <w:p>
      <w:pPr>
        <w:pStyle w:val="Compact"/>
        <w:numPr>
          <w:ilvl w:val="0"/>
          <w:numId w:val="1007"/>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08"/>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08"/>
        </w:numPr>
      </w:pPr>
      <w:r>
        <w:rPr>
          <w:b/>
          <w:bCs/>
        </w:rPr>
        <w:t xml:space="preserve">Base frailty distribution</w:t>
      </w:r>
      <w:r>
        <w:t xml:space="preserve">: Log-normal with mean 1, variance 0.5</w:t>
      </w:r>
    </w:p>
    <w:p>
      <w:pPr>
        <w:pStyle w:val="Compact"/>
        <w:numPr>
          <w:ilvl w:val="0"/>
          <w:numId w:val="1008"/>
        </w:numPr>
      </w:pPr>
      <w:r>
        <w:rPr>
          <w:b/>
          <w:bCs/>
        </w:rPr>
        <w:t xml:space="preserve">Mid-quantile cohort</w:t>
      </w:r>
      <w:r>
        <w:t xml:space="preserve">: 25th–75th percentile</w:t>
      </w:r>
    </w:p>
    <w:p>
      <w:pPr>
        <w:pStyle w:val="Compact"/>
        <w:numPr>
          <w:ilvl w:val="0"/>
          <w:numId w:val="1008"/>
        </w:numPr>
      </w:pPr>
      <w:r>
        <w:rPr>
          <w:b/>
          <w:bCs/>
        </w:rPr>
        <w:t xml:space="preserve">Tail-mixture cohort</w:t>
      </w:r>
      <w:r>
        <w:t xml:space="preserve">: [0–15th] + [85th–100th] percentiles, equal weights</w:t>
      </w:r>
    </w:p>
    <w:p>
      <w:pPr>
        <w:pStyle w:val="Compact"/>
        <w:numPr>
          <w:ilvl w:val="0"/>
          <w:numId w:val="1008"/>
        </w:numPr>
      </w:pPr>
      <w:r>
        <w:rPr>
          <w:b/>
          <w:bCs/>
        </w:rPr>
        <w:t xml:space="preserve">Baseline hazard</w:t>
      </w:r>
      <w:r>
        <w:t xml:space="preserve">: 0.002 per week (constant)</w:t>
      </w:r>
    </w:p>
    <w:p>
      <w:pPr>
        <w:pStyle w:val="Compact"/>
        <w:numPr>
          <w:ilvl w:val="0"/>
          <w:numId w:val="1008"/>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08"/>
        </w:numPr>
      </w:pPr>
      <w:r>
        <w:rPr>
          <w:b/>
          <w:bCs/>
        </w:rPr>
        <w:t xml:space="preserve">Effect window</w:t>
      </w:r>
      <w:r>
        <w:t xml:space="preserve">: weeks 20–80</w:t>
      </w:r>
    </w:p>
    <w:p>
      <w:pPr>
        <w:pStyle w:val="Compact"/>
        <w:numPr>
          <w:ilvl w:val="0"/>
          <w:numId w:val="1008"/>
        </w:numPr>
      </w:pPr>
      <w:r>
        <w:rPr>
          <w:b/>
          <w:bCs/>
        </w:rPr>
        <w:t xml:space="preserve">Random seed</w:t>
      </w:r>
      <w:r>
        <w:t xml:space="preserve">: 42</w:t>
      </w:r>
    </w:p>
    <w:bookmarkEnd w:id="56"/>
    <w:bookmarkStart w:id="63"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57"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r>
            <m:t>  </m:t>
          </m:r>
          <m:r>
            <m:rPr>
              <m:nor/>
              <m:sty m:val="p"/>
            </m:rPr>
            <m:t>(B.1)</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57"/>
    <w:bookmarkStart w:id="58" w:name="frailty-structure"/>
    <w:p>
      <w:pPr>
        <w:pStyle w:val="Heading5"/>
      </w:pPr>
      <w:r>
        <w:t xml:space="preserve">Frailty structure</w:t>
      </w:r>
    </w:p>
    <w:p>
      <w:pPr>
        <w:pStyle w:val="Compact"/>
        <w:numPr>
          <w:ilvl w:val="0"/>
          <w:numId w:val="1009"/>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09"/>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58"/>
    <w:bookmarkStart w:id="59"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10"/>
        </w:numPr>
      </w:pPr>
      <w:r>
        <w:t xml:space="preserve">Step change (constant multiplicative factor),</w:t>
      </w:r>
    </w:p>
    <w:p>
      <w:pPr>
        <w:pStyle w:val="Compact"/>
        <w:numPr>
          <w:ilvl w:val="0"/>
          <w:numId w:val="1010"/>
        </w:numPr>
      </w:pPr>
      <w:r>
        <w:t xml:space="preserve">Linear ramp,</w:t>
      </w:r>
    </w:p>
    <w:p>
      <w:pPr>
        <w:pStyle w:val="Compact"/>
        <w:numPr>
          <w:ilvl w:val="0"/>
          <w:numId w:val="1010"/>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59"/>
    <w:bookmarkStart w:id="60"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60"/>
    <w:bookmarkStart w:id="61"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11"/>
        </w:numPr>
      </w:pPr>
      <w:r>
        <w:t xml:space="preserve">KCOR(t) remains approximately flat and near unity during the quiet window,</w:t>
      </w:r>
    </w:p>
    <w:p>
      <w:pPr>
        <w:pStyle w:val="Compact"/>
        <w:numPr>
          <w:ilvl w:val="0"/>
          <w:numId w:val="1011"/>
        </w:numPr>
      </w:pPr>
      <w:r>
        <w:t xml:space="preserve">KCOR(t) deviates in the correct direction and magnitude during the treatment window,</w:t>
      </w:r>
    </w:p>
    <w:p>
      <w:pPr>
        <w:pStyle w:val="Compact"/>
        <w:numPr>
          <w:ilvl w:val="0"/>
          <w:numId w:val="1011"/>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61"/>
    <w:bookmarkStart w:id="62"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62"/>
    <w:bookmarkEnd w:id="63"/>
    <w:bookmarkEnd w:id="64"/>
    <w:bookmarkStart w:id="86" w:name="Xa23f995a6567bd855fb6db81f1cb494037ce072"/>
    <w:p>
      <w:pPr>
        <w:pStyle w:val="Heading3"/>
      </w:pPr>
      <w:r>
        <w:t xml:space="preserve">Appendix C: Additional figures and diagnostics</w:t>
      </w:r>
    </w:p>
    <w:bookmarkStart w:id="65"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12"/>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12"/>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12"/>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65"/>
    <w:bookmarkStart w:id="66"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t>  </m:t>
          </m:r>
          <m:r>
            <m:rPr>
              <m:nor/>
              <m:sty m:val="p"/>
            </m:rPr>
            <m:t>(C.1)</m:t>
          </m:r>
        </m:oMath>
      </m:oMathPara>
    </w:p>
    <w:p>
      <w:pPr>
        <w:pStyle w:val="Compact"/>
        <w:numPr>
          <w:ilvl w:val="0"/>
          <w:numId w:val="1013"/>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13"/>
        </w:numPr>
      </w:pPr>
      <w:r>
        <w:rPr>
          <w:b/>
          <w:bCs/>
        </w:rPr>
        <w:t xml:space="preserve">Outliers</w:t>
      </w:r>
      <w:r>
        <w:t xml:space="preserve">: Individual weeks with large residuals may indicate data quality issues or external shocks.</w:t>
      </w:r>
    </w:p>
    <w:p>
      <w:pPr>
        <w:pStyle w:val="Compact"/>
        <w:numPr>
          <w:ilvl w:val="0"/>
          <w:numId w:val="1013"/>
        </w:numPr>
      </w:pPr>
      <w:r>
        <w:rPr>
          <w:b/>
          <w:bCs/>
        </w:rPr>
        <w:t xml:space="preserve">Autocorrelation</w:t>
      </w:r>
      <w:r>
        <w:t xml:space="preserve">: Strong autocorrelation in residuals suggests the model is missing time-varying structure.</w:t>
      </w:r>
    </w:p>
    <w:bookmarkEnd w:id="66"/>
    <w:bookmarkStart w:id="67"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14"/>
        </w:numPr>
      </w:pPr>
      <w:r>
        <w:rPr>
          <w:b/>
          <w:bCs/>
        </w:rPr>
        <w:t xml:space="preserve">Quiet-window perturbation</w:t>
      </w:r>
      <w:r>
        <w:t xml:space="preserve">: Shift the quiet-window start/end by ±4 weeks and re-fit. Stable parameters should vary by &lt; 10%.</w:t>
      </w:r>
    </w:p>
    <w:p>
      <w:pPr>
        <w:pStyle w:val="Compact"/>
        <w:numPr>
          <w:ilvl w:val="0"/>
          <w:numId w:val="1014"/>
        </w:numPr>
      </w:pPr>
      <w:r>
        <w:rPr>
          <w:b/>
          <w:bCs/>
        </w:rPr>
        <w:t xml:space="preserve">Skip-weeks sensitivity</w:t>
      </w:r>
      <w:r>
        <w:t xml:space="preserve">: Vary SKIP_WEEKS from 0 to 8 and verify KCOR(t) trajectories remain qualitatively similar.</w:t>
      </w:r>
    </w:p>
    <w:p>
      <w:pPr>
        <w:pStyle w:val="Compact"/>
        <w:numPr>
          <w:ilvl w:val="0"/>
          <w:numId w:val="1014"/>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67"/>
    <w:bookmarkStart w:id="68"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15"/>
        </w:numPr>
      </w:pPr>
      <w:r>
        <w:t xml:space="preserve">Avoid major epidemic waves or external mortality shocks</w:t>
      </w:r>
    </w:p>
    <w:p>
      <w:pPr>
        <w:pStyle w:val="Compact"/>
        <w:numPr>
          <w:ilvl w:val="0"/>
          <w:numId w:val="1015"/>
        </w:numPr>
      </w:pPr>
      <w:r>
        <w:t xml:space="preserve">Contain sufficient event counts for stable estimation</w:t>
      </w:r>
    </w:p>
    <w:p>
      <w:pPr>
        <w:pStyle w:val="Compact"/>
        <w:numPr>
          <w:ilvl w:val="0"/>
          <w:numId w:val="1015"/>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68"/>
    <w:bookmarkStart w:id="78" w:name="c.5-robustness-to-age-stratification"/>
    <w:p>
      <w:pPr>
        <w:pStyle w:val="Heading4"/>
      </w:pPr>
      <w:r>
        <w:t xml:space="preserve">C.5 Robustness to age stratification</w:t>
      </w:r>
    </w:p>
    <w:p>
      <w:pPr>
        <w:pStyle w:val="CaptionedFigure"/>
      </w:pPr>
      <w:r>
        <w:drawing>
          <wp:inline>
            <wp:extent cx="5334000" cy="3078759"/>
            <wp:effectExtent b="0" l="0" r="0" t="0"/>
            <wp:docPr descr="Figure S1. Birth-year cohort 193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70" name="Picture"/>
            <a:graphic>
              <a:graphicData uri="http://schemas.openxmlformats.org/drawingml/2006/picture">
                <pic:pic>
                  <pic:nvPicPr>
                    <pic:cNvPr descr="figures/supplement/kcor_realdata_yob1930_enroll2022w26_eval2023.png" id="71" name="Picture"/>
                    <pic:cNvPicPr>
                      <a:picLocks noChangeArrowheads="1" noChangeAspect="1"/>
                    </pic:cNvPicPr>
                  </pic:nvPicPr>
                  <pic:blipFill>
                    <a:blip r:embed="rId69"/>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S1. Birth-year cohort 1930: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p>
      <w:pPr>
        <w:pStyle w:val="CaptionedFigure"/>
      </w:pPr>
      <w:r>
        <w:drawing>
          <wp:inline>
            <wp:extent cx="5334000" cy="3078759"/>
            <wp:effectExtent b="0" l="0" r="0" t="0"/>
            <wp:docPr descr="Figure S2. Birth-year cohort 194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73" name="Picture"/>
            <a:graphic>
              <a:graphicData uri="http://schemas.openxmlformats.org/drawingml/2006/picture">
                <pic:pic>
                  <pic:nvPicPr>
                    <pic:cNvPr descr="figures/supplement/kcor_realdata_yob1940_enroll2022w26_eval2023.png" id="74" name="Picture"/>
                    <pic:cNvPicPr>
                      <a:picLocks noChangeArrowheads="1" noChangeAspect="1"/>
                    </pic:cNvPicPr>
                  </pic:nvPicPr>
                  <pic:blipFill>
                    <a:blip r:embed="rId72"/>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S2. Birth-year cohort 1940: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p>
      <w:pPr>
        <w:pStyle w:val="CaptionedFigure"/>
      </w:pPr>
      <w:r>
        <w:drawing>
          <wp:inline>
            <wp:extent cx="5334000" cy="3078759"/>
            <wp:effectExtent b="0" l="0" r="0" t="0"/>
            <wp:docPr descr="Figure S3. Birth-year cohort 195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76" name="Picture"/>
            <a:graphic>
              <a:graphicData uri="http://schemas.openxmlformats.org/drawingml/2006/picture">
                <pic:pic>
                  <pic:nvPicPr>
                    <pic:cNvPr descr="figures/supplement/kcor_realdata_yob1950_enroll2022w26_eval2023.png" id="77" name="Picture"/>
                    <pic:cNvPicPr>
                      <a:picLocks noChangeArrowheads="1" noChangeAspect="1"/>
                    </pic:cNvPicPr>
                  </pic:nvPicPr>
                  <pic:blipFill>
                    <a:blip r:embed="rId75"/>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S3. Birth-year cohort 1950: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78"/>
    <w:bookmarkStart w:id="79" w:name="X5005ae36911b56dc3a962ec275b6985cf0735b2"/>
    <w:p>
      <w:pPr>
        <w:pStyle w:val="Heading4"/>
      </w:pPr>
      <w:r>
        <w:t xml:space="preserve">C.6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 Throughout this subsection, observed divergences are interpreted strictly as properties of the estimator under real-world selection, not as intervention effects.</w:t>
      </w:r>
    </w:p>
    <w:p>
      <w:pPr>
        <w:pStyle w:val="BodyText"/>
      </w:pPr>
      <w:r>
        <w:t xml:space="preserve">Unless otherwise noted, KCOR curves in the Czech analyses are shown anchored at</w:t>
      </w:r>
      <w:r>
        <w:t xml:space="preserve"> </w:t>
      </w:r>
      <m:oMath>
        <m:sSub>
          <m:e>
            <m:r>
              <m:t>t</m:t>
            </m:r>
          </m:e>
          <m:sub>
            <m:r>
              <m:t>0</m:t>
            </m:r>
          </m:sub>
        </m:sSub>
        <m:r>
          <m:rPr>
            <m:sty m:val="p"/>
          </m:rPr>
          <m:t>=</m:t>
        </m:r>
        <m:r>
          <m:t>4</m:t>
        </m:r>
      </m:oMath>
      <w:r>
        <w:t xml:space="preserve"> </w:t>
      </w:r>
      <w:r>
        <w:t xml:space="preserve">weeks for interpretability.</w:t>
      </w:r>
    </w:p>
    <w:bookmarkEnd w:id="79"/>
    <w:bookmarkStart w:id="80" w:name="X48172d6f72091d7f399c6d94e04aceb15a67599"/>
    <w:p>
      <w:pPr>
        <w:pStyle w:val="Heading4"/>
      </w:pPr>
      <w:r>
        <w:t xml:space="preserve">C.6.1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80"/>
    <w:bookmarkStart w:id="81" w:name="X1195eb45347772bff719ce325b2e222b78eea18"/>
    <w:p>
      <w:pPr>
        <w:pStyle w:val="Heading4"/>
      </w:pPr>
      <w:r>
        <w:t xml:space="preserve">C.6.2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r>
            <m:rPr>
              <m:sty m:val="p"/>
            </m:rPr>
            <m:t>.</m:t>
          </m:r>
          <m:r>
            <m:t>  </m:t>
          </m:r>
          <m:r>
            <m:rPr>
              <m:nor/>
              <m:sty m:val="p"/>
            </m:rPr>
            <m:t>(C.2)</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p>
      <w:pPr>
        <w:pStyle w:val="BodyText"/>
      </w:pPr>
      <w:r>
        <w:t xml:space="preserve">Table S2 summarizes these diagnostic checks across age strata.</w:t>
      </w:r>
    </w:p>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r>
            <m:rPr>
              <m:sty m:val="p"/>
            </m:rPr>
            <m:t>.</m:t>
          </m:r>
          <m:r>
            <m:t>  </m:t>
          </m:r>
          <m:r>
            <m:rPr>
              <m:nor/>
              <m:sty m:val="p"/>
            </m:rPr>
            <m:t>(C.3)</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r>
            <m:rPr>
              <m:sty m:val="p"/>
            </m:rPr>
            <m:t>.</m:t>
          </m:r>
          <m:r>
            <m:t>  </m:t>
          </m:r>
          <m:r>
            <m:rPr>
              <m:nor/>
              <m:sty m:val="p"/>
            </m:rPr>
            <m:t>(C.4)</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w:t>
      </w:r>
      <w:r>
        <w:t xml:space="preserve"> </w:t>
      </w:r>
      <m:oMath>
        <m:r>
          <m:t>θ</m:t>
        </m:r>
      </m:oMath>
      <w:r>
        <w:t xml:space="preserve"> </w:t>
      </w:r>
      <w:r>
        <w:t xml:space="preserve">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S1 demonstrates selection-induced heterogeneity, unadjusted cumulative outcome contrasts are expected to conflate depletion effects with any true treatment differences; see Table S3 for raw cumulative hazards reported as a pre-normalization diagnostic. KCOR normalization removes the depletion component, enabling interpretable comparison of the remaining differences.</w:t>
      </w:r>
    </w:p>
    <w:p>
      <w:pPr>
        <w:pStyle w:val="BodyText"/>
      </w:pPr>
      <w:r>
        <w:t xml:space="preserve">These raw contrasts reflect both selection and depletion effects and are not interpreted causally.</w:t>
      </w:r>
    </w:p>
    <w:bookmarkEnd w:id="81"/>
    <w:bookmarkStart w:id="85" w:name="Xfd9d0e6e00b0a9fda84efde237c0f212c2526eb"/>
    <w:p>
      <w:pPr>
        <w:pStyle w:val="Heading4"/>
      </w:pPr>
      <w:r>
        <w:t xml:space="preserve">C.6.3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S4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S1–S3.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as illustrative applications demonstrating estimator behavior on registry data and do not support causal inference; no hypothesis testing is performed.</w:t>
      </w:r>
    </w:p>
    <w:p>
      <w:pPr>
        <w:pStyle w:val="CaptionedFigure"/>
      </w:pPr>
      <w:r>
        <w:drawing>
          <wp:inline>
            <wp:extent cx="5334000" cy="3078759"/>
            <wp:effectExtent b="0" l="0" r="0" t="0"/>
            <wp:docPr descr="Figure S4. All-ages stress test: \mathrm{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under extreme heterogeneity and does not support causal inference." title="" id="83" name="Picture"/>
            <a:graphic>
              <a:graphicData uri="http://schemas.openxmlformats.org/drawingml/2006/picture">
                <pic:pic>
                  <pic:nvPicPr>
                    <pic:cNvPr descr="figures/kcor_realdata_allages_enroll2022w26_eval2023.png" id="84" name="Picture"/>
                    <pic:cNvPicPr>
                      <a:picLocks noChangeArrowheads="1" noChangeAspect="1"/>
                    </pic:cNvPicPr>
                  </pic:nvPicPr>
                  <pic:blipFill>
                    <a:blip r:embed="rId82"/>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S4.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under extreme heterogeneity and does not support causal inference.</w:t>
      </w:r>
    </w:p>
    <w:bookmarkEnd w:id="85"/>
    <w:bookmarkEnd w:id="86"/>
    <w:bookmarkStart w:id="95" w:name="X69b5e35053b6e4d59eb22647dfb47df86b0bc52"/>
    <w:p>
      <w:pPr>
        <w:pStyle w:val="Heading3"/>
      </w:pPr>
      <w:r>
        <w:t xml:space="preserve">Appendix D: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p>
      <w:pPr>
        <w:pStyle w:val="BodyText"/>
      </w:pPr>
      <w:r>
        <w:t xml:space="preserve">A compact summary mapping each assumption to its corresponding diagnostic signals and recommended actions is provided in Table D.1.</w:t>
      </w:r>
    </w:p>
    <w:bookmarkStart w:id="87"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16"/>
        </w:numPr>
      </w:pPr>
      <w:r>
        <w:t xml:space="preserve">Inconsistencies in cohort risk sets (e.g., unexplained increases in at-risk counts).</w:t>
      </w:r>
    </w:p>
    <w:p>
      <w:pPr>
        <w:pStyle w:val="Compact"/>
        <w:numPr>
          <w:ilvl w:val="0"/>
          <w:numId w:val="1016"/>
        </w:numPr>
      </w:pPr>
      <w:r>
        <w:t xml:space="preserve">Early-time hazard suppression or inflation inconsistent with selection or depletion geometry.</w:t>
      </w:r>
    </w:p>
    <w:p>
      <w:pPr>
        <w:pStyle w:val="Compact"/>
        <w:numPr>
          <w:ilvl w:val="0"/>
          <w:numId w:val="1016"/>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87"/>
    <w:bookmarkStart w:id="88"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17"/>
        </w:numPr>
      </w:pPr>
      <w:r>
        <w:t xml:space="preserve">Calendar-time hazard spikes or drops that appear in only one cohort.</w:t>
      </w:r>
    </w:p>
    <w:p>
      <w:pPr>
        <w:pStyle w:val="Compact"/>
        <w:numPr>
          <w:ilvl w:val="0"/>
          <w:numId w:val="1017"/>
        </w:numPr>
      </w:pPr>
      <w:r>
        <w:t xml:space="preserve">Misalignment of major mortality shocks (e.g., epidemic waves) across cohorts.</w:t>
      </w:r>
    </w:p>
    <w:p>
      <w:pPr>
        <w:pStyle w:val="Compact"/>
        <w:numPr>
          <w:ilvl w:val="0"/>
          <w:numId w:val="1017"/>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88"/>
    <w:bookmarkStart w:id="89"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18"/>
        </w:numPr>
      </w:pPr>
      <w:r>
        <w:t xml:space="preserve">Strongly structured residuals in cumulative-hazard space inconsistent with depletion.</w:t>
      </w:r>
    </w:p>
    <w:p>
      <w:pPr>
        <w:pStyle w:val="Compact"/>
        <w:numPr>
          <w:ilvl w:val="0"/>
          <w:numId w:val="1018"/>
        </w:numPr>
      </w:pPr>
      <w:r>
        <w:t xml:space="preserve">Instability of fitted frailty parameters not attributable to window placement.</w:t>
      </w:r>
    </w:p>
    <w:p>
      <w:pPr>
        <w:pStyle w:val="Compact"/>
        <w:numPr>
          <w:ilvl w:val="0"/>
          <w:numId w:val="1018"/>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89"/>
    <w:bookmarkStart w:id="90"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19"/>
        </w:numPr>
      </w:pPr>
      <w:r>
        <w:t xml:space="preserve">Poor fit of the gamma-frailty cumulative-hazard model during the quiet window.</w:t>
      </w:r>
    </w:p>
    <w:p>
      <w:pPr>
        <w:pStyle w:val="Compact"/>
        <w:numPr>
          <w:ilvl w:val="0"/>
          <w:numId w:val="1019"/>
        </w:numPr>
      </w:pPr>
      <w:r>
        <w:t xml:space="preserve">Systematic residual curvature after frailty normalization.</w:t>
      </w:r>
    </w:p>
    <w:p>
      <w:pPr>
        <w:pStyle w:val="Compact"/>
        <w:numPr>
          <w:ilvl w:val="0"/>
          <w:numId w:val="1019"/>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w:t>
      </w:r>
      <m:oMath>
        <m:r>
          <m:t>θ</m:t>
        </m:r>
      </m:oMath>
      <w:r>
        <w:t xml:space="preserve">). Values of</w:t>
      </w:r>
      <w:r>
        <w:t xml:space="preserve"> </w:t>
      </w:r>
      <m:oMath>
        <m:r>
          <m:t>θ</m:t>
        </m:r>
      </m:oMath>
      <w:r>
        <w:t xml:space="preserve"> </w:t>
      </w:r>
      <w:r>
        <w:t xml:space="preserve">approaching zero are expected when cumulative hazards are approximately linear, while larger values correspond to visible depletion-induced curvature. Implausible</w:t>
      </w:r>
      <w:r>
        <w:t xml:space="preserve"> </w:t>
      </w:r>
      <m:oMath>
        <m:r>
          <m:t>θ</m:t>
        </m:r>
      </m:oMath>
      <w:r>
        <w:t xml:space="preserve"> </w:t>
      </w:r>
      <w:r>
        <w:t xml:space="preserve">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can degrade visibly through poor fit and residual curvature. Such behavior indicates model inadequacy rather than supporting alternative interpretation.</w:t>
      </w:r>
    </w:p>
    <w:bookmarkEnd w:id="90"/>
    <w:bookmarkStart w:id="91"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20"/>
        </w:numPr>
      </w:pPr>
      <w:r>
        <w:t xml:space="preserve">Failure of KCOR(t) trajectories to stabilize or asymptote following frailty normalization.</w:t>
      </w:r>
    </w:p>
    <w:p>
      <w:pPr>
        <w:pStyle w:val="Compact"/>
        <w:numPr>
          <w:ilvl w:val="0"/>
          <w:numId w:val="1020"/>
        </w:numPr>
      </w:pPr>
      <w:r>
        <w:t xml:space="preserve">Persistent nonzero slope in KCOR(t), indicating residual curvature after normalization.</w:t>
      </w:r>
    </w:p>
    <w:p>
      <w:pPr>
        <w:pStyle w:val="Compact"/>
        <w:numPr>
          <w:ilvl w:val="0"/>
          <w:numId w:val="1020"/>
        </w:numPr>
      </w:pPr>
      <w:r>
        <w:t xml:space="preserve">Instability of fitted frailty parameters (</w:t>
      </w:r>
      <m:oMath>
        <m:r>
          <m:t>θ</m:t>
        </m:r>
      </m:oMath>
      <w:r>
        <w:t xml:space="preserve">) under small perturbations of quiet-window boundaries.</w:t>
      </w:r>
    </w:p>
    <w:p>
      <w:pPr>
        <w:pStyle w:val="Compact"/>
        <w:numPr>
          <w:ilvl w:val="0"/>
          <w:numId w:val="1020"/>
        </w:numPr>
      </w:pPr>
      <w:r>
        <w:t xml:space="preserve">Failure of depletion-neutralized cumulative hazards to become approximately linear during the quiet window.</w:t>
      </w:r>
    </w:p>
    <w:p>
      <w:pPr>
        <w:pStyle w:val="Compact"/>
        <w:numPr>
          <w:ilvl w:val="0"/>
          <w:numId w:val="1020"/>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is violated—e.g., due to overlap with strong treatment effects or external shocks—KCOR does not amplify spurious signals. Instead, normalization becomes unstable and KCOR(t) trajectories attenuate toward unity or may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p>
      <w:pPr>
        <w:pStyle w:val="BodyText"/>
      </w:pPr>
      <w:r>
        <w:t xml:space="preserve">The diagnostics above are designed to detect quiet-window violations that induce residual curvature or parameter instability. They do not, by themselves, exclude the possibility of smooth, approximately stationary cohort-differential hazards within the quiet window that may be absorbed into fitted frailty parameters without producing obvious drift. For this reason, when feasible, we additionally recommend split-window and multi-window stability checks, in which frailty parameters and post-normalization linearity are assessed for consistency across sub-windows. Failure of such stability checks is treated as evidence against Assumption A5.</w:t>
      </w:r>
    </w:p>
    <w:bookmarkEnd w:id="91"/>
    <w:bookmarkStart w:id="92"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w:t>
      </w:r>
      <w:r>
        <w:t xml:space="preserve"> </w:t>
      </w:r>
      <m:oMath>
        <m:r>
          <m:t>θ</m:t>
        </m:r>
      </m:oMath>
      <w:r>
        <w:t xml:space="preserve"> </w:t>
      </w:r>
      <w:r>
        <w:t xml:space="preserve">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92"/>
    <w:bookmarkStart w:id="93"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93"/>
    <w:bookmarkStart w:id="94"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94"/>
    <w:bookmarkEnd w:id="95"/>
    <w:bookmarkStart w:id="99" w:name="X09a1431dab4bbadfa0973a59d6464090f35e676"/>
    <w:p>
      <w:pPr>
        <w:pStyle w:val="Heading3"/>
      </w:pPr>
      <w:r>
        <w:t xml:space="preserve">Appendix E: Reference Implementation and Default Settings</w:t>
      </w:r>
    </w:p>
    <w:p>
      <w:pPr>
        <w:pStyle w:val="FirstParagraph"/>
      </w:pPr>
      <w:r>
        <w:t xml:space="preserve">This appendix documents the reference implementation and default operational settings used for all analyses in this manuscript. These defaults are not intrinsic to the KCOR framework; they represent one prespecified operationalization chosen to ensure reproducibility and internal consistency. Alternative reasonable choices yield qualitatively similar conclusions when applied to depletion-neutralized hazards.</w:t>
      </w:r>
    </w:p>
    <w:p>
      <w:pPr>
        <w:pStyle w:val="BodyText"/>
      </w:pPr>
      <w:r>
        <w:t xml:space="preserve">The manuscript describes KCOR generically; for reproducibility, this repository’s KCOR defaults are:</w:t>
      </w:r>
    </w:p>
    <w:bookmarkStart w:id="96" w:name="e.1-cohort-construction-defaults"/>
    <w:p>
      <w:pPr>
        <w:pStyle w:val="Heading4"/>
      </w:pPr>
      <w:r>
        <w:t xml:space="preserve">E.1 Cohort construction defaults</w:t>
      </w:r>
    </w:p>
    <w:p>
      <w:pPr>
        <w:pStyle w:val="Compact"/>
        <w:numPr>
          <w:ilvl w:val="0"/>
          <w:numId w:val="102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96"/>
    <w:bookmarkStart w:id="97" w:name="e.2-quiet-period-selection-defaults"/>
    <w:p>
      <w:pPr>
        <w:pStyle w:val="Heading4"/>
      </w:pPr>
      <w:r>
        <w:t xml:space="preserve">E.2 Quiet-period selection defaults</w:t>
      </w:r>
    </w:p>
    <w:p>
      <w:pPr>
        <w:pStyle w:val="Compact"/>
        <w:numPr>
          <w:ilvl w:val="0"/>
          <w:numId w:val="1022"/>
        </w:numPr>
      </w:pPr>
      <w:r>
        <w:rPr>
          <w:b/>
          <w:bCs/>
        </w:rPr>
        <w:t xml:space="preserve">Quiet window</w:t>
      </w:r>
      <w:r>
        <w:t xml:space="preserve">: ISO weeks</w:t>
      </w:r>
      <w:r>
        <w:t xml:space="preserve"> </w:t>
      </w:r>
      <w:r>
        <w:rPr>
          <w:rStyle w:val="VerbatimChar"/>
        </w:rPr>
        <w:t xml:space="preserve">2023-01</w:t>
      </w:r>
      <w:r>
        <w:t xml:space="preserve"> </w:t>
      </w:r>
      <w:r>
        <w:t xml:space="preserve">through</w:t>
      </w:r>
      <w:r>
        <w:t xml:space="preserve"> </w:t>
      </w:r>
      <w:r>
        <w:rPr>
          <w:rStyle w:val="VerbatimChar"/>
        </w:rPr>
        <w:t xml:space="preserve">2023-52</w:t>
      </w:r>
      <w:r>
        <w:t xml:space="preserve"> </w:t>
      </w:r>
      <w:r>
        <w:t xml:space="preserve">(inclusive; calendar year 2023).</w:t>
      </w:r>
    </w:p>
    <w:bookmarkEnd w:id="97"/>
    <w:bookmarkStart w:id="98" w:name="X4fc111a72d5a78ada027a143a4a0e85c07d63f3"/>
    <w:p>
      <w:pPr>
        <w:pStyle w:val="Heading4"/>
      </w:pPr>
      <w:r>
        <w:t xml:space="preserve">E.4 Frailty estimation and inversion defaults</w:t>
      </w:r>
    </w:p>
    <w:p>
      <w:pPr>
        <w:pStyle w:val="Compact"/>
        <w:numPr>
          <w:ilvl w:val="0"/>
          <w:numId w:val="1023"/>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23"/>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bookmarkEnd w:id="98"/>
    <w:bookmarkEnd w:id="99"/>
    <w:bookmarkEnd w:id="100"/>
    <w:bookmarkStart w:id="101" w:name="supplementary-tables"/>
    <w:p>
      <w:pPr>
        <w:pStyle w:val="Heading2"/>
      </w:pPr>
      <w:r>
        <w:t xml:space="preserve">Supplementary Tables</w:t>
      </w:r>
    </w:p>
    <w:p>
      <w:pPr>
        <w:pStyle w:val="TableCaption"/>
      </w:pPr>
      <w:r>
        <w:t xml:space="preserve">Table S1.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S1.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S3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TableCaption"/>
      </w:pPr>
      <w:r>
        <w:t xml:space="preserve">Table S2.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S2.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
      <w:pPr>
        <w:pStyle w:val="TableCaption"/>
      </w:pPr>
      <w:r>
        <w:t xml:space="preserve">Table S3.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S3.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image" Id="rId82" Target="media/rId82.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2026-01-09T01:01:24Z</dcterms:created>
  <dcterms:modified xsi:type="dcterms:W3CDTF">2026-01-09T01:01:24Z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main,frontmatter</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