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60.png" ContentType="image/png"/>
  <Override PartName="/word/media/rId64.png" ContentType="image/png"/>
  <Override PartName="/word/media/rId54.png" ContentType="image/png"/>
  <Override PartName="/word/media/rId72.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6" w:name="X7e352faca4f4abc41f11b7392747c843df7c7d0"/>
    <w:p>
      <w:pPr>
        <w:pStyle w:val="Heading1"/>
      </w:pPr>
      <w:r>
        <w:t xml:space="preserve">KCOR: Depletion-Neutralized Cohort Comparison via Gamma-Frailty Normalization Under Selection-Induced Hazard Curvature</w:t>
      </w:r>
    </w:p>
    <w:bookmarkStart w:id="9" w:name="X4835020d385acbc75dd50aaa05eda5f3dd08f94"/>
    <w:p>
      <w:pPr>
        <w:pStyle w:val="Heading2"/>
      </w:pPr>
      <w:r>
        <w:t xml:space="preserve">Manuscript metadata (for journal submission)</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Authors</w:t>
      </w:r>
      <w:r>
        <w:t xml:space="preserve">: [Author names and degrees to be added prior to submission]</w:t>
      </w:r>
    </w:p>
    <w:p>
      <w:pPr>
        <w:pStyle w:val="Compact"/>
        <w:numPr>
          <w:ilvl w:val="0"/>
          <w:numId w:val="1001"/>
        </w:numPr>
      </w:pPr>
      <w:r>
        <w:rPr>
          <w:b/>
          <w:bCs/>
        </w:rPr>
        <w:t xml:space="preserve">Affiliations</w:t>
      </w:r>
      <w:r>
        <w:t xml:space="preserve">: [Institutional affiliations to be added prior to submission]</w:t>
      </w:r>
    </w:p>
    <w:p>
      <w:pPr>
        <w:pStyle w:val="Compact"/>
        <w:numPr>
          <w:ilvl w:val="0"/>
          <w:numId w:val="1001"/>
        </w:numPr>
      </w:pPr>
      <w:r>
        <w:rPr>
          <w:b/>
          <w:bCs/>
        </w:rPr>
        <w:t xml:space="preserve">Corresponding author</w:t>
      </w:r>
      <w:r>
        <w:t xml:space="preserve">: [Contact information to be added prior to submission]</w:t>
      </w:r>
    </w:p>
    <w:p>
      <w:pPr>
        <w:pStyle w:val="Compact"/>
        <w:numPr>
          <w:ilvl w:val="0"/>
          <w:numId w:val="1001"/>
        </w:numPr>
      </w:pPr>
      <w:r>
        <w:rPr>
          <w:b/>
          <w:bCs/>
        </w:rPr>
        <w:t xml:space="preserve">Word count</w:t>
      </w:r>
      <w:r>
        <w:t xml:space="preserve">: [To be calculated prior to submission]</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w:t>
      </w:r>
    </w:p>
    <w:p>
      <w:r>
        <w:pict>
          <v:rect style="width:0;height:1.5pt" o:hralign="center" o:hrstd="t" o:hr="t"/>
        </w:pic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In particular, selective uptake can induce systematic differences in mortality curvature—differences in the time-evolution of cohort hazards driven by frailty heterogeneity and depletion of susceptibles—that violate the assumptions of standard epidemiologic tools such as Cox proportional hazards models, age-standardized mortality rates, and inverse-probability weighting. We introduce</w:t>
      </w:r>
      <w:r>
        <w:t xml:space="preserve"> </w:t>
      </w:r>
      <w:r>
        <w:rPr>
          <w:b/>
          <w:bCs/>
        </w:rPr>
        <w:t xml:space="preserve">KCOR (Kirsch Cumulative Outcomes Ratio)</w:t>
      </w:r>
      <w:r>
        <w:t xml:space="preserve">, a method that neutralizes selection-induced curvature before cohort comparison by estimating and inverting a gamma-frailty mixture model in</w:t>
      </w:r>
      <w:r>
        <w:t xml:space="preserve"> </w:t>
      </w:r>
      <w:r>
        <w:rPr>
          <w:b/>
          <w:bCs/>
        </w:rPr>
        <w:t xml:space="preserve">cumulative-hazard space</w:t>
      </w:r>
      <w:r>
        <w:t xml:space="preserve">. KCOR v6 fits cohort-specific selection parameters during epidemiologically quiet periods and transforms observed cumulative hazards to depletion-neutralized baseline cumulative hazards, which are then compared cumulatively via ratios. We describe the KCOR framework, its mathematical foundation, and its validation using prespecified negative and positive control tests designed to stress selection-induced curvature. KCOR enables interpretable cumulative cohort comparisons in settings where treated and untreated hazards are non-proportional because selection induces different depletion dynamics.</w:t>
      </w:r>
    </w:p>
    <w:p>
      <w:r>
        <w:pict>
          <v:rect style="width:0;height:1.5pt" o:hralign="center" o:hrstd="t" o:hr="t"/>
        </w:pict>
      </w:r>
    </w:p>
    <w:bookmarkEnd w:id="10"/>
    <w:bookmarkStart w:id="18" w:name="introduction"/>
    <w:p>
      <w:pPr>
        <w:pStyle w:val="Heading2"/>
      </w:pPr>
      <w:r>
        <w:t xml:space="preserve">1. Introduction</w:t>
      </w:r>
    </w:p>
    <w:bookmarkStart w:id="11"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1"/>
    <w:bookmarkStart w:id="12"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concavity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p>
    <w:bookmarkEnd w:id="12"/>
    <w:bookmarkStart w:id="16" w:name="X3f76dee37168b4797631ddc9e3d31862803de93"/>
    <w:p>
      <w:pPr>
        <w:pStyle w:val="Heading3"/>
      </w:pPr>
      <w:r>
        <w:t xml:space="preserve">1.3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3" w:name="Xbfb6a4beb5729d82767d37d57edb58ba18bba27"/>
    <w:p>
      <w:pPr>
        <w:pStyle w:val="Heading4"/>
      </w:pPr>
      <w:r>
        <w:t xml:space="preserve">1.3.1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1</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3"/>
    <w:bookmarkStart w:id="15" w:name="X3c4376cf0533c6140ceba8f12ccdbb5b9c9efc8"/>
    <w:p>
      <w:pPr>
        <w:pStyle w:val="Heading4"/>
      </w:pPr>
      <w:r>
        <w:t xml:space="preserve">1.3.2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2</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w:t>
      </w:r>
    </w:p>
    <w:bookmarkStart w:id="14" w:name="tbl:HVE_motivation"/>
    <w:p>
      <w:pPr>
        <w:pStyle w:val="TableCaption"/>
      </w:pPr>
      <w:r>
        <w:t xml:space="preserve">Table 1: Summary of two large matched observational studies demonstrating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demonstrat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1</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2</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4"/>
    <w:bookmarkEnd w:id="15"/>
    <w:bookmarkEnd w:id="16"/>
    <w:bookmarkStart w:id="17" w:name="contribution-of-this-work"/>
    <w:p>
      <w:pPr>
        <w:pStyle w:val="Heading3"/>
      </w:pPr>
      <w:r>
        <w:t xml:space="preserve">1.4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p>
      <w:pPr>
        <w:pStyle w:val="BodyText"/>
      </w:pPr>
      <w:r>
        <w:t xml:space="preserve">This manuscript is</w:t>
      </w:r>
      <w:r>
        <w:t xml:space="preserve"> </w:t>
      </w:r>
      <w:r>
        <w:rPr>
          <w:b/>
          <w:bCs/>
        </w:rPr>
        <w:t xml:space="preserve">methods-only</w:t>
      </w:r>
      <w:r>
        <w:t xml:space="preserve">:</w:t>
      </w:r>
    </w:p>
    <w:p>
      <w:pPr>
        <w:pStyle w:val="Compact"/>
        <w:numPr>
          <w:ilvl w:val="0"/>
          <w:numId w:val="1003"/>
        </w:numPr>
      </w:pPr>
      <w:r>
        <w:t xml:space="preserve">We present the estimator, model assumptions, and uncertainty quantification.</w:t>
      </w:r>
    </w:p>
    <w:p>
      <w:pPr>
        <w:pStyle w:val="Compact"/>
        <w:numPr>
          <w:ilvl w:val="0"/>
          <w:numId w:val="1003"/>
        </w:numPr>
      </w:pPr>
      <w:r>
        <w:t xml:space="preserve">We validate the method using prespecified negative and positive controls designed to stress selection-induced curvature.</w:t>
      </w:r>
    </w:p>
    <w:p>
      <w:pPr>
        <w:pStyle w:val="Compact"/>
        <w:numPr>
          <w:ilvl w:val="0"/>
          <w:numId w:val="1003"/>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p>
      <w:r>
        <w:pict>
          <v:rect style="width:0;height:1.5pt" o:hralign="center" o:hrstd="t" o:hr="t"/>
        </w:pict>
      </w:r>
    </w:p>
    <w:bookmarkEnd w:id="17"/>
    <w:bookmarkEnd w:id="18"/>
    <w:bookmarkStart w:id="53" w:name="methods"/>
    <w:p>
      <w:pPr>
        <w:pStyle w:val="Heading2"/>
      </w:pPr>
      <w:r>
        <w:t xml:space="preserve">2. Methods</w:t>
      </w:r>
    </w:p>
    <w:bookmarkStart w:id="19" w:name="tbl:notation"/>
    <w:p>
      <w:pPr>
        <w:pStyle w:val="TableCaption"/>
      </w:pPr>
      <w:r>
        <w:t xml:space="preserve">Table 2: Notation used throughout the Methods section. θ_d denotes the cohort-specific depletion (frailty variance) parameter governing curvature in the observed cumulative hazard.</w:t>
      </w:r>
    </w:p>
    <w:tbl>
      <w:tblPr>
        <w:tblStyle w:val="Table"/>
        <w:tblW w:type="pct" w:w="5000"/>
        <w:tblLayout w:type="fixed"/>
        <w:tblLook w:firstRow="1" w:lastRow="0" w:firstColumn="0" w:lastColumn="0" w:noHBand="0" w:noVBand="0" w:val="0020"/>
        <w:tblCaption w:val="Table 2: Notation used throughout the Methods section. θ_d denotes the cohort-specific depletion (frailty variance) parameter governing curvature in the observed cumulative hazard."/>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dose/exposure)</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19"/>
    <w:bookmarkStart w:id="20"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4"/>
        </w:numPr>
      </w:pPr>
      <w:r>
        <w:rPr>
          <w:b/>
          <w:bCs/>
        </w:rPr>
        <w:t xml:space="preserve">Level effects</w:t>
      </w:r>
      <w:r>
        <w:t xml:space="preserve">: multiplicative shifts in hazard that are constant over time.</w:t>
      </w:r>
    </w:p>
    <w:p>
      <w:pPr>
        <w:pStyle w:val="Compact"/>
        <w:numPr>
          <w:ilvl w:val="0"/>
          <w:numId w:val="1004"/>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bookmarkEnd w:id="20"/>
    <w:bookmarkStart w:id="21"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w:t>
      </w:r>
    </w:p>
    <w:p>
      <w:pPr>
        <w:pStyle w:val="Compact"/>
        <w:numPr>
          <w:ilvl w:val="0"/>
          <w:numId w:val="1005"/>
        </w:numPr>
      </w:pPr>
      <w:r>
        <w:t xml:space="preserve">Cohorts are fixed at enrollment and defined by intervention status at a specified time.</w:t>
      </w:r>
    </w:p>
    <w:p>
      <w:pPr>
        <w:pStyle w:val="Compact"/>
        <w:numPr>
          <w:ilvl w:val="0"/>
          <w:numId w:val="1005"/>
        </w:numPr>
      </w:pPr>
      <w:r>
        <w:t xml:space="preserve">No censoring or cohort switching is permitted in the primary estimand.</w:t>
      </w:r>
    </w:p>
    <w:p>
      <w:pPr>
        <w:pStyle w:val="Compact"/>
        <w:numPr>
          <w:ilvl w:val="0"/>
          <w:numId w:val="1005"/>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 “as-treated” formulations are treated as sensitivity analyses rather than primary estimands.</w:t>
      </w:r>
    </w:p>
    <w:bookmarkEnd w:id="21"/>
    <w:bookmarkStart w:id="24"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p>
      <w:pPr>
        <w:pStyle w:val="BodyText"/>
      </w:pPr>
      <w:bookmarkStart w:id="22" w:name="eq:hazard-discrete"/>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r>
            <m:t>  </m:t>
          </m:r>
          <m:r>
            <m:rPr>
              <m:sty m:val="p"/>
            </m:rPr>
            <m:t>(</m:t>
          </m:r>
          <m:r>
            <m:t>1</m:t>
          </m:r>
          <m:r>
            <m:rPr>
              <m:sty m:val="p"/>
            </m:rPr>
            <m:t>)</m:t>
          </m:r>
        </m:oMath>
      </m:oMathPara>
      <w:bookmarkEnd w:id="22"/>
    </w:p>
    <w:p>
      <w:pPr>
        <w:pStyle w:val="FirstParagraph"/>
      </w:pPr>
      <w:r>
        <w:t xml:space="preserve">We work primarily in</w:t>
      </w:r>
      <w:r>
        <w:t xml:space="preserve"> </w:t>
      </w:r>
      <w:r>
        <w:rPr>
          <w:b/>
          <w:bCs/>
        </w:rPr>
        <w:t xml:space="preserve">cumulative-hazard space</w:t>
      </w:r>
      <w:r>
        <w:t xml:space="preserve">, accumulating observed hazards after an optional stabilization skip (see §2.7):</w:t>
      </w:r>
    </w:p>
    <w:p>
      <w:pPr>
        <w:pStyle w:val="BodyText"/>
      </w:pPr>
      <w:bookmarkStart w:id="23" w:name="eq:cumhazard-obser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r>
            <m:t>  </m:t>
          </m:r>
          <m:r>
            <m:rPr>
              <m:sty m:val="p"/>
            </m:rPr>
            <m:t>(</m:t>
          </m:r>
          <m:r>
            <m:t>2</m:t>
          </m:r>
          <m:r>
            <m:rPr>
              <m:sty m:val="p"/>
            </m:rPr>
            <m:t>)</m:t>
          </m:r>
        </m:oMath>
      </m:oMathPara>
      <w:bookmarkEnd w:id="23"/>
    </w:p>
    <w:bookmarkEnd w:id="24"/>
    <w:bookmarkStart w:id="37" w:name="Xe033a348c5bd6b05b57c8d9f7299f5850ccd667"/>
    <w:p>
      <w:pPr>
        <w:pStyle w:val="Heading3"/>
      </w:pPr>
      <w:r>
        <w:t xml:space="preserve">2.4 Selection model: gamma frailty and the cumulative-hazard identity</w:t>
      </w:r>
    </w:p>
    <w:bookmarkStart w:id="26"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p>
      <w:pPr>
        <w:pStyle w:val="BodyText"/>
      </w:pPr>
      <w:bookmarkStart w:id="25" w:name="eq:individual-hazard-frailty"/>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r>
            <m:t>  </m:t>
          </m:r>
          <m:r>
            <m:rPr>
              <m:sty m:val="p"/>
            </m:rPr>
            <m:t>(</m:t>
          </m:r>
          <m:r>
            <m:t>3</m:t>
          </m:r>
          <m:r>
            <m:rPr>
              <m:sty m:val="p"/>
            </m:rPr>
            <m:t>)</m:t>
          </m:r>
        </m:oMath>
      </m:oMathPara>
      <w:bookmarkEnd w:id="25"/>
    </w:p>
    <w:p>
      <w:pPr>
        <w:pStyle w:val="FirstParagraph"/>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3</w:t>
      </w:r>
      <w:r>
        <w:t xml:space="preserve">. In KCOR, gamma frailty is therefore a</w:t>
      </w:r>
      <w:r>
        <w:t xml:space="preserve"> </w:t>
      </w:r>
      <w:r>
        <w:rPr>
          <w:b/>
          <w:bCs/>
        </w:rPr>
        <w:t xml:space="preserve">depletion-neutralizing approximation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bookmarkEnd w:id="26"/>
    <w:bookmarkStart w:id="34" w:name="gamma-frailty-identity-core-mathematics"/>
    <w:p>
      <w:pPr>
        <w:pStyle w:val="Heading4"/>
      </w:pPr>
      <w:r>
        <w:t xml:space="preserve">2.4.2 Gamma-frailty identity (core mathematics)</w:t>
      </w:r>
    </w:p>
    <w:p>
      <w:pPr>
        <w:pStyle w:val="FirstParagraph"/>
      </w:pPr>
      <w:r>
        <w:t xml:space="preserve">Let the baseline cumulative hazard be</w:t>
      </w:r>
    </w:p>
    <w:p>
      <w:pPr>
        <w:pStyle w:val="BodyText"/>
      </w:pPr>
      <w:bookmarkStart w:id="27" w:name="eq:baseline-cumhazard"/>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sty m:val="p"/>
            </m:rPr>
            <m:t>(</m:t>
          </m:r>
          <m:r>
            <m:t>4</m:t>
          </m:r>
          <m:r>
            <m:rPr>
              <m:sty m:val="p"/>
            </m:rPr>
            <m:t>)</m:t>
          </m:r>
        </m:oMath>
      </m:oMathPara>
      <w:bookmarkEnd w:id="27"/>
    </w:p>
    <w:p>
      <w:pPr>
        <w:pStyle w:val="FirstParagraph"/>
      </w:pPr>
      <w:r>
        <w:t xml:space="preserve">Integrating over gamma frailty yields a closed-form relationship between the observed cohort cumulative hazard and the baseline cumulative hazard:</w:t>
      </w:r>
    </w:p>
    <w:p>
      <w:pPr>
        <w:pStyle w:val="BodyText"/>
      </w:pPr>
      <w:bookmarkStart w:id="28" w:name="eq:gamma-frailty-identity"/>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r>
            <m:t>  </m:t>
          </m:r>
          <m:r>
            <m:rPr>
              <m:sty m:val="p"/>
            </m:rPr>
            <m:t>(</m:t>
          </m:r>
          <m:r>
            <m:t>5</m:t>
          </m:r>
          <m:r>
            <m:rPr>
              <m:sty m:val="p"/>
            </m:rPr>
            <m:t>)</m:t>
          </m:r>
        </m:oMath>
      </m:oMathPara>
      <w:bookmarkEnd w:id="28"/>
    </w:p>
    <w:p>
      <w:pPr>
        <w:pStyle w:val="FirstParagraph"/>
      </w:pPr>
      <w:r>
        <w:t xml:space="preserve">This identity can be inverted exactly:</w:t>
      </w:r>
    </w:p>
    <w:p>
      <w:pPr>
        <w:pStyle w:val="BodyText"/>
      </w:pPr>
      <w:bookmarkStart w:id="29" w:name="eq:gamma-frailty-inversion"/>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r>
            <m:t>  </m:t>
          </m:r>
          <m:r>
            <m:rPr>
              <m:sty m:val="p"/>
            </m:rPr>
            <m:t>(</m:t>
          </m:r>
          <m:r>
            <m:t>6</m:t>
          </m:r>
          <m:r>
            <m:rPr>
              <m:sty m:val="p"/>
            </m:rPr>
            <m:t>)</m:t>
          </m:r>
        </m:oMath>
      </m:oMathPara>
      <w:bookmarkEnd w:id="29"/>
    </w:p>
    <w:p>
      <w:pPr>
        <w:pStyle w:val="FirstParagraph"/>
      </w:pPr>
      <w:r>
        <w:t xml:space="preserve">This inversion is the</w:t>
      </w:r>
      <w:r>
        <w:t xml:space="preserve"> </w:t>
      </w:r>
      <w:r>
        <w:rPr>
          <w:b/>
          <w:bCs/>
        </w:rPr>
        <w:t xml:space="preserve">KCOR v6 normalization step</w:t>
      </w:r>
      <w:r>
        <w:t xml:space="preserve">: it transforms the observed cumulative hazard into a depletion-neutralized baseline cumulative hazard for each cohort.</w:t>
      </w:r>
    </w:p>
    <w:bookmarkStart w:id="33" w:name="fig:kcor_v6_schematic"/>
    <w:p>
      <w:pPr>
        <w:pStyle w:val="CaptionedFigure"/>
      </w:pPr>
      <w:r>
        <w:drawing>
          <wp:inline>
            <wp:extent cx="5334000" cy="1417316"/>
            <wp:effectExtent b="0" l="0" r="0" t="0"/>
            <wp:docPr descr="Figure 1: Three-panel schematic illustrating the KCOR v6 normalization logic. Left: individual hazards differ only by multiplicative frailty z, with no treatment effect. Middle: aggregation over heterogeneous frailty induces cohort-level curvature in observed cumulative hazards H^{\mathrm{obs}}(t) despite identical baseline hazards. Right: inversion of the gamma-frailty identity recovers aligned baseline cumulative hazards H_0(t), demonstrating depletion-neutralization. This figure is schematic and intended for conceptual illustration; it does not represent empirical data." title="" id="31" name="Picture"/>
            <a:graphic>
              <a:graphicData uri="http://schemas.openxmlformats.org/drawingml/2006/picture">
                <pic:pic>
                  <pic:nvPicPr>
                    <pic:cNvPr descr="figures/fig1_kcor_v6_schematic.png" id="32" name="Picture"/>
                    <pic:cNvPicPr>
                      <a:picLocks noChangeArrowheads="1" noChangeAspect="1"/>
                    </pic:cNvPicPr>
                  </pic:nvPicPr>
                  <pic:blipFill>
                    <a:blip r:embed="rId30"/>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v6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despite identical baseline hazards. Right: inversion of the gamma-frailty identity recovers aligned baseline cumulative hazards</w:t>
      </w:r>
      <w:r>
        <w:t xml:space="preserve"> </w:t>
      </w:r>
      <m:oMath>
        <m:sSub>
          <m:e>
            <m:r>
              <m:t>H</m:t>
            </m:r>
          </m:e>
          <m:sub>
            <m:r>
              <m:t>0</m:t>
            </m:r>
          </m:sub>
        </m:sSub>
        <m:r>
          <m:rPr>
            <m:sty m:val="p"/>
          </m:rPr>
          <m:t>(</m:t>
        </m:r>
        <m:r>
          <m:t>t</m:t>
        </m:r>
        <m:r>
          <m:rPr>
            <m:sty m:val="p"/>
          </m:rPr>
          <m:t>)</m:t>
        </m:r>
      </m:oMath>
      <w:r>
        <w:t xml:space="preserve">, demonstrating depletion-neutralization. This figure is schematic and intended for conceptual illustration; it does not represent empirical data.</w:t>
      </w:r>
    </w:p>
    <w:bookmarkEnd w:id="33"/>
    <w:bookmarkEnd w:id="34"/>
    <w:bookmarkStart w:id="36"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p>
      <w:pPr>
        <w:pStyle w:val="BodyText"/>
      </w:pPr>
      <w:bookmarkStart w:id="35" w:name="eq:baseline-shape-default"/>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r>
            <m:t>  </m:t>
          </m:r>
          <m:r>
            <m:rPr>
              <m:sty m:val="p"/>
            </m:rPr>
            <m:t>(</m:t>
          </m:r>
          <m:r>
            <m:t>7</m:t>
          </m:r>
          <m:r>
            <m:rPr>
              <m:sty m:val="p"/>
            </m:rPr>
            <m:t>)</m:t>
          </m:r>
        </m:oMath>
      </m:oMathPara>
      <w:bookmarkEnd w:id="35"/>
    </w:p>
    <w:p>
      <w:pPr>
        <w:pStyle w:val="FirstParagraph"/>
      </w:pPr>
      <w:r>
        <w:t xml:space="preserve">This choice minimizes degrees of freedom and forces curvature during quiet periods to be explained by selection (frailty) rather than by an explicit time-varying baseline.</w:t>
      </w:r>
    </w:p>
    <w:bookmarkEnd w:id="36"/>
    <w:bookmarkEnd w:id="37"/>
    <w:bookmarkStart w:id="42"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p>
      <w:pPr>
        <w:pStyle w:val="BodyText"/>
      </w:pPr>
      <w:bookmarkStart w:id="38" w:name="eq:hobs-model"/>
      <m:oMathPara>
        <m:oMathParaPr>
          <m:jc m:val="center"/>
        </m:oMathParaP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r>
            <m:t>  </m:t>
          </m:r>
          <m:r>
            <m:rPr>
              <m:sty m:val="p"/>
            </m:rPr>
            <m:t>(</m:t>
          </m:r>
          <m:r>
            <m:t>8</m:t>
          </m:r>
          <m:r>
            <m:rPr>
              <m:sty m:val="p"/>
            </m:rPr>
            <m:t>)</m:t>
          </m:r>
        </m:oMath>
      </m:oMathPara>
      <w:bookmarkEnd w:id="38"/>
    </w:p>
    <w:p>
      <w:pPr>
        <w:pStyle w:val="FirstParagraph"/>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w:t>
      </w:r>
      <w:r>
        <w:t xml:space="preserve"> </w:t>
      </w:r>
      <m:oMath>
        <m:acc>
          <m:accPr>
            <m:chr m:val="̂"/>
          </m:accPr>
          <m:e>
            <m:r>
              <m:t>θ</m:t>
            </m:r>
          </m:e>
        </m:acc>
        <m:r>
          <m:rPr>
            <m:sty m:val="p"/>
          </m:rPr>
          <m:t>→</m:t>
        </m:r>
        <m:r>
          <m:t>0</m:t>
        </m:r>
      </m:oMath>
      <w:r>
        <w:t xml:space="preserve">, providing an internal diagnostic for non-identifiability over short or sparse follow-up.</w:t>
      </w:r>
    </w:p>
    <w:p>
      <w:pPr>
        <w:pStyle w:val="BodyText"/>
      </w:pPr>
      <w:r>
        <w:t xml:space="preserve">Parameters are estimated by constrained nonlinear least squares:</w:t>
      </w:r>
    </w:p>
    <w:p>
      <w:pPr>
        <w:pStyle w:val="BodyText"/>
      </w:pPr>
      <w:bookmarkStart w:id="39" w:name="eq:nls-objective"/>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r>
            <m:t>  </m:t>
          </m:r>
          <m:r>
            <m:rPr>
              <m:sty m:val="p"/>
            </m:rPr>
            <m:t>(</m:t>
          </m:r>
          <m:r>
            <m:t>9</m:t>
          </m:r>
          <m:r>
            <m:rPr>
              <m:sty m:val="p"/>
            </m:rPr>
            <m:t>)</m:t>
          </m:r>
        </m:oMath>
      </m:oMathPara>
      <w:bookmarkEnd w:id="39"/>
    </w:p>
    <w:p>
      <w:pPr>
        <w:pStyle w:val="FirstParagraph"/>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41"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v6 defaults are:</w:t>
      </w:r>
    </w:p>
    <w:p>
      <w:pPr>
        <w:pStyle w:val="Compact"/>
        <w:numPr>
          <w:ilvl w:val="0"/>
          <w:numId w:val="1006"/>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06"/>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06"/>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p>
      <w:pPr>
        <w:pStyle w:val="FirstParagraph"/>
      </w:pPr>
      <w:bookmarkStart w:id="40" w:name="eq:hazard-from-mr-impro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r>
            <m:t>  </m:t>
          </m:r>
          <m:r>
            <m:rPr>
              <m:sty m:val="p"/>
            </m:rPr>
            <m:t>(</m:t>
          </m:r>
          <m:r>
            <m:t>10</m:t>
          </m:r>
          <m:r>
            <m:rPr>
              <m:sty m:val="p"/>
            </m:rPr>
            <m:t>)</m:t>
          </m:r>
        </m:oMath>
      </m:oMathPara>
      <w:bookmarkEnd w:id="40"/>
    </w:p>
    <w:p>
      <w:pPr>
        <w:pStyle w:val="Compact"/>
        <w:numPr>
          <w:ilvl w:val="0"/>
          <w:numId w:val="1007"/>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07"/>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41"/>
    <w:bookmarkEnd w:id="42"/>
    <w:bookmarkStart w:id="45"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p>
      <w:pPr>
        <w:pStyle w:val="BodyText"/>
      </w:pPr>
      <w:bookmarkStart w:id="43" w:name="eq:normalized-cumhazard"/>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r>
            <m:t>  </m:t>
          </m:r>
          <m:r>
            <m:rPr>
              <m:sty m:val="p"/>
            </m:rPr>
            <m:t>(</m:t>
          </m:r>
          <m:r>
            <m:t>11</m:t>
          </m:r>
          <m:r>
            <m:rPr>
              <m:sty m:val="p"/>
            </m:rPr>
            <m:t>)</m:t>
          </m:r>
        </m:oMath>
      </m:oMathPara>
      <w:bookmarkEnd w:id="43"/>
    </w:p>
    <w:p>
      <w:pPr>
        <w:pStyle w:val="FirstParagraph"/>
      </w:pPr>
      <w:r>
        <w:t xml:space="preserve">An adjusted hazard may be recovered by differencing:</w:t>
      </w:r>
    </w:p>
    <w:p>
      <w:pPr>
        <w:pStyle w:val="BodyText"/>
      </w:pPr>
      <w:bookmarkStart w:id="44" w:name="eq:normalized-hazard-diff"/>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r>
            <m:t>  </m:t>
          </m:r>
          <m:r>
            <m:rPr>
              <m:sty m:val="p"/>
            </m:rPr>
            <m:t>(</m:t>
          </m:r>
          <m:r>
            <m:t>12</m:t>
          </m:r>
          <m:r>
            <m:rPr>
              <m:sty m:val="p"/>
            </m:rPr>
            <m:t>)</m:t>
          </m:r>
        </m:oMath>
      </m:oMathPara>
      <w:bookmarkEnd w:id="44"/>
    </w:p>
    <w:p>
      <w:pPr>
        <w:pStyle w:val="FirstParagraph"/>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bookmarkEnd w:id="45"/>
    <w:bookmarkStart w:id="47"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p>
      <w:pPr>
        <w:pStyle w:val="BodyText"/>
      </w:pPr>
      <w:bookmarkStart w:id="46" w:name="eq:effective-hazard-skip"/>
      <m:oMathPara>
        <m:oMathParaPr>
          <m:jc m:val="center"/>
        </m:oMathParaP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r>
            <m:t>  </m:t>
          </m:r>
          <m:r>
            <m:rPr>
              <m:sty m:val="p"/>
            </m:rPr>
            <m:t>(</m:t>
          </m:r>
          <m:r>
            <m:t>13</m:t>
          </m:r>
          <m:r>
            <m:rPr>
              <m:sty m:val="p"/>
            </m:rPr>
            <m:t>)</m:t>
          </m:r>
        </m:oMath>
      </m:oMathPara>
      <w:bookmarkEnd w:id="46"/>
    </w:p>
    <w:p>
      <w:pPr>
        <w:pStyle w:val="FirstParagraph"/>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47"/>
    <w:bookmarkStart w:id="49" w:name="kcor-estimator-v6"/>
    <w:p>
      <w:pPr>
        <w:pStyle w:val="Heading3"/>
      </w:pPr>
      <w:r>
        <w:t xml:space="preserve">2.8 KCOR estimator (v6)</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p>
      <w:pPr>
        <w:pStyle w:val="BodyText"/>
      </w:pPr>
      <w:bookmarkStart w:id="48" w:name="eq:kcor-estimato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sty m:val="p"/>
            </m:rPr>
            <m:t>(</m:t>
          </m:r>
          <m:r>
            <m:t>14</m:t>
          </m:r>
          <m:r>
            <m:rPr>
              <m:sty m:val="p"/>
            </m:rPr>
            <m:t>)</m:t>
          </m:r>
        </m:oMath>
      </m:oMathPara>
      <w:bookmarkEnd w:id="48"/>
    </w:p>
    <w:p>
      <w:pPr>
        <w:pStyle w:val="FirstParagraph"/>
      </w:pPr>
      <w:r>
        <w:t xml:space="preserve">This is a cumulative comparison in hazard space after removing cohort-specific selection-induced depletion dynamics estimated during quiet periods.</w:t>
      </w:r>
    </w:p>
    <w:bookmarkEnd w:id="49"/>
    <w:bookmarkStart w:id="50"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08"/>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08"/>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50"/>
    <w:bookmarkStart w:id="52" w:name="Xf552aaad3b83b889e2d08c64d65c17176bae771"/>
    <w:p>
      <w:pPr>
        <w:pStyle w:val="Heading3"/>
      </w:pPr>
      <w:r>
        <w:t xml:space="preserve">2.10 Algorithm summary and reproducibility checklist</w:t>
      </w:r>
    </w:p>
    <w:bookmarkStart w:id="51" w:name="tbl:KCOR_algorithm"/>
    <w:p>
      <w:pPr>
        <w:pStyle w:val="TableCaption"/>
      </w:pPr>
      <w:r>
        <w:t xml:space="preserve">Table 3: Step-by-step KCOR v6 algorithm (high-level), with recommended prespecification and diagnostics.</w:t>
      </w:r>
    </w:p>
    <w:tbl>
      <w:tblPr>
        <w:tblStyle w:val="Table"/>
        <w:tblW w:type="pct" w:w="5000"/>
        <w:tblLayout w:type="fixed"/>
        <w:tblLook w:firstRow="1" w:lastRow="0" w:firstColumn="0" w:lastColumn="0" w:noHBand="0" w:noVBand="0" w:val="0020"/>
        <w:tblCaption w:val="Table 3: Step-by-step KCOR v6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51"/>
    <w:p>
      <w:r>
        <w:pict>
          <v:rect style="width:0;height:1.5pt" o:hralign="center" o:hrstd="t" o:hr="t"/>
        </w:pict>
      </w:r>
    </w:p>
    <w:bookmarkEnd w:id="52"/>
    <w:bookmarkEnd w:id="53"/>
    <w:bookmarkStart w:id="83"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09"/>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09"/>
        </w:numPr>
      </w:pPr>
      <w:r>
        <w:rPr>
          <w:b/>
          <w:bCs/>
        </w:rPr>
        <w:t xml:space="preserve">Positive controls (detect injected effects):</w:t>
      </w:r>
      <w:r>
        <w:t xml:space="preserve"> </w:t>
      </w:r>
      <w:r>
        <w:t xml:space="preserve">when known harm/benefit is injected into otherwise-null data, KCOR reliably detects it.</w:t>
      </w:r>
    </w:p>
    <w:bookmarkStart w:id="70" w:name="X250d2743dd947cd04209f9dc9cf02b545517230"/>
    <w:p>
      <w:pPr>
        <w:pStyle w:val="Heading3"/>
      </w:pPr>
      <w:r>
        <w:t xml:space="preserve">3.1 Negative controls: null under selection-induced curvature</w:t>
      </w:r>
    </w:p>
    <w:bookmarkStart w:id="59"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0"/>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0"/>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0"/>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58"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1"/>
        </w:numPr>
      </w:pPr>
      <w:r>
        <w:t xml:space="preserve">Time unit: weeks.</w:t>
      </w:r>
    </w:p>
    <w:p>
      <w:pPr>
        <w:pStyle w:val="Compact"/>
        <w:numPr>
          <w:ilvl w:val="0"/>
          <w:numId w:val="1011"/>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1"/>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1"/>
        </w:numPr>
      </w:pPr>
      <w:r>
        <w:t xml:space="preserve">Cohort B:</w:t>
      </w:r>
      <w:r>
        <w:t xml:space="preserve"> </w:t>
      </w:r>
      <m:oMath>
        <m:sSub>
          <m:e>
            <m:r>
              <m:t>θ</m:t>
            </m:r>
          </m:e>
          <m:sub>
            <m:r>
              <m:t>B</m:t>
            </m:r>
          </m:sub>
        </m:sSub>
        <m:r>
          <m:rPr>
            <m:sty m:val="p"/>
          </m:rPr>
          <m:t>&gt;</m:t>
        </m:r>
        <m:r>
          <m:t>0</m:t>
        </m:r>
      </m:oMath>
      <w:r>
        <w:t xml:space="preserve"> </w:t>
      </w:r>
      <w:r>
        <w:t xml:space="preserve">(weaker depletion).</w:t>
      </w:r>
    </w:p>
    <w:bookmarkStart w:id="57" w:name="fig:neg_control_synthetic"/>
    <w:p>
      <w:pPr>
        <w:pStyle w:val="CaptionedFigure"/>
      </w:pPr>
      <w:r>
        <w:drawing>
          <wp:inline>
            <wp:extent cx="5334000" cy="3852333"/>
            <wp:effectExtent b="0" l="0" r="0" t="0"/>
            <wp:docPr descr="Figure 2: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 title="" id="55" name="Picture"/>
            <a:graphic>
              <a:graphicData uri="http://schemas.openxmlformats.org/drawingml/2006/picture">
                <pic:pic>
                  <pic:nvPicPr>
                    <pic:cNvPr descr="figures/fig_neg_control_synthetic.png" id="56" name="Picture"/>
                    <pic:cNvPicPr>
                      <a:picLocks noChangeArrowheads="1" noChangeAspect="1"/>
                    </pic:cNvPicPr>
                  </pic:nvPicPr>
                  <pic:blipFill>
                    <a:blip r:embed="rId54"/>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2: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w:t>
      </w:r>
    </w:p>
    <w:bookmarkEnd w:id="57"/>
    <w:bookmarkEnd w:id="58"/>
    <w:bookmarkEnd w:id="59"/>
    <w:bookmarkStart w:id="69"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demonstrate that the estimator neutralizes selection-induced depletion curvature without introducing spurious time trends or cumulative drift.</w:t>
      </w:r>
    </w:p>
    <w:p>
      <w:pPr>
        <w:pStyle w:val="BodyText"/>
      </w:pPr>
      <w:r>
        <w:t xml:space="preserve">Two snapshots illustrate that KCOR is near-flat even under 10–20 year age differences:</w:t>
      </w:r>
    </w:p>
    <w:bookmarkStart w:id="63" w:name="fig:neg_control_10yr"/>
    <w:p>
      <w:pPr>
        <w:pStyle w:val="CaptionedFigure"/>
      </w:pPr>
      <w:r>
        <w:drawing>
          <wp:inline>
            <wp:extent cx="5334000" cy="2773680"/>
            <wp:effectExtent b="0" l="0" r="0" t="0"/>
            <wp:docPr descr="Figure 3: Empirical negative control with approximately 10-year age difference between cohorts. Despite large baseline mortality differences, KCOR remains near-flat at 1 over follow-up, consistent with a true null effect." title="" id="61" name="Picture"/>
            <a:graphic>
              <a:graphicData uri="http://schemas.openxmlformats.org/drawingml/2006/picture">
                <pic:pic>
                  <pic:nvPicPr>
                    <pic:cNvPr descr="figures/fig2_neg_control_10yr_age_diff.png" id="62" name="Picture"/>
                    <pic:cNvPicPr>
                      <a:picLocks noChangeArrowheads="1" noChangeAspect="1"/>
                    </pic:cNvPicPr>
                  </pic:nvPicPr>
                  <pic:blipFill>
                    <a:blip r:embed="rId60"/>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3: Empirical negative control with approximately 10-year age difference between cohorts. Despite large baseline mortality differences, KCOR remains near-flat at 1 over follow-up, consistent with a true null effect.</w:t>
      </w:r>
    </w:p>
    <w:bookmarkEnd w:id="63"/>
    <w:bookmarkStart w:id="67" w:name="fig:neg_control_20yr"/>
    <w:p>
      <w:pPr>
        <w:pStyle w:val="CaptionedFigure"/>
      </w:pPr>
      <w:r>
        <w:drawing>
          <wp:inline>
            <wp:extent cx="5334000" cy="2810466"/>
            <wp:effectExtent b="0" l="0" r="0" t="0"/>
            <wp:docPr descr="Figure 4: Empirical negative control with approximately 20-year age difference between cohorts. Even under extreme composition differences, KCOR exhibits no systematic drift, demonstrating robustness to selection-induced curvature." title="" id="65" name="Picture"/>
            <a:graphic>
              <a:graphicData uri="http://schemas.openxmlformats.org/drawingml/2006/picture">
                <pic:pic>
                  <pic:nvPicPr>
                    <pic:cNvPr descr="figures/fig3_neg_control_20yr_age_diff.png" id="66" name="Picture"/>
                    <pic:cNvPicPr>
                      <a:picLocks noChangeArrowheads="1" noChangeAspect="1"/>
                    </pic:cNvPicPr>
                  </pic:nvPicPr>
                  <pic:blipFill>
                    <a:blip r:embed="rId64"/>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4: Empirical negative control with approximately 20-year age difference between cohorts. Even under extreme composition differences, KCOR exhibits no systematic drift, demonstrating robustness to selection-induced curvature.</w:t>
      </w:r>
    </w:p>
    <w:bookmarkEnd w:id="67"/>
    <w:bookmarkStart w:id="68" w:name="tbl:neg_control_summary"/>
    <w:p>
      <w:pPr>
        <w:pStyle w:val="TableCaption"/>
      </w:pPr>
      <w:r>
        <w:t xml:space="preserve">Table 4: Example end-of-window KCOR values from the empirical negative control (pooled/ASMR summaries), demonstrating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4: Example end-of-window KCOR values from the empirical negative control (pooled/ASMR summaries), demonstrat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68"/>
    <w:bookmarkEnd w:id="69"/>
    <w:bookmarkEnd w:id="70"/>
    <w:bookmarkStart w:id="77" w:name="Xf5c6845e7014ee8ad1d757d99d9071bc85f02f3"/>
    <w:p>
      <w:pPr>
        <w:pStyle w:val="Heading3"/>
      </w:pPr>
      <w:r>
        <w:t xml:space="preserve">3.2 Positive controls: detect injected harm/benefit</w:t>
      </w:r>
    </w:p>
    <w:p>
      <w:pPr>
        <w:pStyle w:val="FirstParagraph"/>
      </w:pPr>
      <w:r>
        <w:t xml:space="preserve">Positive controls are constructed by starting from a negative-control dataset and injecting a known effect into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p>
      <w:pPr>
        <w:pStyle w:val="BodyText"/>
      </w:pPr>
      <w:bookmarkStart w:id="71" w:name="eq:pos-control-injection"/>
      <m:oMathPara>
        <m:oMathParaPr>
          <m:jc m:val="center"/>
        </m:oMathParaP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t>  </m:t>
          </m:r>
          <m:r>
            <m:rPr>
              <m:sty m:val="p"/>
            </m:rPr>
            <m:t>(</m:t>
          </m:r>
          <m:r>
            <m:t>15</m:t>
          </m:r>
          <m:r>
            <m:rPr>
              <m:sty m:val="p"/>
            </m:rPr>
            <m:t>)</m:t>
          </m:r>
        </m:oMath>
      </m:oMathPara>
      <w:bookmarkEnd w:id="71"/>
    </w:p>
    <w:p>
      <w:pPr>
        <w:pStyle w:val="FirstParagraph"/>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w:t>
      </w:r>
    </w:p>
    <w:bookmarkStart w:id="75" w:name="fig:pos_control_injected"/>
    <w:p>
      <w:pPr>
        <w:pStyle w:val="CaptionedFigure"/>
      </w:pPr>
      <w:r>
        <w:drawing>
          <wp:inline>
            <wp:extent cx="5334000" cy="4253184"/>
            <wp:effectExtent b="0" l="0" r="0" t="0"/>
            <wp:docPr descr="Figure 5: Positive control validation: KCOR correctly detects injected effects. Left panels show harm scenario (r=1.2), right panels show benefit scenario (r=0.8). Top row displays cohort hazard curves with injection window shaded. Bottom row shows KCOR(t) deviating from 1.0 in the expected direction during the injection window." title="" id="73" name="Picture"/>
            <a:graphic>
              <a:graphicData uri="http://schemas.openxmlformats.org/drawingml/2006/picture">
                <pic:pic>
                  <pic:nvPicPr>
                    <pic:cNvPr descr="figures/fig_pos_control_injected.png" id="74" name="Picture"/>
                    <pic:cNvPicPr>
                      <a:picLocks noChangeArrowheads="1" noChangeAspect="1"/>
                    </pic:cNvPicPr>
                  </pic:nvPicPr>
                  <pic:blipFill>
                    <a:blip r:embed="rId72"/>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5: Positive control validation: KCOR correctly detects injected effects. Left panels show harm scenario (r=1.2), right panels show benefit scenario (r=0.8). Top row displays cohort hazard curves with injection window shaded. Bottom row shows KCOR(t) deviating from 1.0 in the expected direction during the injection window.</w:t>
      </w:r>
    </w:p>
    <w:bookmarkEnd w:id="75"/>
    <w:bookmarkStart w:id="76" w:name="tbl:pos_control_summary"/>
    <w:p>
      <w:pPr>
        <w:pStyle w:val="TableCaption"/>
      </w:pPr>
      <w:r>
        <w:t xml:space="preserve">Table 5: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5: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Injection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76"/>
    <w:bookmarkEnd w:id="77"/>
    <w:bookmarkStart w:id="82"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2"/>
        </w:numPr>
      </w:pPr>
      <w:r>
        <w:t xml:space="preserve">Quiet-window selection (calendar ISO-week bounds)</w:t>
      </w:r>
    </w:p>
    <w:p>
      <w:pPr>
        <w:pStyle w:val="Compact"/>
        <w:numPr>
          <w:ilvl w:val="0"/>
          <w:numId w:val="1012"/>
        </w:numPr>
      </w:pPr>
      <w:r>
        <w:t xml:space="preserve">Stabilization skip (early-bin handling)</w:t>
      </w:r>
    </w:p>
    <w:p>
      <w:pPr>
        <w:pStyle w:val="Compact"/>
        <w:numPr>
          <w:ilvl w:val="0"/>
          <w:numId w:val="1012"/>
        </w:numPr>
      </w:pPr>
      <w:r>
        <w:t xml:space="preserve">Time-binning resolution</w:t>
      </w:r>
    </w:p>
    <w:p>
      <w:pPr>
        <w:pStyle w:val="Compact"/>
        <w:numPr>
          <w:ilvl w:val="0"/>
          <w:numId w:val="1012"/>
        </w:numPr>
      </w:pPr>
      <w:r>
        <w:t xml:space="preserve">Age stratification and/or stratified analyses where appropriate</w:t>
      </w:r>
    </w:p>
    <w:p>
      <w:pPr>
        <w:pStyle w:val="Compact"/>
        <w:numPr>
          <w:ilvl w:val="0"/>
          <w:numId w:val="1012"/>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bookmarkStart w:id="81" w:name="fig:sensitivity_overview"/>
    <w:p>
      <w:pPr>
        <w:pStyle w:val="CaptionedFigure"/>
      </w:pPr>
      <w:r>
        <w:drawing>
          <wp:inline>
            <wp:extent cx="5334000" cy="1571483"/>
            <wp:effectExtent b="0" l="0" r="0" t="0"/>
            <wp:docPr descr="Figure 6: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 title="" id="79" name="Picture"/>
            <a:graphic>
              <a:graphicData uri="http://schemas.openxmlformats.org/drawingml/2006/picture">
                <pic:pic>
                  <pic:nvPicPr>
                    <pic:cNvPr descr="figures/fig_sensitivity_overview.png" id="80" name="Picture"/>
                    <pic:cNvPicPr>
                      <a:picLocks noChangeArrowheads="1" noChangeAspect="1"/>
                    </pic:cNvPicPr>
                  </pic:nvPicPr>
                  <pic:blipFill>
                    <a:blip r:embed="rId78"/>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6: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w:t>
      </w:r>
    </w:p>
    <w:bookmarkEnd w:id="81"/>
    <w:p>
      <w:r>
        <w:pict>
          <v:rect style="width:0;height:1.5pt" o:hralign="center" o:hrstd="t" o:hr="t"/>
        </w:pict>
      </w:r>
    </w:p>
    <w:bookmarkEnd w:id="82"/>
    <w:bookmarkEnd w:id="83"/>
    <w:bookmarkStart w:id="87" w:name="discussion"/>
    <w:p>
      <w:pPr>
        <w:pStyle w:val="Heading2"/>
      </w:pPr>
      <w:r>
        <w:t xml:space="preserve">4. Discussion</w:t>
      </w:r>
    </w:p>
    <w:bookmarkStart w:id="84" w:name="what-kcor-estimates"/>
    <w:p>
      <w:pPr>
        <w:pStyle w:val="Heading3"/>
      </w:pPr>
      <w:r>
        <w:t xml:space="preserve">4.1 What KCOR estimates</w:t>
      </w:r>
    </w:p>
    <w:p>
      <w:pPr>
        <w:pStyle w:val="FirstParagraph"/>
      </w:pPr>
      <w:r>
        <w:t xml:space="preserve">KCOR is a</w:t>
      </w:r>
      <w:r>
        <w:t xml:space="preserve"> </w:t>
      </w:r>
      <w:r>
        <w:rPr>
          <w:b/>
          <w:bCs/>
        </w:rPr>
        <w:t xml:space="preserve">cumulative</w:t>
      </w:r>
      <w:r>
        <w:t xml:space="preserve"> </w:t>
      </w:r>
      <w:r>
        <w:t xml:space="preserve">comparison of depletion-neutralized cumulative hazards. It is designed for settings where selection induces non-proportional hazards such that conventional proportional-hazards estimators can be difficult to interpret.</w:t>
      </w:r>
    </w:p>
    <w:p>
      <w:pPr>
        <w:pStyle w:val="BodyText"/>
      </w:pPr>
      <w:r>
        <w:t xml:space="preserve">Under the working assumptions that:</w:t>
      </w:r>
    </w:p>
    <w:p>
      <w:pPr>
        <w:pStyle w:val="Compact"/>
        <w:numPr>
          <w:ilvl w:val="0"/>
          <w:numId w:val="1013"/>
        </w:numPr>
      </w:pPr>
      <w:r>
        <w:t xml:space="preserve">selection-induced depletion dynamics can be estimated during quiet periods using a gamma-frailty mixture model, and</w:t>
      </w:r>
    </w:p>
    <w:p>
      <w:pPr>
        <w:pStyle w:val="Compact"/>
        <w:numPr>
          <w:ilvl w:val="0"/>
          <w:numId w:val="1013"/>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bookmarkEnd w:id="84"/>
    <w:bookmarkStart w:id="85"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neutralize a specific confounding structure</w:t>
      </w:r>
      <w:r>
        <w:t xml:space="preserve">—selection-induced depletion dynamics—prior to comparison. Negative and positive controls are nevertheless central to validating the estimator’s behavior.</w:t>
      </w:r>
    </w:p>
    <w:bookmarkEnd w:id="85"/>
    <w:bookmarkStart w:id="86"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14"/>
        </w:numPr>
      </w:pPr>
      <w:r>
        <w:t xml:space="preserve">Enrollment definition and justification</w:t>
      </w:r>
    </w:p>
    <w:p>
      <w:pPr>
        <w:pStyle w:val="Compact"/>
        <w:numPr>
          <w:ilvl w:val="0"/>
          <w:numId w:val="1014"/>
        </w:numPr>
      </w:pPr>
      <w:r>
        <w:t xml:space="preserve">Risk set definitions and event-time binning</w:t>
      </w:r>
    </w:p>
    <w:p>
      <w:pPr>
        <w:pStyle w:val="Compact"/>
        <w:numPr>
          <w:ilvl w:val="0"/>
          <w:numId w:val="1014"/>
        </w:numPr>
      </w:pPr>
      <w:r>
        <w:t xml:space="preserve">Quiet-window definition and justification</w:t>
      </w:r>
    </w:p>
    <w:p>
      <w:pPr>
        <w:pStyle w:val="Compact"/>
        <w:numPr>
          <w:ilvl w:val="0"/>
          <w:numId w:val="1014"/>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14"/>
        </w:numPr>
      </w:pPr>
      <w:r>
        <w:t xml:space="preserve">Skip/stabilization rule and robustness to nearby values</w:t>
      </w:r>
    </w:p>
    <w:p>
      <w:pPr>
        <w:pStyle w:val="Compact"/>
        <w:numPr>
          <w:ilvl w:val="0"/>
          <w:numId w:val="1014"/>
        </w:numPr>
      </w:pPr>
      <w:r>
        <w:t xml:space="preserve">Predefined negative/positive controls used for validation</w:t>
      </w:r>
    </w:p>
    <w:p>
      <w:pPr>
        <w:pStyle w:val="Compact"/>
        <w:numPr>
          <w:ilvl w:val="0"/>
          <w:numId w:val="1014"/>
        </w:numPr>
      </w:pPr>
      <w:r>
        <w:t xml:space="preserve">Sensitivity analysis plan and results</w:t>
      </w:r>
    </w:p>
    <w:p>
      <w:r>
        <w:pict>
          <v:rect style="width:0;height:1.5pt" o:hralign="center" o:hrstd="t" o:hr="t"/>
        </w:pict>
      </w:r>
    </w:p>
    <w:bookmarkEnd w:id="86"/>
    <w:bookmarkEnd w:id="87"/>
    <w:bookmarkStart w:id="89" w:name="limitations"/>
    <w:p>
      <w:pPr>
        <w:pStyle w:val="Heading2"/>
      </w:pPr>
      <w:r>
        <w:t xml:space="preserve">5. Limitations</w:t>
      </w:r>
    </w:p>
    <w:p>
      <w:pPr>
        <w:pStyle w:val="Compact"/>
        <w:numPr>
          <w:ilvl w:val="0"/>
          <w:numId w:val="1015"/>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15"/>
        </w:numPr>
      </w:pPr>
      <w:r>
        <w:rPr>
          <w:b/>
          <w:bCs/>
        </w:rPr>
        <w:t xml:space="preserve">Sparse events</w:t>
      </w:r>
      <w:r>
        <w:t xml:space="preserve">: When event counts are small, hazard estimation and parameter fitting can be unstable.</w:t>
      </w:r>
    </w:p>
    <w:p>
      <w:pPr>
        <w:pStyle w:val="Compact"/>
        <w:numPr>
          <w:ilvl w:val="0"/>
          <w:numId w:val="1015"/>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15"/>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15"/>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θ̂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w:t>
      </w:r>
    </w:p>
    <w:bookmarkStart w:id="88" w:name="X23cf99625f696e3debeff054e3876378086bb67"/>
    <w:p>
      <w:pPr>
        <w:pStyle w:val="Heading3"/>
      </w:pPr>
      <w:r>
        <w:t xml:space="preserve">5.1 Failure modes and diagnostics (recommended)</w:t>
      </w:r>
    </w:p>
    <w:p>
      <w:pPr>
        <w:pStyle w:val="FirstParagraph"/>
      </w:pPr>
      <w:r>
        <w:t xml:space="preserve">KCOR is designed to neutralize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16"/>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16"/>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w:t>
      </w:r>
    </w:p>
    <w:p>
      <w:pPr>
        <w:pStyle w:val="Compact"/>
        <w:numPr>
          <w:ilvl w:val="0"/>
          <w:numId w:val="1016"/>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16"/>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17"/>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17"/>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17"/>
        </w:numPr>
      </w:pPr>
      <w:r>
        <w:rPr>
          <w:b/>
          <w:bCs/>
        </w:rPr>
        <w:t xml:space="preserve">Sensitivity analyses</w:t>
      </w:r>
      <w:r>
        <w:t xml:space="preserve"> </w:t>
      </w:r>
      <w:r>
        <w:t xml:space="preserve">over plausible quiet windows and skip-weeks values.</w:t>
      </w:r>
    </w:p>
    <w:p>
      <w:pPr>
        <w:pStyle w:val="Compact"/>
        <w:numPr>
          <w:ilvl w:val="0"/>
          <w:numId w:val="1017"/>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p>
      <w:r>
        <w:pict>
          <v:rect style="width:0;height:1.5pt" o:hralign="center" o:hrstd="t" o:hr="t"/>
        </w:pict>
      </w:r>
    </w:p>
    <w:bookmarkEnd w:id="88"/>
    <w:bookmarkEnd w:id="89"/>
    <w:bookmarkStart w:id="90"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w:t>
      </w:r>
    </w:p>
    <w:p>
      <w:r>
        <w:pict>
          <v:rect style="width:0;height:1.5pt" o:hralign="center" o:hrstd="t" o:hr="t"/>
        </w:pict>
      </w:r>
    </w:p>
    <w:bookmarkEnd w:id="90"/>
    <w:bookmarkStart w:id="101" w:name="declarations-journal-requirements"/>
    <w:p>
      <w:pPr>
        <w:pStyle w:val="Heading2"/>
      </w:pPr>
      <w:r>
        <w:t xml:space="preserve">Declarations (journal requirements)</w:t>
      </w:r>
    </w:p>
    <w:bookmarkStart w:id="91" w:name="Xd182db0490b2de20bd2b4e4cc8698599182035f"/>
    <w:p>
      <w:pPr>
        <w:pStyle w:val="Heading3"/>
      </w:pPr>
      <w:r>
        <w:t xml:space="preserve">Ethics approval and consent to participate</w:t>
      </w:r>
    </w:p>
    <w:p>
      <w:pPr>
        <w:pStyle w:val="FirstParagraph"/>
      </w:pPr>
      <w:r>
        <w:t xml:space="preserve">Not applicable. This is a methods-only manuscript using synthetic data generated for validation purposes and publicly available aggregated mortality statistics. No individual-level data requiring ethics approval were used in the primary analyses presented here.</w:t>
      </w:r>
    </w:p>
    <w:bookmarkEnd w:id="91"/>
    <w:bookmarkStart w:id="92" w:name="consent-for-publication"/>
    <w:p>
      <w:pPr>
        <w:pStyle w:val="Heading3"/>
      </w:pPr>
      <w:r>
        <w:t xml:space="preserve">Consent for publication</w:t>
      </w:r>
    </w:p>
    <w:p>
      <w:pPr>
        <w:pStyle w:val="FirstParagraph"/>
      </w:pPr>
      <w:r>
        <w:t xml:space="preserve">Not applicable.</w:t>
      </w:r>
    </w:p>
    <w:bookmarkEnd w:id="92"/>
    <w:bookmarkStart w:id="93" w:name="data-availability"/>
    <w:p>
      <w:pPr>
        <w:pStyle w:val="Heading3"/>
      </w:pPr>
      <w:r>
        <w:t xml:space="preserve">Data availability</w:t>
      </w:r>
    </w:p>
    <w:p>
      <w:pPr>
        <w:pStyle w:val="Compact"/>
        <w:numPr>
          <w:ilvl w:val="0"/>
          <w:numId w:val="1018"/>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18"/>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18"/>
        </w:numPr>
      </w:pPr>
      <w:r>
        <w:t xml:space="preserve">The reference implementation includes example datasets in KCOR_CMR format for reproducibility.</w:t>
      </w:r>
    </w:p>
    <w:bookmarkEnd w:id="93"/>
    <w:bookmarkStart w:id="96" w:name="code-availability"/>
    <w:p>
      <w:pPr>
        <w:pStyle w:val="Heading3"/>
      </w:pPr>
      <w:r>
        <w:t xml:space="preserve">Code availability</w:t>
      </w:r>
    </w:p>
    <w:p>
      <w:pPr>
        <w:pStyle w:val="Compact"/>
        <w:numPr>
          <w:ilvl w:val="0"/>
          <w:numId w:val="1019"/>
        </w:numPr>
      </w:pPr>
      <w:r>
        <w:t xml:space="preserve">The KCOR v6 reference implementation and complete validation suite are available in the project repository.</w:t>
      </w:r>
    </w:p>
    <w:p>
      <w:pPr>
        <w:pStyle w:val="Compact"/>
        <w:numPr>
          <w:ilvl w:val="0"/>
          <w:numId w:val="1019"/>
        </w:numPr>
      </w:pPr>
      <w:r>
        <w:t xml:space="preserve">Repository URL:</w:t>
      </w:r>
      <w:r>
        <w:t xml:space="preserve"> </w:t>
      </w:r>
      <w:hyperlink r:id="rId94">
        <w:r>
          <w:rPr>
            <w:rStyle w:val="Hyperlink"/>
          </w:rPr>
          <w:t xml:space="preserve">https://github.com/skirsch/KCOR</w:t>
        </w:r>
      </w:hyperlink>
    </w:p>
    <w:p>
      <w:pPr>
        <w:pStyle w:val="Compact"/>
        <w:numPr>
          <w:ilvl w:val="0"/>
          <w:numId w:val="1019"/>
        </w:numPr>
      </w:pPr>
      <w:r>
        <w:t xml:space="preserve">Zenodo DOI:</w:t>
      </w:r>
      <w:r>
        <w:t xml:space="preserve"> </w:t>
      </w:r>
      <w:hyperlink r:id="rId95">
        <w:r>
          <w:rPr>
            <w:rStyle w:val="Hyperlink"/>
          </w:rPr>
          <w:t xml:space="preserve">10.5281/zenodo.18050329</w:t>
        </w:r>
      </w:hyperlink>
    </w:p>
    <w:bookmarkEnd w:id="96"/>
    <w:bookmarkStart w:id="97" w:name="competing-interests"/>
    <w:p>
      <w:pPr>
        <w:pStyle w:val="Heading3"/>
      </w:pPr>
      <w:r>
        <w:t xml:space="preserve">Competing interests</w:t>
      </w:r>
    </w:p>
    <w:p>
      <w:pPr>
        <w:pStyle w:val="FirstParagraph"/>
      </w:pPr>
      <w:r>
        <w:t xml:space="preserve">[To be declared by authors prior to submission.]</w:t>
      </w:r>
    </w:p>
    <w:bookmarkEnd w:id="97"/>
    <w:bookmarkStart w:id="98" w:name="funding"/>
    <w:p>
      <w:pPr>
        <w:pStyle w:val="Heading3"/>
      </w:pPr>
      <w:r>
        <w:t xml:space="preserve">Funding</w:t>
      </w:r>
    </w:p>
    <w:p>
      <w:pPr>
        <w:pStyle w:val="FirstParagraph"/>
      </w:pPr>
      <w:r>
        <w:t xml:space="preserve">[To be declared by authors prior to submission.]</w:t>
      </w:r>
    </w:p>
    <w:bookmarkEnd w:id="98"/>
    <w:bookmarkStart w:id="99" w:name="authors-contributions"/>
    <w:p>
      <w:pPr>
        <w:pStyle w:val="Heading3"/>
      </w:pPr>
      <w:r>
        <w:t xml:space="preserve">Authors’ contributions</w:t>
      </w:r>
    </w:p>
    <w:p>
      <w:pPr>
        <w:pStyle w:val="FirstParagraph"/>
      </w:pPr>
      <w:r>
        <w:t xml:space="preserve">[To be specified prior to submission. Expected contributions include: conceptualization, methodology development, software implementation, validation, writing.]</w:t>
      </w:r>
    </w:p>
    <w:bookmarkEnd w:id="99"/>
    <w:bookmarkStart w:id="100" w:name="acknowledgements"/>
    <w:p>
      <w:pPr>
        <w:pStyle w:val="Heading3"/>
      </w:pPr>
      <w:r>
        <w:t xml:space="preserve">Acknowledgements</w:t>
      </w:r>
    </w:p>
    <w:p>
      <w:pPr>
        <w:pStyle w:val="FirstParagraph"/>
      </w:pPr>
      <w:r>
        <w:t xml:space="preserve">[To be added prior to submission.]</w:t>
      </w:r>
    </w:p>
    <w:p>
      <w:pPr>
        <w:pStyle w:val="BodyText"/>
      </w:pPr>
      <w:r>
        <w:t xml:space="preserve">Supplementary appendices provide mathematical derivations and full control-test specifications.</w:t>
      </w:r>
    </w:p>
    <w:p>
      <w:r>
        <w:pict>
          <v:rect style="width:0;height:1.5pt" o:hralign="center" o:hrstd="t" o:hr="t"/>
        </w:pict>
      </w:r>
    </w:p>
    <w:bookmarkEnd w:id="100"/>
    <w:bookmarkEnd w:id="101"/>
    <w:bookmarkStart w:id="117" w:name="Xf63d107101d42351f2e2cf2bd57881771784bec"/>
    <w:p>
      <w:pPr>
        <w:pStyle w:val="Heading2"/>
      </w:pPr>
      <w:r>
        <w:t xml:space="preserve">Supplementary material (appendix placeholders)</w:t>
      </w:r>
    </w:p>
    <w:bookmarkStart w:id="106" w:name="appendix-a.-mathematical-derivations"/>
    <w:p>
      <w:pPr>
        <w:pStyle w:val="Heading3"/>
      </w:pPr>
      <w:r>
        <w:t xml:space="preserve">Appendix A. Mathematical derivations</w:t>
      </w:r>
    </w:p>
    <w:bookmarkStart w:id="102" w:name="X949c457b8ec3518d2fcc001fd53881dea62bb28"/>
    <w:p>
      <w:pPr>
        <w:pStyle w:val="Heading4"/>
      </w:pPr>
      <w:r>
        <w:t xml:space="preserve">A.1 Frailty mixing induces hazard curvature</w:t>
      </w:r>
    </w:p>
    <w:p>
      <w:pPr>
        <w:pStyle w:val="FirstParagraph"/>
      </w:pPr>
      <w:r>
        <w:t xml:space="preserve">Consider a cohort where individual</w:t>
      </w:r>
      <w:r>
        <w:t xml:space="preserve"> </w:t>
      </w:r>
      <m:oMath>
        <m:r>
          <m:t>i</m:t>
        </m:r>
      </m:oMath>
      <w:r>
        <w:t xml:space="preserve"> </w:t>
      </w:r>
      <w:r>
        <w:t xml:space="preserve">has hazard</w:t>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oMath>
      <w:r>
        <w:t xml:space="preserve">, with frailty</w:t>
      </w:r>
      <w:r>
        <w:t xml:space="preserve"> </w:t>
      </w:r>
      <m:oMath>
        <m:sSub>
          <m:e>
            <m:r>
              <m:t>z</m:t>
            </m:r>
          </m:e>
          <m:sub>
            <m:r>
              <m:t>i</m:t>
            </m:r>
          </m:sub>
        </m:sSub>
      </m:oMath>
      <w:r>
        <w:t xml:space="preserve"> </w:t>
      </w:r>
      <w:r>
        <w:t xml:space="preserve">drawn from a distribution with mean 1 and variance</w:t>
      </w:r>
      <w:r>
        <w:t xml:space="preserve"> </w:t>
      </w:r>
      <m:oMath>
        <m:r>
          <m:t>θ</m:t>
        </m:r>
        <m:r>
          <m:rPr>
            <m:sty m:val="p"/>
          </m:rPr>
          <m:t>&gt;</m:t>
        </m:r>
        <m:r>
          <m:t>0</m:t>
        </m:r>
      </m:oMath>
      <w:r>
        <w:t xml:space="preserve">. Let</w:t>
      </w:r>
      <w:r>
        <w:t xml:space="preserve"> </w:t>
      </w:r>
      <m:oMath>
        <m:sSub>
          <m:e>
            <m:r>
              <m:t>S</m:t>
            </m:r>
          </m:e>
          <m:sub>
            <m:r>
              <m:t>i</m:t>
            </m:r>
          </m:sub>
        </m:sSub>
        <m:r>
          <m:rPr>
            <m:sty m:val="p"/>
          </m:rPr>
          <m:t>(</m:t>
        </m:r>
        <m:r>
          <m:t>t</m:t>
        </m:r>
        <m:r>
          <m:rPr>
            <m:sty m:val="p"/>
          </m:rPr>
          <m:t>)</m:t>
        </m:r>
        <m:r>
          <m:rPr>
            <m:sty m:val="p"/>
          </m:rPr>
          <m:t>=</m:t>
        </m:r>
        <m:r>
          <m:rPr>
            <m:sty m:val="p"/>
          </m:rPr>
          <m:t>exp</m:t>
        </m:r>
        <m:r>
          <m:rPr>
            <m:sty m:val="p"/>
          </m:rPr>
          <m:t>(</m:t>
        </m:r>
        <m:r>
          <m:rPr>
            <m:sty m:val="p"/>
          </m:rPr>
          <m:t>−</m:t>
        </m:r>
        <m:sSub>
          <m:e>
            <m:r>
              <m:t>z</m:t>
            </m:r>
          </m:e>
          <m:sub>
            <m:r>
              <m:t>i</m:t>
            </m:r>
          </m:sub>
        </m:sSub>
        <m:sSub>
          <m:e>
            <m:r>
              <m:t>H</m:t>
            </m:r>
          </m:e>
          <m:sub>
            <m:r>
              <m:t>0</m:t>
            </m:r>
          </m:sub>
        </m:sSub>
        <m:r>
          <m:rPr>
            <m:sty m:val="p"/>
          </m:rPr>
          <m:t>(</m:t>
        </m:r>
        <m:r>
          <m:t>t</m:t>
        </m:r>
        <m:r>
          <m:rPr>
            <m:sty m:val="p"/>
          </m:rPr>
          <m:t>)</m:t>
        </m:r>
        <m:r>
          <m:rPr>
            <m:sty m:val="p"/>
          </m:rPr>
          <m:t>)</m:t>
        </m:r>
      </m:oMath>
      <w:r>
        <w:t xml:space="preserve"> </w:t>
      </w:r>
      <w:r>
        <w:t xml:space="preserve">be the individual survival function, where</w:t>
      </w:r>
      <w:r>
        <w:t xml:space="preserve"> </w:t>
      </w:r>
      <m:oMath>
        <m:sSub>
          <m:e>
            <m:r>
              <m:t>H</m:t>
            </m:r>
          </m:e>
          <m:sub>
            <m:r>
              <m:t>0</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b>
            <m:e>
              <m:r>
                <m:t>E</m:t>
              </m:r>
            </m:e>
            <m:sub>
              <m:r>
                <m:t>z</m:t>
              </m:r>
            </m:sub>
          </m:sSub>
          <m:r>
            <m:rPr>
              <m:sty m:val="p"/>
            </m:rPr>
            <m:t>[</m:t>
          </m:r>
          <m:sSub>
            <m:e>
              <m:r>
                <m:t>S</m:t>
              </m:r>
            </m:e>
            <m:sub>
              <m:r>
                <m:t>i</m:t>
              </m:r>
            </m:sub>
          </m:sSub>
          <m:r>
            <m:rPr>
              <m:sty m:val="p"/>
            </m:rPr>
            <m:t>(</m:t>
          </m:r>
          <m:r>
            <m:t>t</m:t>
          </m:r>
          <m:r>
            <m:rPr>
              <m:sty m:val="p"/>
            </m:rPr>
            <m:t>)</m:t>
          </m:r>
          <m:r>
            <m:rPr>
              <m:sty m:val="p"/>
            </m:rPr>
            <m:t>]</m:t>
          </m:r>
          <m:r>
            <m:rPr>
              <m:sty m:val="p"/>
            </m:rPr>
            <m:t>=</m:t>
          </m:r>
          <m:sSub>
            <m:e>
              <m:r>
                <m:t>E</m:t>
              </m:r>
            </m:e>
            <m:sub>
              <m:r>
                <m:t>z</m:t>
              </m:r>
            </m:sub>
          </m:sSub>
          <m:r>
            <m:rPr>
              <m:sty m:val="p"/>
            </m:rPr>
            <m:t>[</m:t>
          </m:r>
          <m:r>
            <m:rPr>
              <m:sty m:val="p"/>
            </m:rPr>
            <m:t>exp</m:t>
          </m:r>
          <m:r>
            <m:rPr>
              <m:sty m:val="p"/>
            </m:rPr>
            <m:t>(</m:t>
          </m:r>
          <m:r>
            <m:rPr>
              <m:sty m:val="p"/>
            </m:rPr>
            <m:t>−</m:t>
          </m:r>
          <m:r>
            <m:t>z</m:t>
          </m:r>
          <m:sSub>
            <m:e>
              <m:r>
                <m:t>H</m:t>
              </m:r>
            </m:e>
            <m:sub>
              <m:r>
                <m:t>0</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r>
            <m:rPr>
              <m:sty m:val="p"/>
            </m:rPr>
            <m:t>−</m:t>
          </m:r>
          <m:f>
            <m:fPr>
              <m:type m:val="bar"/>
            </m:fPr>
            <m:num>
              <m:r>
                <m:t>d</m:t>
              </m:r>
            </m:num>
            <m:den>
              <m:r>
                <m:t>d</m:t>
              </m:r>
              <m:r>
                <m:t>t</m:t>
              </m:r>
            </m:den>
          </m:f>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sub>
        </m:sSub>
        <m:r>
          <m:rPr>
            <m:sty m:val="p"/>
          </m:rPr>
          <m:t>(</m:t>
        </m:r>
        <m:r>
          <m:t>t</m:t>
        </m:r>
        <m:r>
          <m:rPr>
            <m:sty m:val="p"/>
          </m:rPr>
          <m:t>)</m:t>
        </m:r>
        <m:r>
          <m:rPr>
            <m:sty m:val="p"/>
          </m:rPr>
          <m:t>=</m:t>
        </m:r>
        <m:r>
          <m:t>k</m:t>
        </m:r>
      </m:oMath>
      <w:r>
        <w:t xml:space="preserve"> </w:t>
      </w:r>
      <w:r>
        <w:t xml:space="preserve">is constant (so</w:t>
      </w:r>
      <w:r>
        <w:t xml:space="preserve"> </w:t>
      </w:r>
      <m:oMath>
        <m:sSub>
          <m:e>
            <m:r>
              <m:t>H</m:t>
            </m:r>
          </m:e>
          <m:sub>
            <m:r>
              <m:t>0</m:t>
            </m:r>
          </m:sub>
        </m:sSub>
        <m:r>
          <m:rPr>
            <m:sty m:val="p"/>
          </m:rPr>
          <m:t>(</m:t>
        </m:r>
        <m:r>
          <m:t>t</m:t>
        </m:r>
        <m:r>
          <m:rPr>
            <m:sty m:val="p"/>
          </m:rPr>
          <m:t>)</m:t>
        </m:r>
        <m:r>
          <m:rPr>
            <m:sty m:val="p"/>
          </m:rPr>
          <m:t>=</m:t>
        </m:r>
        <m:r>
          <m:t>k</m:t>
        </m:r>
        <m:r>
          <m:t>t</m:t>
        </m:r>
      </m:oMath>
      <w:r>
        <w:t xml:space="preserve">), the cohort hazard</w:t>
      </w:r>
      <w:r>
        <w:t xml:space="preserve"> </w:t>
      </w: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02"/>
    <w:bookmarkStart w:id="103"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r>
          <m:t>θ</m:t>
        </m:r>
        <m:r>
          <m:rPr>
            <m:sty m:val="p"/>
          </m:rPr>
          <m:t>,</m:t>
        </m:r>
        <m:r>
          <m:t>β</m:t>
        </m:r>
        <m:r>
          <m:rPr>
            <m:sty m:val="p"/>
          </m:rPr>
          <m:t>=</m:t>
        </m:r>
        <m:r>
          <m:t>1</m:t>
        </m:r>
        <m:r>
          <m:rPr>
            <m:sty m:val="p"/>
          </m:rPr>
          <m:t>/</m:t>
        </m:r>
        <m:r>
          <m:t>θ</m:t>
        </m:r>
        <m:r>
          <m:rPr>
            <m:sty m:val="p"/>
          </m:rPr>
          <m:t>)</m:t>
        </m:r>
      </m:oMath>
      <w:r>
        <w:t xml:space="preserve"> </w:t>
      </w:r>
      <w:r>
        <w:t xml:space="preserve">with mean 1 and variance</w:t>
      </w:r>
      <w:r>
        <w:t xml:space="preserve"> </w:t>
      </w:r>
      <m:oMath>
        <m:r>
          <m:t>θ</m:t>
        </m:r>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r>
                    <m:t>θ</m:t>
                  </m:r>
                  <m:r>
                    <m:t>s</m:t>
                  </m:r>
                </m:e>
              </m:d>
            </m:e>
            <m:sup>
              <m:r>
                <m:rPr>
                  <m:sty m:val="p"/>
                </m:rPr>
                <m:t>−</m:t>
              </m:r>
              <m:r>
                <m:t>1</m:t>
              </m:r>
              <m:r>
                <m:rPr>
                  <m:sty m:val="p"/>
                </m:rPr>
                <m:t>/</m:t>
              </m:r>
              <m:r>
                <m:t>θ</m:t>
              </m:r>
            </m:sup>
          </m:sSup>
          <m:r>
            <m:rPr>
              <m:sty m:val="p"/>
            </m:rPr>
            <m:t>.</m:t>
          </m:r>
        </m:oMath>
      </m:oMathPara>
    </w:p>
    <w:p>
      <w:pPr>
        <w:pStyle w:val="FirstParagraph"/>
      </w:pPr>
      <w:r>
        <w:t xml:space="preserve">The cohort survival function becomes:</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p>
            <m:e>
              <m:d>
                <m:dPr>
                  <m:begChr m:val="("/>
                  <m:sepChr m:val=""/>
                  <m:endChr m:val=")"/>
                  <m:grow/>
                </m:dPr>
                <m:e>
                  <m:r>
                    <m:t>1</m:t>
                  </m:r>
                  <m:r>
                    <m:rPr>
                      <m:sty m:val="p"/>
                    </m:rPr>
                    <m:t>+</m:t>
                  </m:r>
                  <m:r>
                    <m:t>θ</m:t>
                  </m:r>
                  <m:sSub>
                    <m:e>
                      <m:r>
                        <m:t>H</m:t>
                      </m:r>
                    </m:e>
                    <m:sub>
                      <m:r>
                        <m:t>0</m:t>
                      </m:r>
                    </m:sub>
                  </m:sSub>
                  <m:r>
                    <m:rPr>
                      <m:sty m:val="p"/>
                    </m:rPr>
                    <m:t>(</m:t>
                  </m:r>
                  <m:r>
                    <m:t>t</m:t>
                  </m:r>
                  <m:r>
                    <m:rPr>
                      <m:sty m:val="p"/>
                    </m:rPr>
                    <m:t>)</m:t>
                  </m:r>
                </m:e>
              </m:d>
            </m:e>
            <m:sup>
              <m:r>
                <m:rPr>
                  <m:sty m:val="p"/>
                </m:rPr>
                <m:t>−</m:t>
              </m:r>
              <m:r>
                <m:t>1</m:t>
              </m:r>
              <m:r>
                <m:rPr>
                  <m:sty m:val="p"/>
                </m:rPr>
                <m:t>/</m:t>
              </m:r>
              <m:r>
                <m:t>θ</m:t>
              </m:r>
            </m:sup>
          </m:sSup>
          <m:r>
            <m:rPr>
              <m:sty m:val="p"/>
            </m:rPr>
            <m:t>.</m:t>
          </m:r>
        </m:oMath>
      </m:oMathPara>
    </w:p>
    <w:p>
      <w:pPr>
        <w:pStyle w:val="FirstParagraph"/>
      </w:pPr>
      <w:r>
        <w:t xml:space="preserve">The observed cumulative hazard is</w:t>
      </w:r>
      <w:r>
        <w:t xml:space="preserve"> </w:t>
      </w:r>
      <m:oMath>
        <m:sSup>
          <m:e>
            <m:r>
              <m:t>H</m:t>
            </m:r>
          </m:e>
          <m:sup>
            <m:r>
              <m:rPr>
                <m:sty m:val="p"/>
              </m:rPr>
              <m:t>o</m:t>
            </m:r>
            <m:r>
              <m:rPr>
                <m:sty m:val="p"/>
              </m:rPr>
              <m:t>b</m:t>
            </m:r>
            <m:r>
              <m:rPr>
                <m:sty m:val="p"/>
              </m:rPr>
              <m:t>s</m:t>
            </m:r>
          </m:sup>
        </m:sSup>
        <m:r>
          <m:rPr>
            <m:sty m:val="p"/>
          </m:rPr>
          <m:t>(</m:t>
        </m:r>
        <m:r>
          <m:t>t</m:t>
        </m:r>
        <m:r>
          <m:rPr>
            <m:sty m:val="p"/>
          </m:rPr>
          <m:t>)</m:t>
        </m:r>
        <m:r>
          <m:rPr>
            <m:sty m:val="p"/>
          </m:rPr>
          <m:t>=</m:t>
        </m:r>
        <m:r>
          <m:rPr>
            <m:sty m:val="p"/>
          </m:rPr>
          <m:t>−</m:t>
        </m:r>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giving:</w:t>
      </w:r>
    </w:p>
    <w:p>
      <w:pPr>
        <w:pStyle w:val="BodyText"/>
      </w:pPr>
      <m:oMathPara>
        <m:oMathParaPr>
          <m:jc m:val="center"/>
        </m:oMathParaPr>
        <m:oMath>
          <m:sSup>
            <m:e>
              <m:r>
                <m:t>H</m:t>
              </m:r>
            </m:e>
            <m:sup>
              <m:r>
                <m:rPr>
                  <m:sty m:val="p"/>
                </m:rPr>
                <m:t>o</m:t>
              </m:r>
              <m:r>
                <m:rPr>
                  <m:sty m:val="p"/>
                </m:rPr>
                <m:t>b</m:t>
              </m:r>
              <m:r>
                <m:rPr>
                  <m:sty m:val="p"/>
                </m:rPr>
                <m:t>s</m:t>
              </m:r>
            </m:sup>
          </m:sSup>
          <m:r>
            <m:rPr>
              <m:sty m:val="p"/>
            </m:rPr>
            <m:t>(</m:t>
          </m:r>
          <m:r>
            <m:t>t</m:t>
          </m:r>
          <m:r>
            <m:rPr>
              <m:sty m:val="p"/>
            </m:rPr>
            <m:t>)</m:t>
          </m:r>
          <m:r>
            <m:rPr>
              <m:sty m:val="p"/>
            </m:rPr>
            <m:t>=</m:t>
          </m:r>
          <m:f>
            <m:fPr>
              <m:type m:val="bar"/>
            </m:fPr>
            <m:num>
              <m:r>
                <m:t>1</m:t>
              </m:r>
            </m:num>
            <m:den>
              <m:r>
                <m:t>θ</m:t>
              </m:r>
            </m:den>
          </m:f>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r>
            <m:rPr>
              <m:sty m:val="p"/>
            </m:rPr>
            <m:t>.</m:t>
          </m:r>
        </m:oMath>
      </m:oMathPara>
    </w:p>
    <w:p>
      <w:pPr>
        <w:pStyle w:val="FirstParagraph"/>
      </w:pPr>
      <w:r>
        <w:t xml:space="preserve">This is the gamma-frailty identity (Equation {#eq:gamma-frailty-identity} in the main text).</w:t>
      </w:r>
    </w:p>
    <w:bookmarkEnd w:id="103"/>
    <w:bookmarkStart w:id="104" w:name="a.3-inversion-formula"/>
    <w:p>
      <w:pPr>
        <w:pStyle w:val="Heading4"/>
      </w:pPr>
      <w:r>
        <w:t xml:space="preserve">A.3 Inversion formula</w:t>
      </w:r>
    </w:p>
    <w:p>
      <w:pPr>
        <w:pStyle w:val="FirstParagraph"/>
      </w:pPr>
      <w:r>
        <w:t xml:space="preserve">Solving for</w:t>
      </w:r>
      <w:r>
        <w:t xml:space="preserve"> </w:t>
      </w:r>
      <m:oMath>
        <m:sSub>
          <m:e>
            <m:r>
              <m:t>H</m:t>
            </m:r>
          </m:e>
          <m:sub>
            <m:r>
              <m:t>0</m:t>
            </m:r>
          </m:sub>
        </m:sSub>
        <m:r>
          <m:rPr>
            <m:sty m:val="p"/>
          </m:rPr>
          <m:t>(</m:t>
        </m:r>
        <m:r>
          <m:t>t</m:t>
        </m:r>
        <m:r>
          <m:rPr>
            <m:sty m:val="p"/>
          </m:rPr>
          <m:t>)</m:t>
        </m:r>
      </m:oMath>
      <w:r>
        <w:t xml:space="preserve"> </w:t>
      </w:r>
      <w:r>
        <w:t xml:space="preserve">from the gamma-frailty identity:</w:t>
      </w:r>
    </w:p>
    <w:p>
      <w:pPr>
        <w:pStyle w:val="BodyText"/>
      </w:pPr>
      <m:oMathPara>
        <m:oMathParaPr>
          <m:jc m:val="center"/>
        </m:oMathParaPr>
        <m:oMath>
          <m:r>
            <m:t>θ</m:t>
          </m:r>
          <m:sSup>
            <m:e>
              <m:r>
                <m:t>H</m:t>
              </m:r>
            </m:e>
            <m:sup>
              <m:r>
                <m:rPr>
                  <m:sty m:val="p"/>
                </m:rPr>
                <m:t>o</m:t>
              </m:r>
              <m:r>
                <m:rPr>
                  <m:sty m:val="p"/>
                </m:rPr>
                <m:t>b</m:t>
              </m:r>
              <m:r>
                <m:rPr>
                  <m:sty m:val="p"/>
                </m:rPr>
                <m:t>s</m:t>
              </m:r>
            </m:sup>
          </m:sSup>
          <m:r>
            <m:rPr>
              <m:sty m:val="p"/>
            </m:rPr>
            <m:t>(</m:t>
          </m:r>
          <m:r>
            <m:t>t</m:t>
          </m:r>
          <m:r>
            <m:rPr>
              <m:sty m:val="p"/>
            </m:rPr>
            <m:t>)</m:t>
          </m:r>
          <m:r>
            <m:rPr>
              <m:sty m:val="p"/>
            </m:rPr>
            <m:t>=</m:t>
          </m:r>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oMath>
      </m:oMathPara>
    </w:p>
    <w:p>
      <w:pPr>
        <w:pStyle w:val="FirstParagraph"/>
      </w:pPr>
      <m:oMathPara>
        <m:oMathParaPr>
          <m:jc m:val="center"/>
        </m:oMathParaPr>
        <m:oMath>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r>
            <m:rPr>
              <m:sty m:val="p"/>
            </m:rPr>
            <m:t>+</m:t>
          </m:r>
          <m:r>
            <m:t>θ</m:t>
          </m:r>
          <m:sSub>
            <m:e>
              <m:r>
                <m:t>H</m:t>
              </m:r>
            </m:e>
            <m:sub>
              <m:r>
                <m:t>0</m:t>
              </m:r>
            </m:sub>
          </m:sSub>
          <m:r>
            <m:rPr>
              <m:sty m:val="p"/>
            </m:rPr>
            <m:t>(</m:t>
          </m:r>
          <m:r>
            <m:t>t</m:t>
          </m:r>
          <m:r>
            <m:rPr>
              <m:sty m:val="p"/>
            </m:rPr>
            <m:t>)</m:t>
          </m:r>
        </m:oMath>
      </m:oMathPara>
    </w:p>
    <w:p>
      <w:pPr>
        <w:pStyle w:val="FirstParagraph"/>
      </w:pPr>
      <m:oMathPara>
        <m:oMathParaPr>
          <m:jc m:val="center"/>
        </m:oMathParaPr>
        <m:oMath>
          <m:sSub>
            <m:e>
              <m:r>
                <m:t>H</m:t>
              </m:r>
            </m:e>
            <m:sub>
              <m:r>
                <m:t>0</m:t>
              </m:r>
            </m:sub>
          </m:sSub>
          <m:r>
            <m:rPr>
              <m:sty m:val="p"/>
            </m:rPr>
            <m:t>(</m:t>
          </m:r>
          <m:r>
            <m:t>t</m:t>
          </m:r>
          <m:r>
            <m:rPr>
              <m:sty m:val="p"/>
            </m:rPr>
            <m:t>)</m:t>
          </m:r>
          <m:r>
            <m:rPr>
              <m:sty m:val="p"/>
            </m:rPr>
            <m:t>=</m:t>
          </m:r>
          <m:f>
            <m:fPr>
              <m:type m:val="bar"/>
            </m:fPr>
            <m:num>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num>
            <m:den>
              <m:r>
                <m:t>θ</m:t>
              </m:r>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r>
          <m:t>θ</m:t>
        </m:r>
      </m:oMath>
      <w:r>
        <w:t xml:space="preserve">.</w:t>
      </w:r>
    </w:p>
    <w:bookmarkEnd w:id="104"/>
    <w:bookmarkStart w:id="105"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can be approximated via the delta method. If</w:t>
      </w:r>
      <w:r>
        <w:t xml:space="preserve"> </w:t>
      </w:r>
      <m:oMath>
        <m:r>
          <m:rPr>
            <m:sty m:val="p"/>
          </m:rPr>
          <m:t>V</m:t>
        </m:r>
        <m:r>
          <m:rPr>
            <m:sty m:val="p"/>
          </m:rPr>
          <m:t>a</m:t>
        </m:r>
        <m:r>
          <m:rPr>
            <m:sty m:val="p"/>
          </m:rPr>
          <m:t>r</m:t>
        </m:r>
        <m:r>
          <m:rPr>
            <m:sty m:val="p"/>
          </m:rPr>
          <m:t>(</m:t>
        </m:r>
        <m:sSub>
          <m:e>
            <m:acc>
              <m:accPr>
                <m:chr m:val="̃"/>
              </m:accPr>
              <m:e>
                <m:r>
                  <m:t>H</m:t>
                </m:r>
              </m:e>
            </m:acc>
          </m:e>
          <m:sub>
            <m:r>
              <m:t>0</m:t>
            </m:r>
            <m:r>
              <m:rPr>
                <m:sty m:val="p"/>
              </m:rPr>
              <m:t>,</m:t>
            </m:r>
            <m:r>
              <m:t>d</m:t>
            </m:r>
          </m:sub>
        </m:sSub>
        <m:r>
          <m:rPr>
            <m:sty m:val="p"/>
          </m:rPr>
          <m:t>)</m:t>
        </m:r>
      </m:oMath>
      <w:r>
        <w:t xml:space="preserve"> </w:t>
      </w:r>
      <w:r>
        <w:t xml:space="preserve">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rPr>
              <m:sty m:val="p"/>
            </m:rPr>
            <m:t>(</m:t>
          </m:r>
          <m:r>
            <m:rPr>
              <m:sty m:val="p"/>
            </m:rPr>
            <m:t>K</m:t>
          </m:r>
          <m:r>
            <m:rPr>
              <m:sty m:val="p"/>
            </m:rPr>
            <m:t>C</m:t>
          </m:r>
          <m:r>
            <m:rPr>
              <m:sty m:val="p"/>
            </m:rPr>
            <m:t>O</m:t>
          </m:r>
          <m:r>
            <m:rPr>
              <m:sty m:val="p"/>
            </m:rPr>
            <m:t>R</m:t>
          </m:r>
          <m:r>
            <m:rPr>
              <m:sty m:val="p"/>
            </m:rPr>
            <m:t>)</m:t>
          </m:r>
          <m:r>
            <m:rPr>
              <m:sty m:val="p"/>
            </m:rPr>
            <m:t>≈</m:t>
          </m:r>
          <m:sSup>
            <m:e>
              <m:r>
                <m:rPr>
                  <m:sty m:val="p"/>
                </m:rPr>
                <m:t>K</m:t>
              </m:r>
              <m:r>
                <m:rPr>
                  <m:sty m:val="p"/>
                </m:rPr>
                <m:t>C</m:t>
              </m:r>
              <m:r>
                <m:rPr>
                  <m:sty m:val="p"/>
                </m:rPr>
                <m:t>O</m:t>
              </m:r>
              <m:r>
                <m:rPr>
                  <m:sty m:val="p"/>
                </m:rPr>
                <m:t>R</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num>
                <m:den>
                  <m:sSubSup>
                    <m:e>
                      <m:acc>
                        <m:accPr>
                          <m:chr m:val="̃"/>
                        </m:accPr>
                        <m:e>
                          <m:r>
                            <m:t>H</m:t>
                          </m:r>
                        </m:e>
                      </m:acc>
                    </m:e>
                    <m:sub>
                      <m:r>
                        <m:t>0</m:t>
                      </m:r>
                      <m:r>
                        <m:rPr>
                          <m:sty m:val="p"/>
                        </m:rPr>
                        <m:t>,</m:t>
                      </m:r>
                      <m:r>
                        <m:t>A</m:t>
                      </m:r>
                    </m:sub>
                    <m:sup>
                      <m:r>
                        <m:t>2</m:t>
                      </m:r>
                    </m:sup>
                  </m:sSub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num>
                <m:den>
                  <m:sSubSup>
                    <m:e>
                      <m:acc>
                        <m:accPr>
                          <m:chr m:val="̃"/>
                        </m:accPr>
                        <m:e>
                          <m:r>
                            <m:t>H</m:t>
                          </m:r>
                        </m:e>
                      </m:acc>
                    </m:e>
                    <m:sub>
                      <m:r>
                        <m:t>0</m:t>
                      </m:r>
                      <m:r>
                        <m:rPr>
                          <m:sty m:val="p"/>
                        </m:rPr>
                        <m:t>,</m:t>
                      </m:r>
                      <m:r>
                        <m:t>B</m:t>
                      </m:r>
                    </m:sub>
                    <m:sup>
                      <m:r>
                        <m:t>2</m:t>
                      </m:r>
                    </m:sup>
                  </m:sSub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sSub>
                    <m:e>
                      <m:acc>
                        <m:accPr>
                          <m:chr m:val="̃"/>
                        </m:accPr>
                        <m:e>
                          <m:r>
                            <m:t>H</m:t>
                          </m:r>
                        </m:e>
                      </m:acc>
                    </m:e>
                    <m:sub>
                      <m:r>
                        <m:t>0</m:t>
                      </m:r>
                      <m:r>
                        <m:rPr>
                          <m:sty m:val="p"/>
                        </m:rPr>
                        <m:t>,</m:t>
                      </m:r>
                      <m:r>
                        <m:t>B</m:t>
                      </m:r>
                    </m:sub>
                  </m:sSub>
                  <m:r>
                    <m:rPr>
                      <m:sty m:val="p"/>
                    </m:rPr>
                    <m:t>)</m:t>
                  </m:r>
                </m:num>
                <m:den>
                  <m:sSub>
                    <m:e>
                      <m:acc>
                        <m:accPr>
                          <m:chr m:val="̃"/>
                        </m:accPr>
                        <m:e>
                          <m:r>
                            <m:t>H</m:t>
                          </m:r>
                        </m:e>
                      </m:acc>
                    </m:e>
                    <m:sub>
                      <m:r>
                        <m:t>0</m:t>
                      </m:r>
                      <m:r>
                        <m:rPr>
                          <m:sty m:val="p"/>
                        </m:rPr>
                        <m:t>,</m:t>
                      </m:r>
                      <m:r>
                        <m:t>A</m:t>
                      </m:r>
                    </m:sub>
                  </m:sSub>
                  <m:sSub>
                    <m:e>
                      <m:acc>
                        <m:accPr>
                          <m:chr m:val="̃"/>
                        </m:accPr>
                        <m:e>
                          <m:r>
                            <m:t>H</m:t>
                          </m:r>
                        </m:e>
                      </m:acc>
                    </m:e>
                    <m:sub>
                      <m:r>
                        <m:t>0</m:t>
                      </m:r>
                      <m:r>
                        <m:rPr>
                          <m:sty m:val="p"/>
                        </m:rPr>
                        <m:t>,</m:t>
                      </m:r>
                      <m:r>
                        <m:t>B</m:t>
                      </m:r>
                    </m:sub>
                  </m:sSub>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05"/>
    <w:bookmarkEnd w:id="106"/>
    <w:bookmarkStart w:id="111" w:name="appendix-b.-control-test-specifications"/>
    <w:p>
      <w:pPr>
        <w:pStyle w:val="Heading3"/>
      </w:pPr>
      <w:r>
        <w:t xml:space="preserve">Appendix B. Control-test specifications</w:t>
      </w:r>
    </w:p>
    <w:bookmarkStart w:id="107" w:name="X2180becb792c7366d1a2d9abe674c7e8eb8a3b6"/>
    <w:p>
      <w:pPr>
        <w:pStyle w:val="Heading4"/>
      </w:pPr>
      <w:r>
        <w:t xml:space="preserve">B.1 Negative control: synthetic gamma-frailty null</w:t>
      </w:r>
    </w:p>
    <w:p>
      <w:pPr>
        <w:pStyle w:val="FirstParagraph"/>
      </w:pPr>
      <w:r>
        <w:t xml:space="preserve">The synthetic negative control (Figure fig. 2) is generated using:</w:t>
      </w:r>
    </w:p>
    <w:p>
      <w:pPr>
        <w:pStyle w:val="Compact"/>
        <w:numPr>
          <w:ilvl w:val="0"/>
          <w:numId w:val="1020"/>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20"/>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20"/>
        </w:numPr>
      </w:pPr>
      <w:r>
        <w:rPr>
          <w:b/>
          <w:bCs/>
        </w:rPr>
        <w:t xml:space="preserve">Cohort A weights</w:t>
      </w:r>
      <w:r>
        <w:t xml:space="preserve">: Equal weights across 5 frailty groups (0.2 each)</w:t>
      </w:r>
    </w:p>
    <w:p>
      <w:pPr>
        <w:pStyle w:val="Compact"/>
        <w:numPr>
          <w:ilvl w:val="0"/>
          <w:numId w:val="1020"/>
        </w:numPr>
      </w:pPr>
      <w:r>
        <w:rPr>
          <w:b/>
          <w:bCs/>
        </w:rPr>
        <w:t xml:space="preserve">Cohort B weights</w:t>
      </w:r>
      <w:r>
        <w:t xml:space="preserve">: Shifted weights [0.30, 0.20, 0.20, 0.20, 0.10]</w:t>
      </w:r>
    </w:p>
    <w:p>
      <w:pPr>
        <w:pStyle w:val="Compact"/>
        <w:numPr>
          <w:ilvl w:val="0"/>
          <w:numId w:val="1020"/>
        </w:numPr>
      </w:pPr>
      <w:r>
        <w:rPr>
          <w:b/>
          <w:bCs/>
        </w:rPr>
        <w:t xml:space="preserve">Frailty values</w:t>
      </w:r>
      <w:r>
        <w:t xml:space="preserve">: [1, 2, 4, 6, 10] (relative frailty multipliers)</w:t>
      </w:r>
    </w:p>
    <w:p>
      <w:pPr>
        <w:pStyle w:val="Compact"/>
        <w:numPr>
          <w:ilvl w:val="0"/>
          <w:numId w:val="1020"/>
        </w:numPr>
      </w:pPr>
      <w:r>
        <w:rPr>
          <w:b/>
          <w:bCs/>
        </w:rPr>
        <w:t xml:space="preserve">Base weekly probability</w:t>
      </w:r>
      <w:r>
        <w:t xml:space="preserve">: 0.01</w:t>
      </w:r>
    </w:p>
    <w:p>
      <w:pPr>
        <w:pStyle w:val="Compact"/>
        <w:numPr>
          <w:ilvl w:val="0"/>
          <w:numId w:val="1020"/>
        </w:numPr>
      </w:pPr>
      <w:r>
        <w:rPr>
          <w:b/>
          <w:bCs/>
        </w:rPr>
        <w:t xml:space="preserve">Weekly log-slope</w:t>
      </w:r>
      <w:r>
        <w:t xml:space="preserve">: 0.0 (constant baseline during quiet periods)</w:t>
      </w:r>
    </w:p>
    <w:p>
      <w:pPr>
        <w:pStyle w:val="Compact"/>
        <w:numPr>
          <w:ilvl w:val="0"/>
          <w:numId w:val="1020"/>
        </w:numPr>
      </w:pPr>
      <w:r>
        <w:rPr>
          <w:b/>
          <w:bCs/>
        </w:rPr>
        <w:t xml:space="preserve">Skip weeks</w:t>
      </w:r>
      <w:r>
        <w:t xml:space="preserve">: 2</w:t>
      </w:r>
    </w:p>
    <w:p>
      <w:pPr>
        <w:pStyle w:val="Compact"/>
        <w:numPr>
          <w:ilvl w:val="0"/>
          <w:numId w:val="1020"/>
        </w:numPr>
      </w:pPr>
      <w:r>
        <w:rPr>
          <w:b/>
          <w:bCs/>
        </w:rPr>
        <w:t xml:space="preserve">Normalization weeks</w:t>
      </w:r>
      <w:r>
        <w:t xml:space="preserve">: 4</w:t>
      </w:r>
    </w:p>
    <w:p>
      <w:pPr>
        <w:pStyle w:val="Compact"/>
        <w:numPr>
          <w:ilvl w:val="0"/>
          <w:numId w:val="1020"/>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07"/>
    <w:bookmarkStart w:id="108" w:name="X6ca5a97e85e9ee460a15280db933ceb5c1ed112"/>
    <w:p>
      <w:pPr>
        <w:pStyle w:val="Heading4"/>
      </w:pPr>
      <w:r>
        <w:t xml:space="preserve">B.2 Negative control: empirical age-shift construction</w:t>
      </w:r>
    </w:p>
    <w:p>
      <w:pPr>
        <w:pStyle w:val="FirstParagraph"/>
      </w:pPr>
      <w:r>
        <w:t xml:space="preserve">The empirical negative control (Figures fig. 3 and fig. 4) is generated using:</w:t>
      </w:r>
    </w:p>
    <w:p>
      <w:pPr>
        <w:pStyle w:val="Compact"/>
        <w:numPr>
          <w:ilvl w:val="0"/>
          <w:numId w:val="1021"/>
        </w:numPr>
      </w:pPr>
      <w:r>
        <w:rPr>
          <w:b/>
          <w:bCs/>
        </w:rPr>
        <w:t xml:space="preserve">Data source</w:t>
      </w:r>
      <w:r>
        <w:t xml:space="preserve">: Real aggregated mortality data in KCOR_CMR format</w:t>
      </w:r>
    </w:p>
    <w:p>
      <w:pPr>
        <w:pStyle w:val="Compact"/>
        <w:numPr>
          <w:ilvl w:val="0"/>
          <w:numId w:val="1021"/>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21"/>
        </w:numPr>
      </w:pPr>
      <w:r>
        <w:rPr>
          <w:b/>
          <w:bCs/>
        </w:rPr>
        <w:t xml:space="preserve">Construction</w:t>
      </w:r>
      <w:r>
        <w:t xml:space="preserve">: Age strata remapped to pseudo-doses within same vaccination category</w:t>
      </w:r>
    </w:p>
    <w:p>
      <w:pPr>
        <w:pStyle w:val="Compact"/>
        <w:numPr>
          <w:ilvl w:val="0"/>
          <w:numId w:val="1021"/>
        </w:numPr>
      </w:pPr>
      <w:r>
        <w:rPr>
          <w:b/>
          <w:bCs/>
        </w:rPr>
        <w:t xml:space="preserve">Age mapping</w:t>
      </w:r>
      <w:r>
        <w:t xml:space="preserve">:</w:t>
      </w:r>
    </w:p>
    <w:p>
      <w:pPr>
        <w:pStyle w:val="Compact"/>
        <w:numPr>
          <w:ilvl w:val="1"/>
          <w:numId w:val="1022"/>
        </w:numPr>
      </w:pPr>
      <w:r>
        <w:t xml:space="preserve">Dose 0 → YoB {1930, 1935}</w:t>
      </w:r>
    </w:p>
    <w:p>
      <w:pPr>
        <w:pStyle w:val="Compact"/>
        <w:numPr>
          <w:ilvl w:val="1"/>
          <w:numId w:val="1022"/>
        </w:numPr>
      </w:pPr>
      <w:r>
        <w:t xml:space="preserve">Dose 1 → YoB {1940, 1945}</w:t>
      </w:r>
    </w:p>
    <w:p>
      <w:pPr>
        <w:pStyle w:val="Compact"/>
        <w:numPr>
          <w:ilvl w:val="1"/>
          <w:numId w:val="1022"/>
        </w:numPr>
      </w:pPr>
      <w:r>
        <w:t xml:space="preserve">Dose 2 → YoB {1950, 1955}</w:t>
      </w:r>
    </w:p>
    <w:p>
      <w:pPr>
        <w:pStyle w:val="Compact"/>
        <w:numPr>
          <w:ilvl w:val="0"/>
          <w:numId w:val="1021"/>
        </w:numPr>
      </w:pPr>
      <w:r>
        <w:rPr>
          <w:b/>
          <w:bCs/>
        </w:rPr>
        <w:t xml:space="preserve">Output YoB</w:t>
      </w:r>
      <w:r>
        <w:t xml:space="preserve">: Fixed at 1950 (unvax cohort) or 1940 (vax cohort)</w:t>
      </w:r>
    </w:p>
    <w:p>
      <w:pPr>
        <w:pStyle w:val="Compact"/>
        <w:numPr>
          <w:ilvl w:val="0"/>
          <w:numId w:val="1021"/>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08"/>
    <w:bookmarkStart w:id="109" w:name="b.3-positive-control-injected-effect"/>
    <w:p>
      <w:pPr>
        <w:pStyle w:val="Heading4"/>
      </w:pPr>
      <w:r>
        <w:t xml:space="preserve">B.3 Positive control: injected effect</w:t>
      </w:r>
    </w:p>
    <w:p>
      <w:pPr>
        <w:pStyle w:val="FirstParagraph"/>
      </w:pPr>
      <w:r>
        <w:t xml:space="preserve">The positive control (Figure fig. 5 and Table tbl. 5) is generated using:</w:t>
      </w:r>
    </w:p>
    <w:p>
      <w:pPr>
        <w:pStyle w:val="Compact"/>
        <w:numPr>
          <w:ilvl w:val="0"/>
          <w:numId w:val="1023"/>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23"/>
        </w:numPr>
      </w:pPr>
      <w:r>
        <w:rPr>
          <w:b/>
          <w:bCs/>
        </w:rPr>
        <w:t xml:space="preserve">Initial cohort size</w:t>
      </w:r>
      <w:r>
        <w:t xml:space="preserve">: 100,000 per cohort</w:t>
      </w:r>
    </w:p>
    <w:p>
      <w:pPr>
        <w:pStyle w:val="Compact"/>
        <w:numPr>
          <w:ilvl w:val="0"/>
          <w:numId w:val="1023"/>
        </w:numPr>
      </w:pPr>
      <w:r>
        <w:rPr>
          <w:b/>
          <w:bCs/>
        </w:rPr>
        <w:t xml:space="preserve">Baseline hazard</w:t>
      </w:r>
      <w:r>
        <w:t xml:space="preserve">: 0.002 per week</w:t>
      </w:r>
    </w:p>
    <w:p>
      <w:pPr>
        <w:pStyle w:val="Compact"/>
        <w:numPr>
          <w:ilvl w:val="0"/>
          <w:numId w:val="1023"/>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23"/>
        </w:numPr>
      </w:pPr>
      <w:r>
        <w:rPr>
          <w:b/>
          <w:bCs/>
        </w:rPr>
        <w:t xml:space="preserve">Injection window</w:t>
      </w:r>
      <w:r>
        <w:t xml:space="preserve">: weeks 20–80</w:t>
      </w:r>
    </w:p>
    <w:p>
      <w:pPr>
        <w:pStyle w:val="Compact"/>
        <w:numPr>
          <w:ilvl w:val="0"/>
          <w:numId w:val="1023"/>
        </w:numPr>
      </w:pPr>
      <w:r>
        <w:rPr>
          <w:b/>
          <w:bCs/>
        </w:rPr>
        <w:t xml:space="preserve">Hazard multipliers</w:t>
      </w:r>
      <w:r>
        <w:t xml:space="preserve">:</w:t>
      </w:r>
    </w:p>
    <w:p>
      <w:pPr>
        <w:pStyle w:val="Compact"/>
        <w:numPr>
          <w:ilvl w:val="1"/>
          <w:numId w:val="1024"/>
        </w:numPr>
      </w:pPr>
      <w:r>
        <w:t xml:space="preserve">Harm scenario:</w:t>
      </w:r>
      <w:r>
        <w:t xml:space="preserve"> </w:t>
      </w:r>
      <m:oMath>
        <m:r>
          <m:t>r</m:t>
        </m:r>
        <m:r>
          <m:rPr>
            <m:sty m:val="p"/>
          </m:rPr>
          <m:t>=</m:t>
        </m:r>
        <m:r>
          <m:t>1.2</m:t>
        </m:r>
      </m:oMath>
    </w:p>
    <w:p>
      <w:pPr>
        <w:pStyle w:val="Compact"/>
        <w:numPr>
          <w:ilvl w:val="1"/>
          <w:numId w:val="1024"/>
        </w:numPr>
      </w:pPr>
      <w:r>
        <w:t xml:space="preserve">Benefit scenario:</w:t>
      </w:r>
      <w:r>
        <w:t xml:space="preserve"> </w:t>
      </w:r>
      <m:oMath>
        <m:r>
          <m:t>r</m:t>
        </m:r>
        <m:r>
          <m:rPr>
            <m:sty m:val="p"/>
          </m:rPr>
          <m:t>=</m:t>
        </m:r>
        <m:r>
          <m:t>0.8</m:t>
        </m:r>
      </m:oMath>
    </w:p>
    <w:p>
      <w:pPr>
        <w:pStyle w:val="Compact"/>
        <w:numPr>
          <w:ilvl w:val="0"/>
          <w:numId w:val="1023"/>
        </w:numPr>
      </w:pPr>
      <w:r>
        <w:rPr>
          <w:b/>
          <w:bCs/>
        </w:rPr>
        <w:t xml:space="preserve">Random seed</w:t>
      </w:r>
      <w:r>
        <w:t xml:space="preserve">: 42</w:t>
      </w:r>
    </w:p>
    <w:p>
      <w:pPr>
        <w:pStyle w:val="Compact"/>
        <w:numPr>
          <w:ilvl w:val="0"/>
          <w:numId w:val="1023"/>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injection window, while leaving the control cohort unchanged.</w:t>
      </w:r>
    </w:p>
    <w:bookmarkEnd w:id="109"/>
    <w:bookmarkStart w:id="110" w:name="b.4-sensitivity-analysis-parameters"/>
    <w:p>
      <w:pPr>
        <w:pStyle w:val="Heading4"/>
      </w:pPr>
      <w:r>
        <w:t xml:space="preserve">B.4 Sensitivity analysis parameters</w:t>
      </w:r>
    </w:p>
    <w:p>
      <w:pPr>
        <w:pStyle w:val="FirstParagraph"/>
      </w:pPr>
      <w:r>
        <w:t xml:space="preserve">The sensitivity analysis (Figure fig. 6) varies:</w:t>
      </w:r>
    </w:p>
    <w:p>
      <w:pPr>
        <w:pStyle w:val="Compact"/>
        <w:numPr>
          <w:ilvl w:val="0"/>
          <w:numId w:val="1025"/>
        </w:numPr>
      </w:pPr>
      <w:r>
        <w:rPr>
          <w:b/>
          <w:bCs/>
        </w:rPr>
        <w:t xml:space="preserve">Baseline weeks</w:t>
      </w:r>
      <w:r>
        <w:t xml:space="preserve">: [2, 3, 4, 5, 6, 7, 8]</w:t>
      </w:r>
    </w:p>
    <w:p>
      <w:pPr>
        <w:pStyle w:val="Compact"/>
        <w:numPr>
          <w:ilvl w:val="0"/>
          <w:numId w:val="1025"/>
        </w:numPr>
      </w:pPr>
      <w:r>
        <w:rPr>
          <w:b/>
          <w:bCs/>
        </w:rPr>
        <w:t xml:space="preserve">Quiet-start offsets</w:t>
      </w:r>
      <w:r>
        <w:t xml:space="preserve">: [-12, -8, -4, 0, +4, +8, +12] weeks from 2022-24</w:t>
      </w:r>
    </w:p>
    <w:p>
      <w:pPr>
        <w:pStyle w:val="Compact"/>
        <w:numPr>
          <w:ilvl w:val="0"/>
          <w:numId w:val="1025"/>
        </w:numPr>
      </w:pPr>
      <w:r>
        <w:rPr>
          <w:b/>
          <w:bCs/>
        </w:rPr>
        <w:t xml:space="preserve">Quiet-window end</w:t>
      </w:r>
      <w:r>
        <w:t xml:space="preserve">: Fixed at 2024-16</w:t>
      </w:r>
    </w:p>
    <w:p>
      <w:pPr>
        <w:pStyle w:val="Compact"/>
        <w:numPr>
          <w:ilvl w:val="0"/>
          <w:numId w:val="1025"/>
        </w:numPr>
      </w:pPr>
      <w:r>
        <w:rPr>
          <w:b/>
          <w:bCs/>
        </w:rPr>
        <w:t xml:space="preserve">Dose pairs</w:t>
      </w:r>
      <w:r>
        <w:t xml:space="preserve">: 1 vs 0, 2 vs 0, 2 vs 1</w:t>
      </w:r>
    </w:p>
    <w:p>
      <w:pPr>
        <w:pStyle w:val="Compact"/>
        <w:numPr>
          <w:ilvl w:val="0"/>
          <w:numId w:val="1025"/>
        </w:numPr>
      </w:pPr>
      <w:r>
        <w:rPr>
          <w:b/>
          <w:bCs/>
        </w:rPr>
        <w:t xml:space="preserve">Cohorts</w:t>
      </w:r>
      <w:r>
        <w:t xml:space="preserve">: 2021_24</w:t>
      </w:r>
    </w:p>
    <w:p>
      <w:pPr>
        <w:pStyle w:val="FirstParagraph"/>
      </w:pPr>
      <w:r>
        <w:t xml:space="preserve">Output grids show KCOR values for each parameter combination.</w:t>
      </w:r>
    </w:p>
    <w:bookmarkEnd w:id="110"/>
    <w:bookmarkEnd w:id="111"/>
    <w:bookmarkStart w:id="116" w:name="X3fb27f9d14d988b0afc4c757bd6d2a45d2ae0b5"/>
    <w:p>
      <w:pPr>
        <w:pStyle w:val="Heading3"/>
      </w:pPr>
      <w:r>
        <w:t xml:space="preserve">Appendix C. Additional figures and diagnostics</w:t>
      </w:r>
    </w:p>
    <w:bookmarkStart w:id="112"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26"/>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26"/>
        </w:numPr>
      </w:pPr>
      <w:r>
        <w:rPr>
          <w:b/>
          <w:bCs/>
        </w:rPr>
        <w:t xml:space="preserve">Fitted parameters</w:t>
      </w:r>
      <w:r>
        <w:t xml:space="preserve">:</w:t>
      </w:r>
      <w:r>
        <w:t xml:space="preserve"> </w:t>
      </w:r>
      <m:oMath>
        <m:sSub>
          <m:e>
            <m:acc>
              <m:accPr>
                <m:chr m:val="̂"/>
              </m:accPr>
              <m:e>
                <m:r>
                  <m:t>k</m:t>
                </m:r>
              </m:e>
            </m:acc>
          </m:e>
          <m:sub>
            <m:r>
              <m:t>d</m:t>
            </m:r>
          </m:sub>
        </m:sSub>
      </m:oMath>
      <w:r>
        <w:t xml:space="preserve"> </w:t>
      </w:r>
      <w:r>
        <w:t xml:space="preserve">(baseline hazard level) and</w:t>
      </w:r>
      <w:r>
        <w:t xml:space="preserve"> </w:t>
      </w:r>
      <m:oMath>
        <m:sSub>
          <m:e>
            <m:acc>
              <m:accPr>
                <m:chr m:val="̂"/>
              </m:accPr>
              <m:e>
                <m:r>
                  <m:t>θ</m:t>
                </m:r>
              </m:e>
            </m:acc>
          </m:e>
          <m:sub>
            <m:r>
              <m:t>d</m:t>
            </m:r>
          </m:sub>
        </m:sSub>
      </m:oMath>
      <w:r>
        <w:t xml:space="preserve"> </w:t>
      </w:r>
      <w:r>
        <w:t xml:space="preserve">(frailty variance). Very small</w:t>
      </w:r>
      <w:r>
        <w:t xml:space="preserve"> </w:t>
      </w:r>
      <m:oMath>
        <m:sSub>
          <m:e>
            <m:acc>
              <m:accPr>
                <m:chr m:val="̂"/>
              </m:accPr>
              <m:e>
                <m:r>
                  <m:t>θ</m:t>
                </m:r>
              </m:e>
            </m:acc>
          </m:e>
          <m:sub>
            <m:r>
              <m:t>d</m:t>
            </m:r>
          </m:sub>
        </m:sSub>
      </m:oMath>
      <w:r>
        <w:t xml:space="preserve"> </w:t>
      </w:r>
      <w:r>
        <w:t xml:space="preserve">(&lt; 0.01) indicates minimal detected depletion; very large values (&gt; 5) may indicate model stress.</w:t>
      </w:r>
    </w:p>
    <w:p>
      <w:pPr>
        <w:pStyle w:val="Compact"/>
        <w:numPr>
          <w:ilvl w:val="0"/>
          <w:numId w:val="1026"/>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KCOR6_FIT,EnrollmentDate=2021_24,YoB=1950,Dose=0,</w:t>
      </w:r>
      <w:r>
        <w:br/>
      </w:r>
      <w:r>
        <w:rPr>
          <w:rStyle w:val="VerbatimChar"/>
        </w:rPr>
        <w:t xml:space="preserve">  k_hat=4.29e-03,theta_hat=8.02e-01,</w:t>
      </w:r>
      <w:r>
        <w:br/>
      </w:r>
      <w:r>
        <w:rPr>
          <w:rStyle w:val="VerbatimChar"/>
        </w:rPr>
        <w:t xml:space="preserve">  RMSE_Hobs=3.37e-03,n_obs=97,success=1</w:t>
      </w:r>
    </w:p>
    <w:bookmarkEnd w:id="112"/>
    <w:bookmarkStart w:id="113" w:name="c.2-residual-analysis"/>
    <w:p>
      <w:pPr>
        <w:pStyle w:val="Heading4"/>
      </w:pPr>
      <w:r>
        <w:t xml:space="preserve">C.2 Residual analysis</w:t>
      </w:r>
    </w:p>
    <w:p>
      <w:pPr>
        <w:pStyle w:val="FirstParagraph"/>
      </w:pPr>
      <w:r>
        <w:t xml:space="preserve">Fit residuals</w:t>
      </w:r>
      <w:r>
        <w:t xml:space="preserve"> </w:t>
      </w:r>
      <m:oMath>
        <m:sSub>
          <m:e>
            <m:r>
              <m:t>r</m:t>
            </m:r>
          </m:e>
          <m:sub>
            <m:r>
              <m:t>t</m:t>
            </m:r>
          </m:sub>
        </m:sSub>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examined for:</w:t>
      </w:r>
    </w:p>
    <w:p>
      <w:pPr>
        <w:pStyle w:val="Compact"/>
        <w:numPr>
          <w:ilvl w:val="0"/>
          <w:numId w:val="1027"/>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27"/>
        </w:numPr>
      </w:pPr>
      <w:r>
        <w:rPr>
          <w:b/>
          <w:bCs/>
        </w:rPr>
        <w:t xml:space="preserve">Outliers</w:t>
      </w:r>
      <w:r>
        <w:t xml:space="preserve">: Individual weeks with large residuals may indicate data quality issues or external shocks.</w:t>
      </w:r>
    </w:p>
    <w:p>
      <w:pPr>
        <w:pStyle w:val="Compact"/>
        <w:numPr>
          <w:ilvl w:val="0"/>
          <w:numId w:val="1027"/>
        </w:numPr>
      </w:pPr>
      <w:r>
        <w:rPr>
          <w:b/>
          <w:bCs/>
        </w:rPr>
        <w:t xml:space="preserve">Autocorrelation</w:t>
      </w:r>
      <w:r>
        <w:t xml:space="preserve">: Strong autocorrelation in residuals suggests the model is missing time-varying structure.</w:t>
      </w:r>
    </w:p>
    <w:bookmarkEnd w:id="113"/>
    <w:bookmarkStart w:id="114" w:name="c.3-parameter-stability-checks"/>
    <w:p>
      <w:pPr>
        <w:pStyle w:val="Heading4"/>
      </w:pPr>
      <w:r>
        <w:t xml:space="preserve">C.3 Parameter stability checks</w:t>
      </w:r>
    </w:p>
    <w:p>
      <w:pPr>
        <w:pStyle w:val="FirstParagraph"/>
      </w:pPr>
      <w:r>
        <w:t xml:space="preserve">Robustness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assessed by:</w:t>
      </w:r>
    </w:p>
    <w:p>
      <w:pPr>
        <w:pStyle w:val="Compact"/>
        <w:numPr>
          <w:ilvl w:val="0"/>
          <w:numId w:val="1028"/>
        </w:numPr>
      </w:pPr>
      <w:r>
        <w:rPr>
          <w:b/>
          <w:bCs/>
        </w:rPr>
        <w:t xml:space="preserve">Quiet-window perturbation</w:t>
      </w:r>
      <w:r>
        <w:t xml:space="preserve">: Shift the quiet-window start/end by ±4 weeks and re-fit. Stable parameters should vary by &lt; 10%.</w:t>
      </w:r>
    </w:p>
    <w:p>
      <w:pPr>
        <w:pStyle w:val="Compact"/>
        <w:numPr>
          <w:ilvl w:val="0"/>
          <w:numId w:val="1028"/>
        </w:numPr>
      </w:pPr>
      <w:r>
        <w:rPr>
          <w:b/>
          <w:bCs/>
        </w:rPr>
        <w:t xml:space="preserve">Skip-weeks sensitivity</w:t>
      </w:r>
      <w:r>
        <w:t xml:space="preserve">: Vary SKIP_WEEKS from 0 to 8 and verify KCOR trajectories remain qualitatively similar.</w:t>
      </w:r>
    </w:p>
    <w:p>
      <w:pPr>
        <w:pStyle w:val="Compact"/>
        <w:numPr>
          <w:ilvl w:val="0"/>
          <w:numId w:val="1028"/>
        </w:numPr>
      </w:pPr>
      <w:r>
        <w:rPr>
          <w:b/>
          <w:bCs/>
        </w:rPr>
        <w:t xml:space="preserve">Baseline-shape alternatives</w:t>
      </w:r>
      <w:r>
        <w:t xml:space="preserve">: Compare default</w:t>
      </w:r>
      <w:r>
        <w:t xml:space="preserve"> </w:t>
      </w:r>
      <m:oMath>
        <m:r>
          <m:t>g</m:t>
        </m:r>
        <m:r>
          <m:rPr>
            <m:sty m:val="p"/>
          </m:rPr>
          <m:t>(</m:t>
        </m:r>
        <m:r>
          <m:t>t</m:t>
        </m:r>
        <m:r>
          <m:rPr>
            <m:sty m:val="p"/>
          </m:rPr>
          <m:t>)</m:t>
        </m:r>
        <m:r>
          <m:rPr>
            <m:sty m:val="p"/>
          </m:rPr>
          <m:t>=</m:t>
        </m:r>
        <m:r>
          <m:t>1</m:t>
        </m:r>
      </m:oMath>
      <w:r>
        <w:t xml:space="preserve"> </w:t>
      </w:r>
      <w:r>
        <w:t xml:space="preserve">to mild linear trends and verify normalization is not sensitive to this choice.</w:t>
      </w:r>
    </w:p>
    <w:p>
      <w:pPr>
        <w:pStyle w:val="FirstParagraph"/>
      </w:pPr>
      <w:r>
        <w:t xml:space="preserve">The sensitivity analysis (§3.3 and Figure fig. 6) provides a systematic assessment of parameter stability.</w:t>
      </w:r>
    </w:p>
    <w:bookmarkEnd w:id="114"/>
    <w:bookmarkStart w:id="115"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29"/>
        </w:numPr>
      </w:pPr>
      <w:r>
        <w:t xml:space="preserve">Avoid major epidemic waves or external mortality shocks</w:t>
      </w:r>
    </w:p>
    <w:p>
      <w:pPr>
        <w:pStyle w:val="Compact"/>
        <w:numPr>
          <w:ilvl w:val="0"/>
          <w:numId w:val="1029"/>
        </w:numPr>
      </w:pPr>
      <w:r>
        <w:t xml:space="preserve">Contain sufficient event counts for stable estimation</w:t>
      </w:r>
    </w:p>
    <w:p>
      <w:pPr>
        <w:pStyle w:val="Compact"/>
        <w:numPr>
          <w:ilvl w:val="0"/>
          <w:numId w:val="1029"/>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p>
      <w:r>
        <w:pict>
          <v:rect style="width:0;height:1.5pt" o:hralign="center" o:hrstd="t" o:hr="t"/>
        </w:pict>
      </w:r>
    </w:p>
    <w:bookmarkEnd w:id="115"/>
    <w:bookmarkEnd w:id="116"/>
    <w:bookmarkEnd w:id="117"/>
    <w:bookmarkStart w:id="125" w:name="references"/>
    <w:p>
      <w:pPr>
        <w:pStyle w:val="Heading2"/>
      </w:pPr>
      <w:r>
        <w:t xml:space="preserve">References</w:t>
      </w:r>
    </w:p>
    <w:bookmarkStart w:id="124" w:name="refs"/>
    <w:bookmarkStart w:id="119" w:name="ref-obel2024"/>
    <w:p>
      <w:pPr>
        <w:pStyle w:val="Bibliography"/>
      </w:pPr>
      <w:r>
        <w:t xml:space="preserve">1.</w:t>
      </w:r>
      <w:r>
        <w:t xml:space="preserve"> </w:t>
      </w:r>
      <w:r>
        <w:t xml:space="preserve">	</w:t>
      </w:r>
      <w:r>
        <w:t xml:space="preserve">Obel N, Fox M, Tetens M, Pedersen L, Krause T, Ullum H,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 Clinical Epidemiology. 2024 July;Volume 16:501–12. doi:</w:t>
      </w:r>
      <w:hyperlink r:id="rId118">
        <w:r>
          <w:rPr>
            <w:rStyle w:val="Hyperlink"/>
          </w:rPr>
          <w:t xml:space="preserve">10.2147/CLEP.S468572</w:t>
        </w:r>
      </w:hyperlink>
    </w:p>
    <w:bookmarkEnd w:id="119"/>
    <w:bookmarkStart w:id="121" w:name="ref-chemaitelly2025"/>
    <w:p>
      <w:pPr>
        <w:pStyle w:val="Bibliography"/>
      </w:pPr>
      <w:r>
        <w:t xml:space="preserve">2.</w:t>
      </w:r>
      <w:r>
        <w:t xml:space="preserve"> </w:t>
      </w:r>
      <w:r>
        <w:t xml:space="preserve">	</w:t>
      </w:r>
      <w:r>
        <w:t xml:space="preserve">Chemaitelly H, Ayoub HH, Coyle P, Tang P, Hasan MR, Yassine HM,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editors. eLife. 2025 June;14:e103690. doi:</w:t>
      </w:r>
      <w:hyperlink r:id="rId120">
        <w:r>
          <w:rPr>
            <w:rStyle w:val="Hyperlink"/>
          </w:rPr>
          <w:t xml:space="preserve">10.7554/eLife.103690</w:t>
        </w:r>
      </w:hyperlink>
    </w:p>
    <w:bookmarkEnd w:id="121"/>
    <w:bookmarkStart w:id="123" w:name="ref-vaupel1979"/>
    <w:p>
      <w:pPr>
        <w:pStyle w:val="Bibliography"/>
      </w:pPr>
      <w:r>
        <w:t xml:space="preserve">3.</w:t>
      </w:r>
      <w:r>
        <w:t xml:space="preserve"> </w:t>
      </w:r>
      <w:r>
        <w:t xml:space="preserve">	</w:t>
      </w:r>
      <w:r>
        <w:t xml:space="preserve">Vaupel JW, Manton KG, Stallard E. The impact of heterogeneity in individual frailty on the dynamics of mortality. Demography. 1979 Aug;16(3):439–54. doi:</w:t>
      </w:r>
      <w:hyperlink r:id="rId122">
        <w:r>
          <w:rPr>
            <w:rStyle w:val="Hyperlink"/>
          </w:rPr>
          <w:t xml:space="preserve">10.2307/2061224</w:t>
        </w:r>
      </w:hyperlink>
    </w:p>
    <w:bookmarkEnd w:id="123"/>
    <w:bookmarkEnd w:id="124"/>
    <w:bookmarkEnd w:id="125"/>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4" Target="media/rId54.png" /><Relationship Type="http://schemas.openxmlformats.org/officeDocument/2006/relationships/image" Id="rId72" Target="media/rId72.png" /><Relationship Type="http://schemas.openxmlformats.org/officeDocument/2006/relationships/image" Id="rId78" Target="media/rId78.png" /><Relationship Type="http://schemas.openxmlformats.org/officeDocument/2006/relationships/hyperlink" Id="rId118" Target="https://doi.org/10.2147/CLEP.S468572" TargetMode="External" /><Relationship Type="http://schemas.openxmlformats.org/officeDocument/2006/relationships/hyperlink" Id="rId122" Target="https://doi.org/10.2307/2061224" TargetMode="External" /><Relationship Type="http://schemas.openxmlformats.org/officeDocument/2006/relationships/hyperlink" Id="rId95" Target="https://doi.org/10.5281/zenodo.18050329" TargetMode="External" /><Relationship Type="http://schemas.openxmlformats.org/officeDocument/2006/relationships/hyperlink" Id="rId120" Target="https://doi.org/10.7554/eLife.103690" TargetMode="External" /><Relationship Type="http://schemas.openxmlformats.org/officeDocument/2006/relationships/hyperlink" Id="rId94"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18" Target="https://doi.org/10.2147/CLEP.S468572" TargetMode="External" /><Relationship Type="http://schemas.openxmlformats.org/officeDocument/2006/relationships/hyperlink" Id="rId122" Target="https://doi.org/10.2307/2061224" TargetMode="External" /><Relationship Type="http://schemas.openxmlformats.org/officeDocument/2006/relationships/hyperlink" Id="rId95" Target="https://doi.org/10.5281/zenodo.18050329" TargetMode="External" /><Relationship Type="http://schemas.openxmlformats.org/officeDocument/2006/relationships/hyperlink" Id="rId120" Target="https://doi.org/10.7554/eLife.103690" TargetMode="External" /><Relationship Type="http://schemas.openxmlformats.org/officeDocument/2006/relationships/hyperlink" Id="rId94"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2025-12-25T01:16:07Z</dcterms:created>
  <dcterms:modified xsi:type="dcterms:W3CDTF">2025-12-25T01:16:07Z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vancouver-superscript.csl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