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66.png" ContentType="image/png"/>
  <Override PartName="/word/media/rId70.png" ContentType="image/png"/>
  <Override PartName="/word/media/rId53.png" ContentType="image/png"/>
  <Override PartName="/word/media/rId60.png" ContentType="image/png"/>
  <Override PartName="/word/media/rId78.png" ContentType="image/png"/>
  <Override PartName="/word/media/rId84.png" ContentType="image/png"/>
  <Override PartName="/word/media/rId93.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3" w:name="X7e352faca4f4abc41f11b7392747c843df7c7d0"/>
    <w:p>
      <w:pPr>
        <w:pStyle w:val="Heading1"/>
      </w:pPr>
      <w:r>
        <w:t xml:space="preserve">KCOR: Depletion-Neutralized Cohort Comparison via Gamma-Frailty Normalization Under Selection-Induced Hazard Curvature</w:t>
      </w:r>
    </w:p>
    <w:bookmarkStart w:id="9" w:name="X4835020d385acbc75dd50aaa05eda5f3dd08f94"/>
    <w:p>
      <w:pPr>
        <w:pStyle w:val="Heading2"/>
      </w:pPr>
      <w:r>
        <w:t xml:space="preserve">Manuscript metadata (for journal submission)</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Authors</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5,770</w:t>
      </w:r>
    </w:p>
    <w:p>
      <w:pPr>
        <w:pStyle w:val="Compact"/>
        <w:numPr>
          <w:ilvl w:val="0"/>
          <w:numId w:val="1001"/>
        </w:numPr>
      </w:pPr>
      <w:r>
        <w:rPr>
          <w:b/>
          <w:bCs/>
        </w:rPr>
        <w:t xml:space="preserve">Keywords</w:t>
      </w:r>
      <w:r>
        <w:t xml:space="preserve">: selection bias; healthy vaccinee effect; non-proportional hazards; frailty; gamma frailty; negative controls; causal inference; observational studies; mortality curvature</w:t>
      </w:r>
    </w:p>
    <w:p>
      <w:r>
        <w:pict>
          <v:rect style="width:0;height:1.5pt" o:hralign="center" o:hrstd="t" o:hr="t"/>
        </w:pict>
      </w:r>
    </w:p>
    <w:bookmarkEnd w:id="9"/>
    <w:bookmarkStart w:id="10" w:name="abstract"/>
    <w:p>
      <w:pPr>
        <w:pStyle w:val="Heading2"/>
      </w:pPr>
      <w:r>
        <w:t xml:space="preserve">Abstract</w:t>
      </w:r>
    </w:p>
    <w:p>
      <w:pPr>
        <w:pStyle w:val="FirstParagraph"/>
      </w:pPr>
      <w:r>
        <w:t xml:space="preserve">Retrospective cohort studies often estimate the mortality impact of medical interventions, but selection can create non-exchangeable cohorts that defeat standard comparisons. In particular, selective uptake can induce systematic differences in mortality curvature—differences in the time-evolution of cohort hazards driven by frailty heterogeneity and depletion of susceptibles—that violate the assumptions of standard epidemiologic tools such as Cox proportional hazards models, age-standardized mortality rates, and inverse-probability weighting. We introduce</w:t>
      </w:r>
      <w:r>
        <w:t xml:space="preserve"> </w:t>
      </w:r>
      <w:r>
        <w:rPr>
          <w:b/>
          <w:bCs/>
        </w:rPr>
        <w:t xml:space="preserve">KCOR (Kirsch Cumulative Outcomes Ratio)</w:t>
      </w:r>
      <w:r>
        <w:t xml:space="preserve">, a method that normalizes selection-induced curvature before cohort comparison by estimating and inverting a gamma-frailty mixture model in</w:t>
      </w:r>
      <w:r>
        <w:t xml:space="preserve"> </w:t>
      </w:r>
      <w:r>
        <w:rPr>
          <w:b/>
          <w:bCs/>
        </w:rPr>
        <w:t xml:space="preserve">cumulative-hazard space</w:t>
      </w:r>
      <w:r>
        <w:t xml:space="preserve">. KCOR v6 fits cohort-specific selection parameters during epidemiologically quiet periods and transforms observed cumulative hazards to depletion-neutralized baseline cumulative hazards, which are then compared cumulatively via ratios. We describe the KCOR framework, its mathematical foundation, and its validation using prespecified negative and positive control tests designed to stress selection-induced curvature. KCOR requires only event timing—dates of intervention (enrollment) and dates of death (with birth date or year needed only for age stratification)—making it applicable to minimal record-level mortality datasets. Empirically, in illustrative applications, KCOR v6 frequently estimates negligible frailty variance for some cohorts while estimating substantial frailty-driven depletion for others, reflecting asymmetric selection at cohort entry. Importantly, these differences arise from observed hazard curvature rather than from any exposure-specific assumptions. After frailty neutralization, cumulative hazards are approximately linear, enabling direct cohort comparison free of selection-induced curvature. KCOR therefore enables interpretable cumulative cohort comparisons in settings where treated and untreated hazards are non-proportional because selection induces different depletion dynamics.</w:t>
      </w:r>
    </w:p>
    <w:p>
      <w:r>
        <w:pict>
          <v:rect style="width:0;height:1.5pt" o:hralign="center" o:hrstd="t" o:hr="t"/>
        </w:pict>
      </w:r>
    </w:p>
    <w:bookmarkEnd w:id="10"/>
    <w:bookmarkStart w:id="18" w:name="introduction"/>
    <w:p>
      <w:pPr>
        <w:pStyle w:val="Heading2"/>
      </w:pPr>
      <w:r>
        <w:t xml:space="preserve">1. Introduction</w:t>
      </w:r>
    </w:p>
    <w:bookmarkStart w:id="11"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bookmarkEnd w:id="11"/>
    <w:bookmarkStart w:id="12"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2"/>
        </w:numPr>
      </w:pPr>
      <w:r>
        <w:rPr>
          <w:b/>
          <w:bCs/>
        </w:rPr>
        <w:t xml:space="preserve">Cox PH</w:t>
      </w:r>
      <w:r>
        <w:t xml:space="preserve">: assumes hazards differ by a time-invariant multiplicative factor (proportional hazards).</w:t>
      </w:r>
    </w:p>
    <w:p>
      <w:pPr>
        <w:pStyle w:val="Compact"/>
        <w:numPr>
          <w:ilvl w:val="0"/>
          <w:numId w:val="1002"/>
        </w:numPr>
      </w:pPr>
      <w:r>
        <w:rPr>
          <w:b/>
          <w:bCs/>
        </w:rPr>
        <w:t xml:space="preserve">IPTW / matching</w:t>
      </w:r>
      <w:r>
        <w:t xml:space="preserve">: can balance measured covariates yet fail to balance unmeasured frailty and the resulting depletion dynamics.</w:t>
      </w:r>
    </w:p>
    <w:p>
      <w:pPr>
        <w:pStyle w:val="Compact"/>
        <w:numPr>
          <w:ilvl w:val="0"/>
          <w:numId w:val="1002"/>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r>
        <w:t xml:space="preserve"> </w:t>
      </w:r>
      <w:r>
        <w:t xml:space="preserve">Approximate linearity of cumulative hazard after adjustment is therefore not assumed, but serves as an internal diagnostic indicating that selection-induced depletion has been successfully removed.</w:t>
      </w:r>
    </w:p>
    <w:p>
      <w:pPr>
        <w:pStyle w:val="BodyText"/>
      </w:pPr>
      <w:r>
        <w:t xml:space="preserve">Although this manuscript is motivated in part by mortality analyses conducted during the COVID-19 vaccination period, the methodological problem addressed here is general. The COVID setting provides unusually clear examples of selection-induced non-proportional hazards—because uptake was voluntary, rapidly time-varying, and correlated with baseline health—making residual confounding easy to diagnose using control outcomes such as non-COVID mortality. However, KCOR is not specific to COVID, vaccination, or infectious disease. The estimator applies to any retrospective cohort comparison in which selection induces differential depletion dynamics that violate proportional hazards assumptions.</w:t>
      </w:r>
    </w:p>
    <w:bookmarkEnd w:id="12"/>
    <w:bookmarkStart w:id="16" w:name="X3f76dee37168b4797631ddc9e3d31862803de93"/>
    <w:p>
      <w:pPr>
        <w:pStyle w:val="Heading3"/>
      </w:pPr>
      <w:r>
        <w:t xml:space="preserve">1.3 Evidence from the literature: residual confounding despite meticulous matching</w:t>
      </w:r>
    </w:p>
    <w:p>
      <w:pPr>
        <w:pStyle w:val="FirstParagraph"/>
      </w:pPr>
      <w:r>
        <w:t xml:space="preserve">Two large, rigorously designed observational analyses illustrate the core empirical motivation: even extremely careful matching and adjustment can leave large residual differences in non-COVID mortality, indicating confounding and selection that standard pipelines do not eliminate.</w:t>
      </w:r>
    </w:p>
    <w:bookmarkStart w:id="13" w:name="Xbfb6a4beb5729d82767d37d57edb58ba18bba27"/>
    <w:p>
      <w:pPr>
        <w:pStyle w:val="Heading4"/>
      </w:pPr>
      <w:r>
        <w:t xml:space="preserve">1.3.1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1</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13"/>
    <w:bookmarkStart w:id="15" w:name="X3c4376cf0533c6140ceba8f12ccdbb5b9c9efc8"/>
    <w:p>
      <w:pPr>
        <w:pStyle w:val="Heading4"/>
      </w:pPr>
      <w:r>
        <w:t xml:space="preserve">1.3.2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2</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w:t>
      </w:r>
    </w:p>
    <w:bookmarkStart w:id="14" w:name="tbl:HVE_motivation"/>
    <w:p>
      <w:pPr>
        <w:pStyle w:val="TableCaption"/>
      </w:pPr>
      <w:r>
        <w:t xml:space="preserve">Table 1: Summary of two large matched observational studies showing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show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1</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2</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4"/>
    <w:bookmarkEnd w:id="15"/>
    <w:bookmarkEnd w:id="16"/>
    <w:bookmarkStart w:id="17" w:name="contribution-of-this-work"/>
    <w:p>
      <w:pPr>
        <w:pStyle w:val="Heading3"/>
      </w:pPr>
      <w:r>
        <w:t xml:space="preserve">1.4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w:t>
      </w:r>
    </w:p>
    <w:p>
      <w:pPr>
        <w:pStyle w:val="BodyText"/>
      </w:pPr>
      <w:r>
        <w:t xml:space="preserve">This manuscript is</w:t>
      </w:r>
      <w:r>
        <w:t xml:space="preserve"> </w:t>
      </w:r>
      <w:r>
        <w:rPr>
          <w:b/>
          <w:bCs/>
        </w:rPr>
        <w:t xml:space="preserve">methods-only</w:t>
      </w:r>
      <w:r>
        <w:t xml:space="preserve">:</w:t>
      </w:r>
    </w:p>
    <w:p>
      <w:pPr>
        <w:pStyle w:val="Compact"/>
        <w:numPr>
          <w:ilvl w:val="0"/>
          <w:numId w:val="1003"/>
        </w:numPr>
      </w:pPr>
      <w:r>
        <w:t xml:space="preserve">We present the estimator, model assumptions, and uncertainty quantification.</w:t>
      </w:r>
    </w:p>
    <w:p>
      <w:pPr>
        <w:pStyle w:val="Compact"/>
        <w:numPr>
          <w:ilvl w:val="0"/>
          <w:numId w:val="1003"/>
        </w:numPr>
      </w:pPr>
      <w:r>
        <w:t xml:space="preserve">We validate the method using prespecified negative and positive controls designed to stress selection-induced curvature.</w:t>
      </w:r>
    </w:p>
    <w:p>
      <w:pPr>
        <w:pStyle w:val="Compact"/>
        <w:numPr>
          <w:ilvl w:val="0"/>
          <w:numId w:val="1003"/>
        </w:numPr>
      </w:pPr>
      <w:r>
        <w:t xml:space="preserve">We defer any applied real-world intervention conclusions to a separate, dedicated applied paper.</w:t>
      </w:r>
    </w:p>
    <w:p>
      <w:pPr>
        <w:pStyle w:val="FirstParagraph"/>
      </w:pPr>
      <w:r>
        <w:t xml:space="preserve">KCOR is proposed as a diagnostic and normalization estimator for selection-induced hazard curvature; causal interpretation requires additional assumptions beyond the scope of this methods paper.</w:t>
      </w:r>
    </w:p>
    <w:p>
      <w:r>
        <w:pict>
          <v:rect style="width:0;height:1.5pt" o:hralign="center" o:hrstd="t" o:hr="t"/>
        </w:pict>
      </w:r>
    </w:p>
    <w:bookmarkEnd w:id="17"/>
    <w:bookmarkEnd w:id="18"/>
    <w:bookmarkStart w:id="58" w:name="methods"/>
    <w:p>
      <w:pPr>
        <w:pStyle w:val="Heading2"/>
      </w:pPr>
      <w:r>
        <w:t xml:space="preserve">2. Methods</w:t>
      </w:r>
    </w:p>
    <w:bookmarkStart w:id="19" w:name="tbl:notation"/>
    <w:p>
      <w:pPr>
        <w:pStyle w:val="TableCaption"/>
      </w:pPr>
      <w:r>
        <w:t xml:space="preserve">Table 2: Notation used throughout the Methods section. θ_d denotes the cohort-specific depletion (frailty variance) parameter governing curvature in the observed cumulative hazard.</w:t>
      </w:r>
    </w:p>
    <w:tbl>
      <w:tblPr>
        <w:tblStyle w:val="Table"/>
        <w:tblW w:type="pct" w:w="5000"/>
        <w:tblLayout w:type="fixed"/>
        <w:tblLook w:firstRow="1" w:lastRow="0" w:firstColumn="0" w:lastColumn="0" w:noHBand="0" w:noVBand="0" w:val="0020"/>
        <w:tblCaption w:val="Table 2: Notation used throughout the Methods section. θ_d denotes the cohort-specific depletion (frailty variance) parameter governing curvature in the observed cumulative hazard."/>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
              <m:r>
                <m:t>d</m:t>
              </m:r>
            </m:oMath>
          </w:p>
        </w:tc>
        <w:tc>
          <w:tcPr/>
          <w:p>
            <w:pPr>
              <w:pStyle w:val="Compact"/>
            </w:pPr>
            <w:r>
              <w:t xml:space="preserve">cohort index (enrollment definition × age group × intervention count (discrete exposure index))</w:t>
            </w:r>
          </w:p>
        </w:tc>
      </w:tr>
      <w:tr>
        <w:tc>
          <w:tcPr/>
          <w:p>
            <w:pPr>
              <w:pStyle w:val="Compact"/>
            </w:pPr>
            <m:oMath>
              <m:r>
                <m:t>t</m:t>
              </m:r>
            </m:oMath>
          </w:p>
        </w:tc>
        <w:tc>
          <w:tcPr/>
          <w:p>
            <w:pPr>
              <w:pStyle w:val="Compact"/>
            </w:pPr>
            <w:r>
              <w:t xml:space="preserve">event time since enrollment (discrete bins, e.g., weeks)</w:t>
            </w:r>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cohort hazard at time</w:t>
            </w:r>
            <w:r>
              <w:t xml:space="preserve"> </w:t>
            </w:r>
            <m:oMath>
              <m:r>
                <m:t>t</m:t>
              </m:r>
            </m:oMath>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 (after skip/stabilization)</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hazard for cohort</w:t>
            </w:r>
            <w:r>
              <w:t xml:space="preserve"> </w:t>
            </w:r>
            <m:oMath>
              <m:r>
                <m:t>d</m:t>
              </m:r>
            </m:oMath>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cumulative hazard</w:t>
            </w:r>
          </w:p>
        </w:tc>
      </w:tr>
      <w:tr>
        <w:tc>
          <w:tcPr/>
          <w:p>
            <w:pPr>
              <w:pStyle w:val="Compact"/>
            </w:pPr>
            <m:oMath>
              <m:sSub>
                <m:e>
                  <m:r>
                    <m:t>θ</m:t>
                  </m:r>
                </m:e>
                <m:sub>
                  <m:r>
                    <m:t>d</m:t>
                  </m:r>
                </m:sub>
              </m:sSub>
            </m:oMath>
          </w:p>
        </w:tc>
        <w:tc>
          <w:tcPr/>
          <w:p>
            <w:pPr>
              <w:pStyle w:val="Compact"/>
            </w:pPr>
            <w:r>
              <w:t xml:space="preserve">frailty variance (selection strength) for cohort</w:t>
            </w:r>
            <w:r>
              <w:t xml:space="preserve"> </w:t>
            </w:r>
            <m:oMath>
              <m:r>
                <m:t>d</m:t>
              </m:r>
            </m:oMath>
          </w:p>
        </w:tc>
      </w:tr>
      <w:tr>
        <w:tc>
          <w:tcPr/>
          <w:p>
            <w:pPr>
              <w:pStyle w:val="Compact"/>
            </w:pPr>
            <m:oMath>
              <m:sSub>
                <m:e>
                  <m:r>
                    <m:t>k</m:t>
                  </m:r>
                </m:e>
                <m:sub>
                  <m:r>
                    <m:t>d</m:t>
                  </m:r>
                </m:sub>
              </m:sSub>
            </m:oMath>
          </w:p>
        </w:tc>
        <w:tc>
          <w:tcPr/>
          <w:p>
            <w:pPr>
              <w:pStyle w:val="Compact"/>
            </w:pPr>
            <w:r>
              <w:t xml:space="preserve">baseline hazard level for cohort</w:t>
            </w:r>
            <w:r>
              <w:t xml:space="preserve"> </w:t>
            </w:r>
            <m:oMath>
              <m:r>
                <m:t>d</m:t>
              </m:r>
            </m:oMath>
            <w:r>
              <w:t xml:space="preserve"> </w:t>
            </w:r>
            <w:r>
              <w:t xml:space="preserve">under default baseline shape</w:t>
            </w:r>
          </w:p>
        </w:tc>
      </w:tr>
    </w:tbl>
    <w:bookmarkEnd w:id="19"/>
    <w:p>
      <w:pPr>
        <w:pStyle w:val="BodyText"/>
      </w:pPr>
      <w:r>
        <w:t xml:space="preserve">For COVID-19 vaccination analyses, intervention count corresponds to the number of vaccine doses received; more generally, this can index any discrete exposure level.</w:t>
      </w:r>
    </w:p>
    <w:bookmarkStart w:id="20" w:name="X3cd5af7e7f64c4d54a11e3f31c65ccba93efc7a"/>
    <w:p>
      <w:pPr>
        <w:pStyle w:val="Heading3"/>
      </w:pPr>
      <w:r>
        <w:t xml:space="preserve">2.1 Conceptual framework: level vs curvature under selection</w:t>
      </w:r>
    </w:p>
    <w:p>
      <w:pPr>
        <w:pStyle w:val="FirstParagraph"/>
      </w:pPr>
      <w:r>
        <w:t xml:space="preserve">Differences in mortality between cohorts can arise from:</w:t>
      </w:r>
    </w:p>
    <w:p>
      <w:pPr>
        <w:pStyle w:val="Compact"/>
        <w:numPr>
          <w:ilvl w:val="0"/>
          <w:numId w:val="1004"/>
        </w:numPr>
      </w:pPr>
      <w:r>
        <w:rPr>
          <w:b/>
          <w:bCs/>
        </w:rPr>
        <w:t xml:space="preserve">Level effects</w:t>
      </w:r>
      <w:r>
        <w:t xml:space="preserve">: multiplicative shifts in hazard that are constant over time.</w:t>
      </w:r>
    </w:p>
    <w:p>
      <w:pPr>
        <w:pStyle w:val="Compact"/>
        <w:numPr>
          <w:ilvl w:val="0"/>
          <w:numId w:val="1004"/>
        </w:numPr>
      </w:pPr>
      <w:r>
        <w:rPr>
          <w:b/>
          <w:bCs/>
        </w:rPr>
        <w:t xml:space="preserve">Curvature effects</w:t>
      </w:r>
      <w:r>
        <w:t xml:space="preserve">: differences in the time-evolution of cohort hazards induced by heterogeneity and selective depletion.</w:t>
      </w:r>
    </w:p>
    <w:p>
      <w:pPr>
        <w:pStyle w:val="FirstParagraph"/>
      </w:pPr>
      <w:r>
        <w:t xml:space="preserve">Selection bias commonly produces curvature differences through frailty mixing and depletion. KCOR’s strategy is to</w:t>
      </w:r>
      <w:r>
        <w:t xml:space="preserve"> </w:t>
      </w:r>
      <w:r>
        <w:rPr>
          <w:b/>
          <w:bCs/>
        </w:rPr>
        <w:t xml:space="preserve">estimate and remove the selection-induced depletion component</w:t>
      </w:r>
      <w:r>
        <w:t xml:space="preserve">, then compare cohorts on a cumulative scale.</w:t>
      </w:r>
    </w:p>
    <w:p>
      <w:pPr>
        <w:pStyle w:val="BodyText"/>
      </w:pPr>
      <w:r>
        <w:t xml:space="preserve">Figure fig. 2 provides a schematic overview of the KCOR workflow.</w:t>
      </w:r>
    </w:p>
    <w:bookmarkEnd w:id="20"/>
    <w:bookmarkStart w:id="22" w:name="cohort-construction-and-estimand"/>
    <w:p>
      <w:pPr>
        <w:pStyle w:val="Heading3"/>
      </w:pPr>
      <w:r>
        <w:t xml:space="preserve">2.2 Cohort construction and estimand</w:t>
      </w:r>
    </w:p>
    <w:p>
      <w:pPr>
        <w:pStyle w:val="FirstParagraph"/>
      </w:pPr>
      <w:r>
        <w:t xml:space="preserve">KCOR is defined for</w:t>
      </w:r>
      <w:r>
        <w:t xml:space="preserve"> </w:t>
      </w:r>
      <w:r>
        <w:rPr>
          <w:b/>
          <w:bCs/>
        </w:rPr>
        <w:t xml:space="preserve">fixed cohorts</w:t>
      </w:r>
      <w:r>
        <w:t xml:space="preserve"> </w:t>
      </w:r>
      <w:r>
        <w:t xml:space="preserve">at enrollment. Required inputs are minimal: for each individual, the intervention or enrollment date(s) and the</w:t>
      </w:r>
      <w:r>
        <w:t xml:space="preserve"> </w:t>
      </w:r>
      <w:r>
        <w:rPr>
          <w:b/>
          <w:bCs/>
        </w:rPr>
        <w:t xml:space="preserve">event date</w:t>
      </w:r>
      <w:r>
        <w:t xml:space="preserve"> </w:t>
      </w:r>
      <w:r>
        <w:t xml:space="preserve">(e.g., death for mortality analyses), with birth date or year included only if age stratification is performed. Throughout, we use</w:t>
      </w:r>
      <w:r>
        <w:t xml:space="preserve"> </w:t>
      </w:r>
      <w:r>
        <w:t xml:space="preserve">“event”</w:t>
      </w:r>
      <w:r>
        <w:t xml:space="preserve"> </w:t>
      </w:r>
      <w:r>
        <w:t xml:space="preserve">to denote the outcome of interest, with event timing recorded relative to cohort enrollment.</w:t>
      </w:r>
    </w:p>
    <w:p>
      <w:pPr>
        <w:pStyle w:val="Compact"/>
        <w:numPr>
          <w:ilvl w:val="0"/>
          <w:numId w:val="1005"/>
        </w:numPr>
      </w:pPr>
      <w:r>
        <w:t xml:space="preserve">Cohorts are fixed at enrollment and defined by intervention status at the start of the enrollment week; doses administered during the enrollment week do not affect cohort assignment (i.e., dose status is determined by doses received</w:t>
      </w:r>
      <w:r>
        <w:t xml:space="preserve"> </w:t>
      </w:r>
      <w:r>
        <w:rPr>
          <w:b/>
          <w:bCs/>
        </w:rPr>
        <w:t xml:space="preserve">strictly before</w:t>
      </w:r>
      <w:r>
        <w:t xml:space="preserve"> </w:t>
      </w:r>
      <w:r>
        <w:t xml:space="preserve">the enrollment week start).</w:t>
      </w:r>
    </w:p>
    <w:p>
      <w:pPr>
        <w:pStyle w:val="Compact"/>
        <w:numPr>
          <w:ilvl w:val="0"/>
          <w:numId w:val="1005"/>
        </w:numPr>
      </w:pPr>
      <w:r>
        <w:t xml:space="preserve">No censoring or cohort switching is permitted in the primary estimand.</w:t>
      </w:r>
    </w:p>
    <w:p>
      <w:pPr>
        <w:pStyle w:val="Compact"/>
        <w:numPr>
          <w:ilvl w:val="0"/>
          <w:numId w:val="1005"/>
        </w:numPr>
      </w:pPr>
      <w:r>
        <w:t xml:space="preserve">Analysis proceeds in</w:t>
      </w:r>
      <w:r>
        <w:t xml:space="preserve"> </w:t>
      </w:r>
      <w:r>
        <w:rPr>
          <w:b/>
          <w:bCs/>
        </w:rPr>
        <w:t xml:space="preserve">event time</w:t>
      </w:r>
      <w:r>
        <w:t xml:space="preserve"> </w:t>
      </w:r>
      <m:oMath>
        <m:r>
          <m:t>t</m:t>
        </m:r>
      </m:oMath>
      <w:r>
        <w:t xml:space="preserve"> </w:t>
      </w:r>
      <w:r>
        <w:t xml:space="preserve">(time since enrollment).</w:t>
      </w:r>
    </w:p>
    <w:p>
      <w:pPr>
        <w:pStyle w:val="FirstParagraph"/>
      </w:pPr>
      <w:r>
        <w:t xml:space="preserve">This fixed-cohort design corresponds to an intent-to-treat–like estimand under selection. It is chosen deliberately to avoid time-varying deferral bias, immortal time bias, and dynamic health-based sorting that arise when individuals change exposure status during follow-up. Dynamic “as-treated” formulations are treated as sensitivity analyses rather than primary estimands.</w:t>
      </w:r>
    </w:p>
    <w:bookmarkStart w:id="21" w:name="Xcc9d8eae92928ff9c0042d8fe45a8a74421cd30"/>
    <w:p>
      <w:pPr>
        <w:pStyle w:val="Heading4"/>
      </w:pPr>
      <w:r>
        <w:t xml:space="preserve">2.2.1 KCOR data representation and reproducibility</w:t>
      </w:r>
    </w:p>
    <w:p>
      <w:pPr>
        <w:pStyle w:val="FirstParagraph"/>
      </w:pPr>
      <w:r>
        <w:t xml:space="preserve">All analyses were performed using the KCOR (Kirsch Cumulative Outcomes Ratio) framework, which operates on fixed-cohort, time-indexed observational data under explicitly defined enrollment and outcome semantics.</w:t>
      </w:r>
    </w:p>
    <w:p>
      <w:pPr>
        <w:pStyle w:val="BodyText"/>
      </w:pPr>
      <w:r>
        <w:t xml:space="preserve">To ensure reproducibility across jurisdictions with differing privacy and disclosure-control regimes, KCOR supports three formally defined data representations:</w:t>
      </w:r>
    </w:p>
    <w:p>
      <w:pPr>
        <w:pStyle w:val="Compact"/>
        <w:numPr>
          <w:ilvl w:val="0"/>
          <w:numId w:val="1006"/>
        </w:numPr>
      </w:pPr>
      <w:r>
        <w:t xml:space="preserve">Record-level data</w:t>
      </w:r>
      <w:r>
        <w:br/>
      </w:r>
    </w:p>
    <w:p>
      <w:pPr>
        <w:pStyle w:val="Compact"/>
        <w:numPr>
          <w:ilvl w:val="0"/>
          <w:numId w:val="1006"/>
        </w:numPr>
      </w:pPr>
      <w:r>
        <w:t xml:space="preserve">Aggregated outcome summary data</w:t>
      </w:r>
      <w:r>
        <w:br/>
      </w:r>
    </w:p>
    <w:p>
      <w:pPr>
        <w:pStyle w:val="Compact"/>
        <w:numPr>
          <w:ilvl w:val="0"/>
          <w:numId w:val="1006"/>
        </w:numPr>
      </w:pPr>
      <w:r>
        <w:t xml:space="preserve">Hazard summary data</w:t>
      </w:r>
    </w:p>
    <w:p>
      <w:pPr>
        <w:pStyle w:val="FirstParagraph"/>
      </w:pPr>
      <w:r>
        <w:t xml:space="preserve">These formats differ only in disclosure surface; they are analytically equivalent under the KCOR methodology.</w:t>
      </w:r>
    </w:p>
    <w:p>
      <w:pPr>
        <w:pStyle w:val="BodyText"/>
      </w:pPr>
      <w:r>
        <w:t xml:space="preserve">The precise definitions of enrollment, cohort freezing, time indexing, risk sets, outcomes, stratifiers, and disclosure-control constraints are specified in the</w:t>
      </w:r>
      <w:r>
        <w:t xml:space="preserve"> </w:t>
      </w:r>
      <w:r>
        <w:rPr>
          <w:b/>
          <w:bCs/>
        </w:rPr>
        <w:t xml:space="preserve">KCOR data format specification</w:t>
      </w:r>
      <w:r>
        <w:t xml:space="preserve">, which is versioned and publicly available:</w:t>
      </w:r>
    </w:p>
    <w:p>
      <w:pPr>
        <w:pStyle w:val="BlockText"/>
      </w:pPr>
      <w:r>
        <w:rPr>
          <w:i/>
          <w:iCs/>
        </w:rPr>
        <w:t xml:space="preserve">KCOR File Format Specification</w:t>
      </w:r>
      <w:r>
        <w:br/>
      </w:r>
      <w:r>
        <w:rPr>
          <w:rStyle w:val="VerbatimChar"/>
        </w:rPr>
        <w:t xml:space="preserve">documentation/specs/KCOR_file_format.md</w:t>
      </w:r>
    </w:p>
    <w:p>
      <w:pPr>
        <w:pStyle w:val="FirstParagraph"/>
      </w:pPr>
      <w:r>
        <w:t xml:space="preserve">All KCOR results presented in this paper can be reproduced from any data representation that conforms to this specification.</w:t>
      </w:r>
    </w:p>
    <w:bookmarkEnd w:id="21"/>
    <w:bookmarkEnd w:id="22"/>
    <w:bookmarkStart w:id="25" w:name="X217ef8b21ee5f5d43c75156094bead796d55408"/>
    <w:p>
      <w:pPr>
        <w:pStyle w:val="Heading3"/>
      </w:pPr>
      <w:r>
        <w:t xml:space="preserve">2.3 Hazard estimation and cumulative hazards (discrete time)</w:t>
      </w:r>
    </w:p>
    <w:p>
      <w:pPr>
        <w:pStyle w:val="FirstParagraph"/>
      </w:pPr>
      <w:r>
        <w:t xml:space="preserve">Let</w:t>
      </w:r>
      <w:r>
        <w:t xml:space="preserve"> </w:t>
      </w:r>
      <m:oMath>
        <m:r>
          <m:t>t</m:t>
        </m:r>
      </m:oMath>
      <w:r>
        <w:t xml:space="preserve"> </w:t>
      </w:r>
      <w:r>
        <w:t xml:space="preserve">denote event time since enrollment (e.g., weeks),</w:t>
      </w:r>
      <w:r>
        <w:t xml:space="preserve"> </w:t>
      </w:r>
      <m:oMath>
        <m:sSub>
          <m:e>
            <m:r>
              <m:t>D</m:t>
            </m:r>
          </m:e>
          <m:sub>
            <m:r>
              <m:t>d</m:t>
            </m:r>
          </m:sub>
        </m:sSub>
        <m:r>
          <m:rPr>
            <m:sty m:val="p"/>
          </m:rPr>
          <m:t>(</m:t>
        </m:r>
        <m:r>
          <m:t>t</m:t>
        </m:r>
        <m:r>
          <m:rPr>
            <m:sty m:val="p"/>
          </m:rPr>
          <m:t>)</m:t>
        </m:r>
      </m:oMath>
      <w:r>
        <w:t xml:space="preserve"> </w:t>
      </w:r>
      <w:r>
        <w:t xml:space="preserve">deaths during interval</w:t>
      </w:r>
      <w:r>
        <w:t xml:space="preserve"> </w:t>
      </w:r>
      <m:oMath>
        <m:r>
          <m:t>t</m:t>
        </m:r>
      </m:oMath>
      <w:r>
        <w:t xml:space="preserve"> </w:t>
      </w:r>
      <w:r>
        <w:t xml:space="preserve">in cohort</w:t>
      </w:r>
      <w:r>
        <w:t xml:space="preserve"> </w:t>
      </w:r>
      <m:oMath>
        <m:r>
          <m:t>d</m:t>
        </m:r>
      </m:oMath>
      <w:r>
        <w:t xml:space="preserve">, and</w:t>
      </w:r>
      <w:r>
        <w:t xml:space="preserve"> </w:t>
      </w:r>
      <m:oMath>
        <m:sSub>
          <m:e>
            <m:r>
              <m:t>N</m:t>
            </m:r>
          </m:e>
          <m:sub>
            <m:r>
              <m:t>d</m:t>
            </m:r>
          </m:sub>
        </m:sSub>
        <m:r>
          <m:rPr>
            <m:sty m:val="p"/>
          </m:rPr>
          <m:t>(</m:t>
        </m:r>
        <m:r>
          <m:t>t</m:t>
        </m:r>
        <m:r>
          <m:rPr>
            <m:sty m:val="p"/>
          </m:rPr>
          <m:t>)</m:t>
        </m:r>
      </m:oMath>
      <w:r>
        <w:t xml:space="preserve"> </w:t>
      </w:r>
      <w:r>
        <w:t xml:space="preserve">the number at risk at the start of interval</w:t>
      </w:r>
      <w:r>
        <w:t xml:space="preserve"> </w:t>
      </w:r>
      <m:oMath>
        <m:r>
          <m:t>t</m:t>
        </m:r>
      </m:oMath>
      <w:r>
        <w:t xml:space="preserve">. In discrete time, hazards are treated as piecewise-constant and can be computed from interval risk as</w:t>
      </w:r>
    </w:p>
    <w:p>
      <w:pPr>
        <w:pStyle w:val="BodyText"/>
      </w:pPr>
      <w:bookmarkStart w:id="23" w:name="eq:hazard-discrete"/>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ln</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r>
            <m:t>  </m:t>
          </m:r>
          <m:r>
            <m:rPr>
              <m:sty m:val="p"/>
            </m:rPr>
            <m:t>(</m:t>
          </m:r>
          <m:r>
            <m:t>1</m:t>
          </m:r>
          <m:r>
            <m:rPr>
              <m:sty m:val="p"/>
            </m:rPr>
            <m:t>)</m:t>
          </m:r>
        </m:oMath>
      </m:oMathPara>
      <w:bookmarkEnd w:id="23"/>
    </w:p>
    <w:p>
      <w:pPr>
        <w:pStyle w:val="FirstParagraph"/>
      </w:pPr>
      <w:r>
        <w:t xml:space="preserve">We work primarily in</w:t>
      </w:r>
      <w:r>
        <w:t xml:space="preserve"> </w:t>
      </w:r>
      <w:r>
        <w:rPr>
          <w:b/>
          <w:bCs/>
        </w:rPr>
        <w:t xml:space="preserve">cumulative-hazard space</w:t>
      </w:r>
      <w:r>
        <w:t xml:space="preserve">, accumulating observed hazards after an optional stabilization skip (see §2.7):</w:t>
      </w:r>
    </w:p>
    <w:p>
      <w:pPr>
        <w:pStyle w:val="BodyText"/>
      </w:pPr>
      <w:bookmarkStart w:id="24" w:name="eq:cumhazard-obser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t> </m:t>
          </m:r>
          <m:r>
            <m:rPr>
              <m:sty m:val="p"/>
            </m:rPr>
            <m:t>Δ</m:t>
          </m:r>
          <m:r>
            <m:t>t</m:t>
          </m:r>
          <m:r>
            <m:rPr>
              <m:sty m:val="p"/>
            </m:rPr>
            <m:t>,</m:t>
          </m:r>
          <m:r>
            <m:t>  </m:t>
          </m:r>
          <m:r>
            <m:rPr>
              <m:sty m:val="p"/>
            </m:rPr>
            <m:t>Δ</m:t>
          </m:r>
          <m:r>
            <m:t>t</m:t>
          </m:r>
          <m:r>
            <m:rPr>
              <m:sty m:val="p"/>
            </m:rPr>
            <m:t>=</m:t>
          </m:r>
          <m:r>
            <m:t>1</m:t>
          </m:r>
          <m:r>
            <m:rPr>
              <m:nor/>
              <m:sty m:val="p"/>
            </m:rPr>
            <m:t> (one time bin)</m:t>
          </m:r>
          <m:r>
            <m:rPr>
              <m:sty m:val="p"/>
            </m:rPr>
            <m:t>.</m:t>
          </m:r>
          <m:r>
            <m:t>  </m:t>
          </m:r>
          <m:r>
            <m:rPr>
              <m:sty m:val="p"/>
            </m:rPr>
            <m:t>(</m:t>
          </m:r>
          <m:r>
            <m:t>2</m:t>
          </m:r>
          <m:r>
            <m:rPr>
              <m:sty m:val="p"/>
            </m:rPr>
            <m:t>)</m:t>
          </m:r>
        </m:oMath>
      </m:oMathPara>
      <w:bookmarkEnd w:id="24"/>
    </w:p>
    <w:bookmarkEnd w:id="25"/>
    <w:bookmarkStart w:id="38" w:name="Xe033a348c5bd6b05b57c8d9f7299f5850ccd667"/>
    <w:p>
      <w:pPr>
        <w:pStyle w:val="Heading3"/>
      </w:pPr>
      <w:r>
        <w:t xml:space="preserve">2.4 Selection model: gamma frailty and the cumulative-hazard identity</w:t>
      </w:r>
    </w:p>
    <w:bookmarkStart w:id="27" w:name="X1613f91e2d32d239863b345c5f5c082f741e4a2"/>
    <w:p>
      <w:pPr>
        <w:pStyle w:val="Heading4"/>
      </w:pPr>
      <w:r>
        <w:t xml:space="preserve">2.4.1 Individual hazards with multiplicative frailty</w:t>
      </w:r>
    </w:p>
    <w:p>
      <w:pPr>
        <w:pStyle w:val="FirstParagraph"/>
      </w:pPr>
      <w:r>
        <w:t xml:space="preserve">Model individual hazards in cohort</w:t>
      </w:r>
      <w:r>
        <w:t xml:space="preserve"> </w:t>
      </w:r>
      <m:oMath>
        <m:r>
          <m:t>d</m:t>
        </m:r>
      </m:oMath>
      <w:r>
        <w:t xml:space="preserve"> </w:t>
      </w:r>
      <w:r>
        <w:t xml:space="preserve">as multiplicative frailty on top of a baseline hazard:</w:t>
      </w:r>
    </w:p>
    <w:p>
      <w:pPr>
        <w:pStyle w:val="BodyText"/>
      </w:pPr>
      <w:bookmarkStart w:id="26" w:name="eq:individual-hazard-frailty"/>
      <m:oMathPara>
        <m:oMathParaPr>
          <m:jc m:val="center"/>
        </m:oMathParaP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r>
            <m:t>  </m:t>
          </m:r>
          <m:r>
            <m:rPr>
              <m:sty m:val="p"/>
            </m:rPr>
            <m:t>(</m:t>
          </m:r>
          <m:r>
            <m:t>3</m:t>
          </m:r>
          <m:r>
            <m:rPr>
              <m:sty m:val="p"/>
            </m:rPr>
            <m:t>)</m:t>
          </m:r>
        </m:oMath>
      </m:oMathPara>
      <w:bookmarkEnd w:id="26"/>
    </w:p>
    <w:p>
      <w:pPr>
        <w:pStyle w:val="FirstParagraph"/>
      </w:pPr>
      <w:r>
        <w:t xml:space="preserve">Gamma frailty is used not as a claim of biological truth, but as a mathematically minimal and widely used model for unobserved heterogeneity whose Laplace transform yields a closed-form relationship between observed and baseline cumulative hazards</w:t>
      </w:r>
      <w:r>
        <w:rPr>
          <w:vertAlign w:val="superscript"/>
        </w:rPr>
        <w:t xml:space="preserve">3</w:t>
      </w:r>
      <w:r>
        <w:t xml:space="preserve">. In KCOR, gamma frailty therefore serves as a</w:t>
      </w:r>
      <w:r>
        <w:t xml:space="preserve"> </w:t>
      </w:r>
      <w:r>
        <w:rPr>
          <w:b/>
          <w:bCs/>
        </w:rPr>
        <w:t xml:space="preserve">geometric approximation for depletion normalization</w:t>
      </w:r>
      <w:r>
        <w:t xml:space="preserve">: its adequacy is treated as empirically testable and is assessed using prespecified negative controls and sensitivity analyses rather than assumed dogmatically.</w:t>
      </w:r>
    </w:p>
    <w:p>
      <w:pPr>
        <w:pStyle w:val="BodyText"/>
      </w:pPr>
      <w:r>
        <w:t xml:space="preserve">Frailty</w:t>
      </w:r>
      <w:r>
        <w:t xml:space="preserve"> </w:t>
      </w:r>
      <m:oMath>
        <m:sSub>
          <m:e>
            <m:r>
              <m:t>z</m:t>
            </m:r>
          </m:e>
          <m:sub>
            <m:r>
              <m:t>i</m:t>
            </m:r>
            <m:r>
              <m:rPr>
                <m:sty m:val="p"/>
              </m:rPr>
              <m:t>,</m:t>
            </m:r>
            <m:r>
              <m:t>d</m:t>
            </m:r>
          </m:sub>
        </m:sSub>
      </m:oMath>
      <w:r>
        <w:t xml:space="preserve"> </w:t>
      </w:r>
      <w:r>
        <w:t xml:space="preserve">captures latent heterogeneity in baseline risk and drives selective depletion: higher-frailty individuals die earlier, changing the cohort composition over time and inducing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even when</w:t>
      </w:r>
      <w:r>
        <w:t xml:space="preserve"> </w:t>
      </w:r>
      <m:oMath>
        <m:sSub>
          <m:e>
            <m:r>
              <m:t>h</m:t>
            </m:r>
          </m:e>
          <m:sub>
            <m:r>
              <m:t>0</m:t>
            </m:r>
            <m:r>
              <m:rPr>
                <m:sty m:val="p"/>
              </m:rPr>
              <m:t>,</m:t>
            </m:r>
            <m:r>
              <m:t>d</m:t>
            </m:r>
          </m:sub>
        </m:sSub>
        <m:r>
          <m:rPr>
            <m:sty m:val="p"/>
          </m:rPr>
          <m:t>(</m:t>
        </m:r>
        <m:r>
          <m:t>t</m:t>
        </m:r>
        <m:r>
          <m:rPr>
            <m:sty m:val="p"/>
          </m:rPr>
          <m:t>)</m:t>
        </m:r>
      </m:oMath>
      <w:r>
        <w:t xml:space="preserve"> </w:t>
      </w:r>
      <w:r>
        <w:t xml:space="preserve">is simple.</w:t>
      </w:r>
    </w:p>
    <w:bookmarkEnd w:id="27"/>
    <w:bookmarkStart w:id="35" w:name="gamma-frailty-identity-core-mathematics"/>
    <w:p>
      <w:pPr>
        <w:pStyle w:val="Heading4"/>
      </w:pPr>
      <w:r>
        <w:t xml:space="preserve">2.4.2 Gamma-frailty identity (core mathematics)</w:t>
      </w:r>
    </w:p>
    <w:p>
      <w:pPr>
        <w:pStyle w:val="FirstParagraph"/>
      </w:pPr>
      <w:r>
        <w:t xml:space="preserve">Let the baseline cumulative hazard be</w:t>
      </w:r>
    </w:p>
    <w:p>
      <w:pPr>
        <w:pStyle w:val="BodyText"/>
      </w:pPr>
      <w:bookmarkStart w:id="28" w:name="eq:baseline-cumhazard"/>
      <m:oMathPara>
        <m:oMathParaPr>
          <m:jc m:val="center"/>
        </m:oMathParaP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r>
            <m:rPr>
              <m:sty m:val="p"/>
            </m:rPr>
            <m:t>.</m:t>
          </m:r>
          <m:r>
            <m:t>  </m:t>
          </m:r>
          <m:r>
            <m:rPr>
              <m:sty m:val="p"/>
            </m:rPr>
            <m:t>(</m:t>
          </m:r>
          <m:r>
            <m:t>4</m:t>
          </m:r>
          <m:r>
            <m:rPr>
              <m:sty m:val="p"/>
            </m:rPr>
            <m:t>)</m:t>
          </m:r>
        </m:oMath>
      </m:oMathPara>
      <w:bookmarkEnd w:id="28"/>
    </w:p>
    <w:p>
      <w:pPr>
        <w:pStyle w:val="FirstParagraph"/>
      </w:pPr>
      <w:r>
        <w:t xml:space="preserve">Integrating over gamma frailty yields a closed-form relationship between the observed cohort cumulative hazard and the baseline cumulative hazard:</w:t>
      </w:r>
    </w:p>
    <w:p>
      <w:pPr>
        <w:pStyle w:val="BodyText"/>
      </w:pPr>
      <w:bookmarkStart w:id="29" w:name="eq:gamma-frailty-identity"/>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r>
            <m:t>  </m:t>
          </m:r>
          <m:r>
            <m:rPr>
              <m:sty m:val="p"/>
            </m:rPr>
            <m:t>(</m:t>
          </m:r>
          <m:r>
            <m:t>5</m:t>
          </m:r>
          <m:r>
            <m:rPr>
              <m:sty m:val="p"/>
            </m:rPr>
            <m:t>)</m:t>
          </m:r>
        </m:oMath>
      </m:oMathPara>
      <w:bookmarkEnd w:id="29"/>
    </w:p>
    <w:p>
      <w:pPr>
        <w:pStyle w:val="FirstParagraph"/>
      </w:pPr>
      <w:r>
        <w:t xml:space="preserve">This identity can be inverted exactly:</w:t>
      </w:r>
    </w:p>
    <w:p>
      <w:pPr>
        <w:pStyle w:val="BodyText"/>
      </w:pPr>
      <w:bookmarkStart w:id="30" w:name="eq:gamma-frailty-inversion"/>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sSup>
                <m:e>
                  <m:r>
                    <m:t>e</m:t>
                  </m:r>
                </m:e>
                <m:sup>
                  <m:sSub>
                    <m:e>
                      <m:r>
                        <m:t>θ</m:t>
                      </m:r>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r>
                    <m:t>θ</m:t>
                  </m:r>
                </m:e>
                <m:sub>
                  <m:r>
                    <m:t>d</m:t>
                  </m:r>
                </m:sub>
              </m:sSub>
            </m:den>
          </m:f>
          <m:r>
            <m:rPr>
              <m:sty m:val="p"/>
            </m:rPr>
            <m:t>.</m:t>
          </m:r>
          <m:r>
            <m:t>  </m:t>
          </m:r>
          <m:r>
            <m:rPr>
              <m:sty m:val="p"/>
            </m:rPr>
            <m:t>(</m:t>
          </m:r>
          <m:r>
            <m:t>6</m:t>
          </m:r>
          <m:r>
            <m:rPr>
              <m:sty m:val="p"/>
            </m:rPr>
            <m:t>)</m:t>
          </m:r>
        </m:oMath>
      </m:oMathPara>
      <w:bookmarkEnd w:id="30"/>
    </w:p>
    <w:p>
      <w:pPr>
        <w:pStyle w:val="FirstParagraph"/>
      </w:pPr>
      <w:r>
        <w:t xml:space="preserve">This inversion is the</w:t>
      </w:r>
      <w:r>
        <w:t xml:space="preserve"> </w:t>
      </w:r>
      <w:r>
        <w:rPr>
          <w:b/>
          <w:bCs/>
        </w:rPr>
        <w:t xml:space="preserve">KCOR v6 normalization step</w:t>
      </w:r>
      <w:r>
        <w:t xml:space="preserve">: it transforms the observed cumulative hazard into a depletion-neutralized baseline cumulative hazard for each cohort.</w:t>
      </w:r>
    </w:p>
    <w:bookmarkStart w:id="34" w:name="fig:kcor_v6_schematic"/>
    <w:p>
      <w:pPr>
        <w:pStyle w:val="CaptionedFigure"/>
      </w:pPr>
      <w:r>
        <w:drawing>
          <wp:inline>
            <wp:extent cx="5334000" cy="1417316"/>
            <wp:effectExtent b="0" l="0" r="0" t="0"/>
            <wp:docPr descr="Figure 1: Three-panel schematic illustrating the KCOR v6 normalization logic. Left: individual hazards differ only by multiplicative frailty z, with no treatment effect. Middle: aggregation over heterogeneous frailty induces cohort-level curvature in observed cumulative hazards H^{\mathrm{obs}}(t) despite identical baseline hazards. Right: inversion of the gamma-frailty identity recovers aligned baseline cumulative hazards H_0(t), demonstrating depletion-neutralization. This figure is schematic and intended for conceptual illustration; it does not represent empirical data." title="" id="32" name="Picture"/>
            <a:graphic>
              <a:graphicData uri="http://schemas.openxmlformats.org/drawingml/2006/picture">
                <pic:pic>
                  <pic:nvPicPr>
                    <pic:cNvPr descr="figures/fig1_kcor_v6_schematic.png" id="33" name="Picture"/>
                    <pic:cNvPicPr>
                      <a:picLocks noChangeArrowheads="1" noChangeAspect="1"/>
                    </pic:cNvPicPr>
                  </pic:nvPicPr>
                  <pic:blipFill>
                    <a:blip r:embed="rId31"/>
                    <a:stretch>
                      <a:fillRect/>
                    </a:stretch>
                  </pic:blipFill>
                  <pic:spPr bwMode="auto">
                    <a:xfrm>
                      <a:off x="0" y="0"/>
                      <a:ext cx="5334000" cy="1417316"/>
                    </a:xfrm>
                    <a:prstGeom prst="rect">
                      <a:avLst/>
                    </a:prstGeom>
                    <a:noFill/>
                    <a:ln w="9525">
                      <a:noFill/>
                      <a:headEnd/>
                      <a:tailEnd/>
                    </a:ln>
                  </pic:spPr>
                </pic:pic>
              </a:graphicData>
            </a:graphic>
          </wp:inline>
        </w:drawing>
      </w:r>
    </w:p>
    <w:p>
      <w:pPr>
        <w:pStyle w:val="ImageCaption"/>
      </w:pPr>
      <w:r>
        <w:t xml:space="preserve">Figure 1: Three-panel schematic illustrating the KCOR v6 normalization logic. Left: individual hazards differ only by multiplicative frailty</w:t>
      </w:r>
      <w:r>
        <w:t xml:space="preserve"> </w:t>
      </w:r>
      <m:oMath>
        <m:r>
          <m:t>z</m:t>
        </m:r>
      </m:oMath>
      <w:r>
        <w:t xml:space="preserve">, with no treatment effect. Middle: aggregation over heterogeneous frailty induces cohort-level curvature in observed cumulative hazards</w:t>
      </w:r>
      <w:r>
        <w:t xml:space="preserve"> </w:t>
      </w:r>
      <m:oMath>
        <m:sSup>
          <m:e>
            <m:r>
              <m:t>H</m:t>
            </m:r>
          </m:e>
          <m:sup>
            <m:r>
              <m:rPr>
                <m:sty m:val="p"/>
              </m:rPr>
              <m:t>o</m:t>
            </m:r>
            <m:r>
              <m:rPr>
                <m:sty m:val="p"/>
              </m:rPr>
              <m:t>b</m:t>
            </m:r>
            <m:r>
              <m:rPr>
                <m:sty m:val="p"/>
              </m:rPr>
              <m:t>s</m:t>
            </m:r>
          </m:sup>
        </m:sSup>
        <m:r>
          <m:rPr>
            <m:sty m:val="p"/>
          </m:rPr>
          <m:t>(</m:t>
        </m:r>
        <m:r>
          <m:t>t</m:t>
        </m:r>
        <m:r>
          <m:rPr>
            <m:sty m:val="p"/>
          </m:rPr>
          <m:t>)</m:t>
        </m:r>
      </m:oMath>
      <w:r>
        <w:t xml:space="preserve"> </w:t>
      </w:r>
      <w:r>
        <w:t xml:space="preserve">despite identical baseline hazards. Right: inversion of the gamma-frailty identity recovers aligned baseline cumulative hazards</w:t>
      </w:r>
      <w:r>
        <w:t xml:space="preserve"> </w:t>
      </w:r>
      <m:oMath>
        <m:sSub>
          <m:e>
            <m:r>
              <m:t>H</m:t>
            </m:r>
          </m:e>
          <m:sub>
            <m:r>
              <m:t>0</m:t>
            </m:r>
          </m:sub>
        </m:sSub>
        <m:r>
          <m:rPr>
            <m:sty m:val="p"/>
          </m:rPr>
          <m:t>(</m:t>
        </m:r>
        <m:r>
          <m:t>t</m:t>
        </m:r>
        <m:r>
          <m:rPr>
            <m:sty m:val="p"/>
          </m:rPr>
          <m:t>)</m:t>
        </m:r>
      </m:oMath>
      <w:r>
        <w:t xml:space="preserve">, demonstrating depletion-neutralization. This figure is schematic and intended for conceptual illustration; it does not represent empirical data.</w:t>
      </w:r>
    </w:p>
    <w:bookmarkEnd w:id="34"/>
    <w:bookmarkEnd w:id="35"/>
    <w:bookmarkStart w:id="37" w:name="baseline-shape-for-fitting-default"/>
    <w:p>
      <w:pPr>
        <w:pStyle w:val="Heading4"/>
      </w:pPr>
      <w:r>
        <w:t xml:space="preserve">2.4.3 Baseline shape for fitting (default)</w:t>
      </w:r>
    </w:p>
    <w:p>
      <w:pPr>
        <w:pStyle w:val="FirstParagraph"/>
      </w:pPr>
      <w:r>
        <w:t xml:space="preserve">To identify</w:t>
      </w:r>
      <w:r>
        <w:t xml:space="preserve"> </w:t>
      </w:r>
      <m:oMath>
        <m:sSub>
          <m:e>
            <m:r>
              <m:t>θ</m:t>
            </m:r>
          </m:e>
          <m:sub>
            <m:r>
              <m:t>d</m:t>
            </m:r>
          </m:sub>
        </m:sSub>
      </m:oMath>
      <w:r>
        <w:t xml:space="preserve"> </w:t>
      </w:r>
      <w:r>
        <w:t xml:space="preserve">from data, KCOR fits the gamma-frailty model during epidemiologically quiet periods. In the reference specification, the baseline time-shape is taken to be constant over the fit window:</w:t>
      </w:r>
    </w:p>
    <w:p>
      <w:pPr>
        <w:pStyle w:val="BodyText"/>
      </w:pPr>
      <w:bookmarkStart w:id="36" w:name="eq:baseline-shape-default"/>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g</m:t>
          </m:r>
          <m:r>
            <m:rPr>
              <m:sty m:val="p"/>
            </m:rPr>
            <m:t>(</m:t>
          </m:r>
          <m:r>
            <m:t>t</m:t>
          </m:r>
          <m:r>
            <m:rPr>
              <m:sty m:val="p"/>
            </m:rPr>
            <m:t>)</m:t>
          </m:r>
          <m:r>
            <m:rPr>
              <m:sty m:val="p"/>
            </m:rPr>
            <m:t>,</m:t>
          </m:r>
          <m:r>
            <m:t>  </m:t>
          </m:r>
          <m:r>
            <m:t>g</m:t>
          </m:r>
          <m:r>
            <m:rPr>
              <m:sty m:val="p"/>
            </m:rPr>
            <m:t>(</m:t>
          </m:r>
          <m:r>
            <m:t>t</m:t>
          </m:r>
          <m:r>
            <m:rPr>
              <m:sty m:val="p"/>
            </m:rPr>
            <m:t>)</m:t>
          </m:r>
          <m:r>
            <m:rPr>
              <m:sty m:val="p"/>
            </m:rPr>
            <m:t>=</m:t>
          </m:r>
          <m:r>
            <m:t>1</m:t>
          </m:r>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t</m:t>
          </m:r>
          <m:r>
            <m:rPr>
              <m:sty m:val="p"/>
            </m:rPr>
            <m:t>.</m:t>
          </m:r>
          <m:r>
            <m:t>  </m:t>
          </m:r>
          <m:r>
            <m:rPr>
              <m:sty m:val="p"/>
            </m:rPr>
            <m:t>(</m:t>
          </m:r>
          <m:r>
            <m:t>7</m:t>
          </m:r>
          <m:r>
            <m:rPr>
              <m:sty m:val="p"/>
            </m:rPr>
            <m:t>)</m:t>
          </m:r>
        </m:oMath>
      </m:oMathPara>
      <w:bookmarkEnd w:id="36"/>
    </w:p>
    <w:p>
      <w:pPr>
        <w:pStyle w:val="FirstParagraph"/>
      </w:pPr>
      <w:r>
        <w:t xml:space="preserve">This choice minimizes degrees of freedom and forces curvature during quiet periods to be explained by selection (frailty) rather than by an explicit time-varying baseline.</w:t>
      </w:r>
    </w:p>
    <w:bookmarkEnd w:id="37"/>
    <w:bookmarkEnd w:id="38"/>
    <w:bookmarkStart w:id="43"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p>
      <w:pPr>
        <w:pStyle w:val="BodyText"/>
      </w:pPr>
      <w:bookmarkStart w:id="39" w:name="eq:hobs-model"/>
      <m:oMathPara>
        <m:oMathParaPr>
          <m:jc m:val="center"/>
        </m:oMathParaP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r>
            <m:t>  </m:t>
          </m:r>
          <m:r>
            <m:rPr>
              <m:sty m:val="p"/>
            </m:rPr>
            <m:t>(</m:t>
          </m:r>
          <m:r>
            <m:t>8</m:t>
          </m:r>
          <m:r>
            <m:rPr>
              <m:sty m:val="p"/>
            </m:rPr>
            <m:t>)</m:t>
          </m:r>
        </m:oMath>
      </m:oMathPara>
      <w:bookmarkEnd w:id="39"/>
    </w:p>
    <w:p>
      <w:pPr>
        <w:pStyle w:val="FirstParagraph"/>
      </w:pPr>
      <w:r>
        <w:t xml:space="preserve">Identifiability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comes from curvature in cumulative-hazard space: the mapping</w:t>
      </w:r>
      <w:r>
        <w:t xml:space="preserve"> </w:t>
      </w:r>
      <m:oMath>
        <m:r>
          <m:t>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nonlinear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naturally drives</w:t>
      </w:r>
      <w:r>
        <w:t xml:space="preserve"> </w:t>
      </w:r>
      <m:oMath>
        <m:sSub>
          <m:e>
            <m:acc>
              <m:accPr>
                <m:chr m:val="̂"/>
              </m:accPr>
              <m:e>
                <m:r>
                  <m:t>θ</m:t>
                </m:r>
              </m:e>
            </m:acc>
          </m:e>
          <m:sub>
            <m:r>
              <m:t>d</m:t>
            </m:r>
          </m:sub>
        </m:sSub>
        <m:r>
          <m:rPr>
            <m:sty m:val="p"/>
          </m:rPr>
          <m:t>≈</m:t>
        </m:r>
        <m:r>
          <m:t>0</m:t>
        </m:r>
      </m:oMath>
      <w:r>
        <w:t xml:space="preserve">;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w:t>
      </w:r>
      <w:r>
        <w:t xml:space="preserve"> </w:t>
      </w:r>
      <m:oMath>
        <m:acc>
          <m:accPr>
            <m:chr m:val="̂"/>
          </m:accPr>
          <m:e>
            <m:r>
              <m:t>θ</m:t>
            </m:r>
          </m:e>
        </m:acc>
        <m:r>
          <m:rPr>
            <m:sty m:val="p"/>
          </m:rPr>
          <m:t>→</m:t>
        </m:r>
        <m:r>
          <m:t>0</m:t>
        </m:r>
      </m:oMath>
      <w:r>
        <w:t xml:space="preserve">, providing an internal diagnostic for non-identifiability over short or sparse follow-up.</w:t>
      </w:r>
    </w:p>
    <w:p>
      <w:pPr>
        <w:pStyle w:val="BodyText"/>
      </w:pPr>
      <w:r>
        <w:t xml:space="preserve">In applied analyses, this behavior is most commonly observed in vaccinated cohorts, whose cumulative hazards during quiet periods are often close to linear. In such cases, the gamma-frailty fit collapses naturally to</w:t>
      </w:r>
      <w:r>
        <w:t xml:space="preserve"> </w:t>
      </w:r>
      <m:oMath>
        <m:sSub>
          <m:e>
            <m:acc>
              <m:accPr>
                <m:chr m:val="̂"/>
              </m:accPr>
              <m:e>
                <m:r>
                  <m:t>θ</m:t>
                </m:r>
              </m:e>
            </m:acc>
          </m:e>
          <m:sub>
            <m:r>
              <m:t>d</m:t>
            </m:r>
          </m:sub>
        </m:sSub>
        <m:r>
          <m:rPr>
            <m:sty m:val="p"/>
          </m:rPr>
          <m:t>≈</m:t>
        </m:r>
        <m:r>
          <m:t>0</m:t>
        </m:r>
      </m:oMath>
      <w:r>
        <w:t xml:space="preserve">, indicating minimal detectable depletion. This outcome is data-driven and reflects the absence of observable selection-induced curvature rather than a modeling assumption. When residual time-varying risk contaminates a nominally quiet window,</w:t>
      </w:r>
      <w:r>
        <w:t xml:space="preserve"> </w:t>
      </w:r>
      <m:oMath>
        <m:acc>
          <m:accPr>
            <m:chr m:val="̂"/>
          </m:accPr>
          <m:e>
            <m:r>
              <m:t>θ</m:t>
            </m:r>
          </m:e>
        </m:acc>
      </m:oMath>
      <w:r>
        <w:t xml:space="preserve"> </w:t>
      </w:r>
      <w:r>
        <w:t xml:space="preserve">estimates naturally shrink toward zero, signaling limited identifiability rather than inducing spurious correction.</w:t>
      </w:r>
    </w:p>
    <w:p>
      <w:pPr>
        <w:pStyle w:val="BodyText"/>
      </w:pPr>
      <w:r>
        <w:t xml:space="preserve">Parameters are estimated by constrained nonlinear least squares:</w:t>
      </w:r>
    </w:p>
    <w:p>
      <w:pPr>
        <w:pStyle w:val="BodyText"/>
      </w:pPr>
      <w:bookmarkStart w:id="40" w:name="eq:nls-objective"/>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limLow>
            <m:e>
              <m:r>
                <m:rPr>
                  <m:sty m:val="p"/>
                </m:rPr>
                <m:t>min</m:t>
              </m:r>
            </m:e>
            <m:lim>
              <m:sSub>
                <m:e>
                  <m:r>
                    <m:t>k</m:t>
                  </m:r>
                </m:e>
                <m:sub>
                  <m:r>
                    <m:t>d</m:t>
                  </m:r>
                </m:sub>
              </m:sSub>
              <m:r>
                <m:rPr>
                  <m:sty m:val="p"/>
                </m:rPr>
                <m:t>&gt;</m:t>
              </m:r>
              <m:r>
                <m:t>0</m:t>
              </m:r>
              <m:r>
                <m:rPr>
                  <m:sty m:val="p"/>
                </m:rPr>
                <m:t>,</m:t>
              </m:r>
              <m:r>
                <m:t> </m:t>
              </m:r>
              <m:sSub>
                <m:e>
                  <m:r>
                    <m:t>θ</m:t>
                  </m:r>
                </m:e>
                <m:sub>
                  <m:r>
                    <m:t>d</m:t>
                  </m:r>
                </m:sub>
              </m:sSub>
              <m:r>
                <m:rPr>
                  <m:sty m:val="p"/>
                </m:rPr>
                <m:t>≥</m:t>
              </m:r>
              <m:r>
                <m:t>0</m:t>
              </m:r>
            </m:lim>
          </m:limLow>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r>
            <m:t>  </m:t>
          </m:r>
          <m:r>
            <m:rPr>
              <m:sty m:val="p"/>
            </m:rPr>
            <m:t>(</m:t>
          </m:r>
          <m:r>
            <m:t>9</m:t>
          </m:r>
          <m:r>
            <m:rPr>
              <m:sty m:val="p"/>
            </m:rPr>
            <m:t>)</m:t>
          </m:r>
        </m:oMath>
      </m:oMathPara>
      <w:bookmarkEnd w:id="40"/>
    </w:p>
    <w:p>
      <w:pPr>
        <w:pStyle w:val="FirstParagraph"/>
      </w:pPr>
      <w:r>
        <w:t xml:space="preserve">We fit in cumulative-hazard space rather than maximizing a likelihood because the primary inputs are discrete-time, cohort-aggregated hazards and the objective is stable estimation of selection-induced depletion curvature during quiet periods. Least squares on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42"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v6 defaults are:</w:t>
      </w:r>
    </w:p>
    <w:p>
      <w:pPr>
        <w:pStyle w:val="Compact"/>
        <w:numPr>
          <w:ilvl w:val="0"/>
          <w:numId w:val="1007"/>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07"/>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07"/>
        </w:numPr>
      </w:pPr>
      <w:r>
        <w:rPr>
          <w:b/>
          <w:bCs/>
        </w:rPr>
        <w:t xml:space="preserve">Observed hazard transform used to build</w:t>
      </w:r>
      <w:r>
        <w:rPr>
          <w:b/>
          <w:bCs/>
        </w:rPr>
        <w:t xml:space="preserve"> </w:t>
      </w:r>
      <m:oMath>
        <m:sSubSup>
          <m:e>
            <m:r>
              <m:t>H</m:t>
            </m:r>
          </m:e>
          <m:sub>
            <m:r>
              <m:t>d</m:t>
            </m:r>
          </m:sub>
          <m:sup>
            <m:r>
              <m:rPr>
                <m:sty m:val="p"/>
              </m:rPr>
              <m:t>o</m:t>
            </m:r>
            <m:r>
              <m:rPr>
                <m:sty m:val="p"/>
              </m:rPr>
              <m:t>b</m:t>
            </m:r>
            <m:r>
              <m:rPr>
                <m:sty m:val="p"/>
              </m:rPr>
              <m:t>s</m:t>
            </m:r>
          </m:sup>
        </m:sSubSup>
      </m:oMath>
      <w:r>
        <w:rPr>
          <w:b/>
          <w:bCs/>
        </w:rPr>
        <w:t xml:space="preserve"> </w:t>
      </w:r>
      <w:r>
        <w:rPr>
          <w:b/>
          <w:bCs/>
        </w:rPr>
        <w:t xml:space="preserve">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p>
      <w:pPr>
        <w:pStyle w:val="FirstParagraph"/>
      </w:pPr>
      <w:bookmarkStart w:id="41" w:name="eq:hazard-from-mr-impro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r>
            <m:t>  </m:t>
          </m:r>
          <m:r>
            <m:rPr>
              <m:sty m:val="p"/>
            </m:rPr>
            <m:t>(</m:t>
          </m:r>
          <m:r>
            <m:t>10</m:t>
          </m:r>
          <m:r>
            <m:rPr>
              <m:sty m:val="p"/>
            </m:rPr>
            <m:t>)</m:t>
          </m:r>
        </m:oMath>
      </m:oMathPara>
      <w:bookmarkEnd w:id="41"/>
    </w:p>
    <w:p>
      <w:pPr>
        <w:pStyle w:val="FirstParagraph"/>
      </w:pPr>
      <w:r>
        <w:t xml:space="preserve">This form provides a second-order accurate approximation to the continuous-time hazard while remaining numerically stable for small mortality-rate (MR) values.</w:t>
      </w:r>
    </w:p>
    <w:p>
      <w:pPr>
        <w:pStyle w:val="Compact"/>
        <w:numPr>
          <w:ilvl w:val="0"/>
          <w:numId w:val="1008"/>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08"/>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42"/>
    <w:bookmarkEnd w:id="43"/>
    <w:bookmarkStart w:id="46"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p>
      <w:pPr>
        <w:pStyle w:val="BodyText"/>
      </w:pPr>
      <w:bookmarkStart w:id="44" w:name="eq:normalized-cumhazard"/>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r>
            <m:rPr>
              <m:sty m:val="p"/>
            </m:rPr>
            <m:t>.</m:t>
          </m:r>
          <m:r>
            <m:t>  </m:t>
          </m:r>
          <m:r>
            <m:rPr>
              <m:sty m:val="p"/>
            </m:rPr>
            <m:t>(</m:t>
          </m:r>
          <m:r>
            <m:t>11</m:t>
          </m:r>
          <m:r>
            <m:rPr>
              <m:sty m:val="p"/>
            </m:rPr>
            <m:t>)</m:t>
          </m:r>
        </m:oMath>
      </m:oMathPara>
      <w:bookmarkEnd w:id="44"/>
    </w:p>
    <w:p>
      <w:pPr>
        <w:pStyle w:val="FirstParagraph"/>
      </w:pPr>
      <w:r>
        <w:t xml:space="preserve">This normalization maps each cohort into a depletion-neutralized baseline-hazard space in which the contribution of gamma frailty parameters</w:t>
      </w:r>
      <w:r>
        <w:t xml:space="preserve"> </w:t>
      </w:r>
      <m:oMath>
        <m:r>
          <m:rPr>
            <m:sty m:val="p"/>
          </m:rPr>
          <m:t>(</m:t>
        </m:r>
        <m:sSub>
          <m:e>
            <m:r>
              <m:t>θ</m:t>
            </m:r>
          </m:e>
          <m:sub>
            <m:r>
              <m:t>d</m:t>
            </m:r>
          </m:sub>
        </m:sSub>
        <m:r>
          <m:rPr>
            <m:sty m:val="p"/>
          </m:rPr>
          <m:t>,</m:t>
        </m:r>
        <m:sSub>
          <m:e>
            <m:r>
              <m:t>k</m:t>
            </m:r>
          </m:e>
          <m:sub>
            <m:r>
              <m:t>d</m:t>
            </m:r>
          </m:sub>
        </m:sSub>
        <m:r>
          <m:rPr>
            <m:sty m:val="p"/>
          </m:rPr>
          <m:t>)</m:t>
        </m:r>
      </m:oMath>
      <w:r>
        <w:t xml:space="preserve"> </w:t>
      </w:r>
      <w:r>
        <w:t xml:space="preserve">to hazard curvature has been factored out.</w:t>
      </w:r>
      <w:r>
        <w:t xml:space="preserve"> </w:t>
      </w:r>
      <w:r>
        <w:rPr>
          <w:i/>
          <w:iCs/>
        </w:rPr>
        <w:t xml:space="preserve">(Conceptually, this places all cohorts into an equivalent θ-factored comparison space.)</w:t>
      </w:r>
      <w:r>
        <w:t xml:space="preserve"> </w:t>
      </w:r>
      <w:r>
        <w:t xml:space="preserve">In this space, cumulative hazards are directly comparable across cohorts, and remaining differences reflect real differences in baseline risk rather than selection-induced depletion.</w:t>
      </w:r>
    </w:p>
    <w:p>
      <w:pPr>
        <w:pStyle w:val="BodyText"/>
      </w:pPr>
      <w:r>
        <w:t xml:space="preserve">When</w:t>
      </w:r>
      <w:r>
        <w:t xml:space="preserve"> </w:t>
      </w:r>
      <m:oMath>
        <m:sSub>
          <m:e>
            <m:acc>
              <m:accPr>
                <m:chr m:val="̂"/>
              </m:accPr>
              <m:e>
                <m:r>
                  <m:t>θ</m:t>
                </m:r>
              </m:e>
            </m:acc>
          </m:e>
          <m:sub>
            <m:r>
              <m:t>d</m:t>
            </m:r>
          </m:sub>
        </m:sSub>
        <m:r>
          <m:rPr>
            <m:sty m:val="p"/>
          </m:rPr>
          <m:t>≈</m:t>
        </m:r>
        <m:r>
          <m:t>0</m:t>
        </m:r>
      </m:oMath>
      <w:r>
        <w:t xml:space="preserve">, this mapping leaves the observed cumulative hazard essentially unchanged, whereas cohorts with substantial depletion undergo a pronounced upward correction.</w:t>
      </w:r>
    </w:p>
    <w:p>
      <w:pPr>
        <w:pStyle w:val="BodyText"/>
      </w:pPr>
      <w:r>
        <w:t xml:space="preserve">An adjusted hazard may be recovered by differencing:</w:t>
      </w:r>
    </w:p>
    <w:p>
      <w:pPr>
        <w:pStyle w:val="BodyText"/>
      </w:pPr>
      <w:bookmarkStart w:id="45" w:name="eq:normalized-hazard-diff"/>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r>
            <m:t>  </m:t>
          </m:r>
          <m:r>
            <m:rPr>
              <m:sty m:val="p"/>
            </m:rPr>
            <m:t>(</m:t>
          </m:r>
          <m:r>
            <m:t>12</m:t>
          </m:r>
          <m:r>
            <m:rPr>
              <m:sty m:val="p"/>
            </m:rPr>
            <m:t>)</m:t>
          </m:r>
        </m:oMath>
      </m:oMathPara>
      <w:bookmarkEnd w:id="45"/>
    </w:p>
    <w:p>
      <w:pPr>
        <w:pStyle w:val="FirstParagraph"/>
      </w:pPr>
      <w:r>
        <w:t xml:space="preserve">The key object for KCOR is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differenced hazards are optional diagnostics.</w:t>
      </w:r>
    </w:p>
    <w:bookmarkEnd w:id="46"/>
    <w:bookmarkStart w:id="48"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p>
      <w:pPr>
        <w:pStyle w:val="BodyText"/>
      </w:pPr>
      <w:bookmarkStart w:id="47" w:name="eq:effective-hazard-skip"/>
      <m:oMathPara>
        <m:oMathParaPr>
          <m:jc m:val="center"/>
        </m:oMathParaP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r>
            <m:t>  </m:t>
          </m:r>
          <m:r>
            <m:rPr>
              <m:sty m:val="p"/>
            </m:rPr>
            <m:t>(</m:t>
          </m:r>
          <m:r>
            <m:t>13</m:t>
          </m:r>
          <m:r>
            <m:rPr>
              <m:sty m:val="p"/>
            </m:rPr>
            <m:t>)</m:t>
          </m:r>
        </m:oMath>
      </m:oMathPara>
      <w:bookmarkEnd w:id="47"/>
    </w:p>
    <w:p>
      <w:pPr>
        <w:pStyle w:val="FirstParagraph"/>
      </w:pPr>
      <w:r>
        <w:t xml:space="preserve">Then compute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bookmarkEnd w:id="48"/>
    <w:bookmarkStart w:id="50" w:name="kcor-estimator-v6"/>
    <w:p>
      <w:pPr>
        <w:pStyle w:val="Heading3"/>
      </w:pPr>
      <w:r>
        <w:t xml:space="preserve">2.8 KCOR estimator (v6)</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p>
      <w:pPr>
        <w:pStyle w:val="BodyText"/>
      </w:pPr>
      <w:bookmarkStart w:id="49" w:name="eq:kcor-estimato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r>
            <m:t>  </m:t>
          </m:r>
          <m:r>
            <m:rPr>
              <m:sty m:val="p"/>
            </m:rPr>
            <m:t>(</m:t>
          </m:r>
          <m:r>
            <m:t>14</m:t>
          </m:r>
          <m:r>
            <m:rPr>
              <m:sty m:val="p"/>
            </m:rPr>
            <m:t>)</m:t>
          </m:r>
        </m:oMath>
      </m:oMathPara>
      <w:bookmarkEnd w:id="49"/>
    </w:p>
    <w:p>
      <w:pPr>
        <w:pStyle w:val="FirstParagraph"/>
      </w:pPr>
      <w:r>
        <w:t xml:space="preserve">This is a cumulative comparison in hazard space after removing cohort-specific selection-induced depletion dynamics estimated during quiet periods.</w:t>
      </w:r>
    </w:p>
    <w:bookmarkEnd w:id="50"/>
    <w:bookmarkStart w:id="51" w:name="uncertainty-quantification"/>
    <w:p>
      <w:pPr>
        <w:pStyle w:val="Heading3"/>
      </w:pPr>
      <w:r>
        <w:t xml:space="preserve">2.9 Uncertainty quantification</w:t>
      </w:r>
    </w:p>
    <w:p>
      <w:pPr>
        <w:pStyle w:val="FirstParagraph"/>
      </w:pPr>
      <w:r>
        <w:t xml:space="preserve">KCOR can be equipped with uncertainty intervals via:</w:t>
      </w:r>
    </w:p>
    <w:p>
      <w:pPr>
        <w:pStyle w:val="Compact"/>
        <w:numPr>
          <w:ilvl w:val="0"/>
          <w:numId w:val="1009"/>
        </w:numPr>
      </w:pPr>
      <w:r>
        <w:rPr>
          <w:b/>
          <w:bCs/>
        </w:rPr>
        <w:t xml:space="preserve">Analytic variance propagation</w:t>
      </w:r>
      <w:r>
        <w:t xml:space="preserve"> </w:t>
      </w:r>
      <w:r>
        <w:t xml:space="preserve">for cumulative hazards combined with delta-method approximations for the ratio, and/or</w:t>
      </w:r>
    </w:p>
    <w:p>
      <w:pPr>
        <w:pStyle w:val="Compact"/>
        <w:numPr>
          <w:ilvl w:val="0"/>
          <w:numId w:val="1009"/>
        </w:numPr>
      </w:pPr>
      <w:r>
        <w:rPr>
          <w:b/>
          <w:bCs/>
        </w:rPr>
        <w:t xml:space="preserve">Monte Carlo resampling</w:t>
      </w:r>
      <w:r>
        <w:t xml:space="preserve"> </w:t>
      </w:r>
      <w:r>
        <w:t xml:space="preserve">to capture uncertainty from event realization and from estimation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and the resulting normalization.</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51"/>
    <w:bookmarkStart w:id="57" w:name="Xf552aaad3b83b889e2d08c64d65c17176bae771"/>
    <w:p>
      <w:pPr>
        <w:pStyle w:val="Heading3"/>
      </w:pPr>
      <w:r>
        <w:t xml:space="preserve">2.10 Algorithm summary and reproducibility checklist</w:t>
      </w:r>
    </w:p>
    <w:bookmarkStart w:id="52" w:name="tbl:KCOR_algorithm"/>
    <w:p>
      <w:pPr>
        <w:pStyle w:val="TableCaption"/>
      </w:pPr>
      <w:r>
        <w:t xml:space="preserve">Table 3: Step-by-step KCOR v6 algorithm (high-level), with recommended prespecification and diagnostics.</w:t>
      </w:r>
    </w:p>
    <w:tbl>
      <w:tblPr>
        <w:tblStyle w:val="Table"/>
        <w:tblW w:type="pct" w:w="5000"/>
        <w:tblLayout w:type="fixed"/>
        <w:tblLook w:firstRow="1" w:lastRow="0" w:firstColumn="0" w:lastColumn="0" w:noHBand="0" w:noVBand="0" w:val="0020"/>
        <w:tblCaption w:val="Table 3: Step-by-step KCOR v6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hazards</w:t>
            </w:r>
          </w:p>
        </w:tc>
        <w:tc>
          <w:tcPr/>
          <w:p>
            <w:pPr>
              <w:pStyle w:val="Compact"/>
            </w:pPr>
            <w:r>
              <w:t xml:space="preserve">Yes (skip rule)</w:t>
            </w:r>
          </w:p>
        </w:tc>
        <w:tc>
          <w:tcPr/>
          <w:p>
            <w:pPr>
              <w:pStyle w:val="Compact"/>
            </w:pPr>
            <w:r>
              <w:t xml:space="preserve">Plot</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via cumulative-hazard least squares</w:t>
            </w:r>
          </w:p>
        </w:tc>
        <w:tc>
          <w:tcPr/>
          <w:p>
            <w:pPr>
              <w:pStyle w:val="Compact"/>
            </w:pPr>
            <m:oMath>
              <m:sSub>
                <m:e>
                  <m:acc>
                    <m:accPr>
                      <m:chr m:val="̂"/>
                    </m:accPr>
                    <m:e>
                      <m:r>
                        <m:t>k</m:t>
                      </m:r>
                    </m:e>
                  </m:acc>
                </m:e>
                <m:sub>
                  <m:r>
                    <m:t>d</m:t>
                  </m:r>
                </m:sub>
              </m:sSub>
              <m:r>
                <m:rPr>
                  <m:sty m:val="p"/>
                </m:rPr>
                <m:t>,</m:t>
              </m:r>
              <m:sSub>
                <m:e>
                  <m:acc>
                    <m:accPr>
                      <m:chr m:val="̂"/>
                    </m:accPr>
                    <m:e>
                      <m:r>
                        <m:t>θ</m:t>
                      </m:r>
                    </m:e>
                  </m:acc>
                </m:e>
                <m:sub>
                  <m:r>
                    <m:t>d</m:t>
                  </m:r>
                </m:sub>
              </m:sSub>
            </m:oMath>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w:t>
            </w:r>
            <w:r>
              <w:t xml:space="preserve"> </w:t>
            </w:r>
            <m:oMath>
              <m:sSub>
                <m:e>
                  <m:acc>
                    <m:accPr>
                      <m:chr m:val="̃"/>
                    </m:accPr>
                    <m:e>
                      <m:r>
                        <m:t>H</m:t>
                      </m:r>
                    </m:e>
                  </m:acc>
                </m:e>
                <m:sub>
                  <m:r>
                    <m:t>0</m:t>
                  </m:r>
                  <m:r>
                    <m:rPr>
                      <m:sty m:val="p"/>
                    </m:rPr>
                    <m:t>,</m:t>
                  </m:r>
                  <m:r>
                    <m:t>d</m:t>
                  </m:r>
                </m:sub>
              </m:sSub>
              <m:r>
                <m:rPr>
                  <m:sty m:val="p"/>
                </m:rPr>
                <m:t>(</m:t>
              </m:r>
              <m:r>
                <m:t>t</m:t>
              </m:r>
              <m:r>
                <m:rPr>
                  <m:sty m:val="p"/>
                </m:rPr>
                <m:t>)</m:t>
              </m:r>
            </m:oMath>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KCOR</w:t>
            </w:r>
            <m:oMath>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52"/>
    <w:p>
      <w:r>
        <w:pict>
          <v:rect style="width:0;height:1.5pt" o:hralign="center" o:hrstd="t" o:hr="t"/>
        </w:pict>
      </w:r>
    </w:p>
    <w:bookmarkStart w:id="56" w:name="fig:kcor_workflow"/>
    <w:p>
      <w:pPr>
        <w:pStyle w:val="CaptionedFigure"/>
      </w:pPr>
      <w:r>
        <w:drawing>
          <wp:inline>
            <wp:extent cx="5334000" cy="4287328"/>
            <wp:effectExtent b="0" l="0" r="0" t="0"/>
            <wp:docPr descr="Figure 2: Two-column schematic of the KCOR v6 workflow. Left column shows fixed-cohort construction, observed cumulative hazards, and frailty estimation during a quiet window. Right column shows depletion-neutralized cumulative hazards, KCOR construction, and diagnostic checks. Arrows indicate the normalization flow from frailty estimation to depletion-neutralized comparison." title="" id="54" name="Picture"/>
            <a:graphic>
              <a:graphicData uri="http://schemas.openxmlformats.org/drawingml/2006/picture">
                <pic:pic>
                  <pic:nvPicPr>
                    <pic:cNvPr descr="figures/fig_kcor_workflow.png" id="55" name="Picture"/>
                    <pic:cNvPicPr>
                      <a:picLocks noChangeArrowheads="1" noChangeAspect="1"/>
                    </pic:cNvPicPr>
                  </pic:nvPicPr>
                  <pic:blipFill>
                    <a:blip r:embed="rId53"/>
                    <a:stretch>
                      <a:fillRect/>
                    </a:stretch>
                  </pic:blipFill>
                  <pic:spPr bwMode="auto">
                    <a:xfrm>
                      <a:off x="0" y="0"/>
                      <a:ext cx="5334000" cy="4287328"/>
                    </a:xfrm>
                    <a:prstGeom prst="rect">
                      <a:avLst/>
                    </a:prstGeom>
                    <a:noFill/>
                    <a:ln w="9525">
                      <a:noFill/>
                      <a:headEnd/>
                      <a:tailEnd/>
                    </a:ln>
                  </pic:spPr>
                </pic:pic>
              </a:graphicData>
            </a:graphic>
          </wp:inline>
        </w:drawing>
      </w:r>
    </w:p>
    <w:p>
      <w:pPr>
        <w:pStyle w:val="ImageCaption"/>
      </w:pPr>
      <w:r>
        <w:t xml:space="preserve">Figure 2: Two-column schematic of the KCOR v6 workflow. Left column shows fixed-cohort construction, observed cumulative hazards, and frailty estimation during a quiet window. Right column shows depletion-neutralized cumulative hazards, KCOR construction, and diagnostic checks. Arrows indicate the normalization flow from frailty estimation to depletion-neutralized comparison.</w:t>
      </w:r>
    </w:p>
    <w:bookmarkEnd w:id="56"/>
    <w:bookmarkEnd w:id="57"/>
    <w:bookmarkEnd w:id="58"/>
    <w:bookmarkStart w:id="98"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10"/>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10"/>
        </w:numPr>
      </w:pPr>
      <w:r>
        <w:rPr>
          <w:b/>
          <w:bCs/>
        </w:rPr>
        <w:t xml:space="preserve">Positive controls (detect injected effects):</w:t>
      </w:r>
      <w:r>
        <w:t xml:space="preserve"> </w:t>
      </w:r>
      <w:r>
        <w:t xml:space="preserve">when known harm/benefit is injected into otherwise-null data, KCOR reliably detects it.</w:t>
      </w:r>
    </w:p>
    <w:bookmarkStart w:id="59" w:name="X49c21f7e7289ea359d29dc79a5af219551caf27"/>
    <w:p>
      <w:pPr>
        <w:pStyle w:val="Heading3"/>
      </w:pPr>
      <w:r>
        <w:t xml:space="preserve">3.0 Frailty normalization behavior under empirical validation</w:t>
      </w:r>
    </w:p>
    <w:p>
      <w:pPr>
        <w:pStyle w:val="FirstParagraph"/>
      </w:pPr>
      <w:r>
        <w:t xml:space="preserve">Across examined age strata in the Czech Republic mortality dataset, fitted frailty parameters exhibit a pronounced asymmetry across cohorts. Some cohorts show negligible estimated frailty variance (</w:t>
      </w:r>
      <m:oMath>
        <m:acc>
          <m:accPr>
            <m:chr m:val="̂"/>
          </m:accPr>
          <m:e>
            <m:r>
              <m:t>θ</m:t>
            </m:r>
          </m:e>
        </m:acc>
        <m:r>
          <m:rPr>
            <m:sty m:val="p"/>
          </m:rPr>
          <m:t>≈</m:t>
        </m:r>
        <m:r>
          <m:t>0</m:t>
        </m:r>
      </m:oMath>
      <w:r>
        <w:t xml:space="preserve">), while others exhibit substantial frailty-driven depletion. This pattern reflects differences in selection-induced hazard curvature at cohort entry rather than any prespecified cohort identity.</w:t>
      </w:r>
    </w:p>
    <w:p>
      <w:pPr>
        <w:pStyle w:val="BodyText"/>
      </w:pPr>
      <w:r>
        <w:t xml:space="preserve">As a consequence, KCOR normalization leaves some cohorts’ cumulative hazards nearly unchanged, while substantially increasing the depletion-neutralized cumulative hazard for others. This behavior is consistent with curvature-driven normalization rather than cohort identity. This pattern is visible directly in adjusted versus unadjusted cumulative hazard plots and is summarized quantitatively in the fitted-parameter logs (see</w:t>
      </w:r>
      <w:r>
        <w:t xml:space="preserve"> </w:t>
      </w:r>
      <w:r>
        <w:rPr>
          <w:rStyle w:val="VerbatimChar"/>
        </w:rPr>
        <w:t xml:space="preserve">KCOR_summary.log</w:t>
      </w:r>
      <w:r>
        <w:t xml:space="preserve">).</w:t>
      </w:r>
    </w:p>
    <w:p>
      <w:pPr>
        <w:pStyle w:val="BodyText"/>
      </w:pPr>
      <w:r>
        <w:t xml:space="preserve">After frailty normalization, the adjusted cumulative hazards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are approximately linear in event time. Residual deviations from linearity reflect real time-varying risk—such as seasonality or epidemic waves—rather than selection-induced depletion. This linearization serves as an internal diagnostic indicating that frailty-driven curvature has been effectively removed.</w:t>
      </w:r>
    </w:p>
    <w:bookmarkEnd w:id="59"/>
    <w:bookmarkStart w:id="76" w:name="X250d2743dd947cd04209f9dc9cf02b545517230"/>
    <w:p>
      <w:pPr>
        <w:pStyle w:val="Heading3"/>
      </w:pPr>
      <w:r>
        <w:t xml:space="preserve">3.1 Negative controls: null under selection-induced curvature</w:t>
      </w:r>
    </w:p>
    <w:bookmarkStart w:id="65"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11"/>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11"/>
        </w:numPr>
      </w:pPr>
      <w:r>
        <w:t xml:space="preserve">Two cohorts have different frailty variance</w:t>
      </w:r>
      <w:r>
        <w:t xml:space="preserve"> </w:t>
      </w:r>
      <m:oMath>
        <m:r>
          <m:t>θ</m:t>
        </m:r>
      </m:oMath>
      <w:r>
        <w:t xml:space="preserve"> </w:t>
      </w:r>
      <w:r>
        <w:t xml:space="preserve">(or different selection rules), creating different cohort-level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w:t>
      </w:r>
    </w:p>
    <w:p>
      <w:pPr>
        <w:pStyle w:val="Compact"/>
        <w:numPr>
          <w:ilvl w:val="0"/>
          <w:numId w:val="1011"/>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during quiet periods and applying gamma-frailty inversion, KCOR should remain approximately constant at 1 over follow-up.</w:t>
      </w:r>
    </w:p>
    <w:bookmarkStart w:id="64"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12"/>
        </w:numPr>
      </w:pPr>
      <w:r>
        <w:t xml:space="preserve">Time unit: weeks.</w:t>
      </w:r>
    </w:p>
    <w:p>
      <w:pPr>
        <w:pStyle w:val="Compact"/>
        <w:numPr>
          <w:ilvl w:val="0"/>
          <w:numId w:val="1012"/>
        </w:numPr>
      </w:pPr>
      <w:r>
        <w:t xml:space="preserve">Baseline hazard shape:</w:t>
      </w:r>
      <w:r>
        <w:t xml:space="preserve"> </w:t>
      </w:r>
      <m:oMath>
        <m:r>
          <m:t>g</m:t>
        </m:r>
        <m:r>
          <m:rPr>
            <m:sty m:val="p"/>
          </m:rPr>
          <m:t>(</m:t>
        </m:r>
        <m:r>
          <m:t>t</m:t>
        </m:r>
        <m:r>
          <m:rPr>
            <m:sty m:val="p"/>
          </m:rPr>
          <m:t>)</m:t>
        </m:r>
        <m:r>
          <m:rPr>
            <m:sty m:val="p"/>
          </m:rPr>
          <m:t>=</m:t>
        </m:r>
        <m:r>
          <m:t>1</m:t>
        </m:r>
      </m:oMath>
      <w:r>
        <w:t xml:space="preserve"> </w:t>
      </w:r>
      <w:r>
        <w:t xml:space="preserve">during quiet periods; choose a baseline level</w:t>
      </w:r>
      <w:r>
        <w:t xml:space="preserve"> </w:t>
      </w:r>
      <m:oMath>
        <m:r>
          <m:t>k</m:t>
        </m:r>
      </m:oMath>
      <w:r>
        <w:t xml:space="preserve"> </w:t>
      </w:r>
      <w:r>
        <w:t xml:space="preserve">in the chosen time units.</w:t>
      </w:r>
    </w:p>
    <w:p>
      <w:pPr>
        <w:pStyle w:val="Compact"/>
        <w:numPr>
          <w:ilvl w:val="0"/>
          <w:numId w:val="1012"/>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12"/>
        </w:numPr>
      </w:pPr>
      <w:r>
        <w:t xml:space="preserve">Cohort B:</w:t>
      </w:r>
      <w:r>
        <w:t xml:space="preserve"> </w:t>
      </w:r>
      <m:oMath>
        <m:sSub>
          <m:e>
            <m:r>
              <m:t>θ</m:t>
            </m:r>
          </m:e>
          <m:sub>
            <m:r>
              <m:t>B</m:t>
            </m:r>
          </m:sub>
        </m:sSub>
        <m:r>
          <m:rPr>
            <m:sty m:val="p"/>
          </m:rPr>
          <m:t>&gt;</m:t>
        </m:r>
        <m:r>
          <m:t>0</m:t>
        </m:r>
      </m:oMath>
      <w:r>
        <w:t xml:space="preserve"> </w:t>
      </w:r>
      <w:r>
        <w:t xml:space="preserve">(weaker depletion).</w:t>
      </w:r>
    </w:p>
    <w:bookmarkStart w:id="63" w:name="fig:neg_control_synthetic"/>
    <w:p>
      <w:pPr>
        <w:pStyle w:val="CaptionedFigure"/>
      </w:pPr>
      <w:r>
        <w:drawing>
          <wp:inline>
            <wp:extent cx="5334000" cy="3852333"/>
            <wp:effectExtent b="0" l="0" r="0" t="0"/>
            <wp:docPr descr="Figure 3: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 title="" id="61" name="Picture"/>
            <a:graphic>
              <a:graphicData uri="http://schemas.openxmlformats.org/drawingml/2006/picture">
                <pic:pic>
                  <pic:nvPicPr>
                    <pic:cNvPr descr="figures/fig_neg_control_synthetic.png" id="62" name="Picture"/>
                    <pic:cNvPicPr>
                      <a:picLocks noChangeArrowheads="1" noChangeAspect="1"/>
                    </pic:cNvPicPr>
                  </pic:nvPicPr>
                  <pic:blipFill>
                    <a:blip r:embed="rId60"/>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3: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w:t>
      </w:r>
    </w:p>
    <w:bookmarkEnd w:id="63"/>
    <w:bookmarkEnd w:id="64"/>
    <w:bookmarkEnd w:id="65"/>
    <w:bookmarkStart w:id="75" w:name="X245cc31d763a0fb39bda81fbe46e34dde7a0bdc"/>
    <w:p>
      <w:pPr>
        <w:pStyle w:val="Heading4"/>
      </w:pPr>
      <w:r>
        <w:t xml:space="preserve">3.1.2 Empirical “within-category” negative control (already implemented in repo)</w:t>
      </w:r>
    </w:p>
    <w:p>
      <w:pPr>
        <w:pStyle w:val="FirstParagraph"/>
      </w:pPr>
      <w:r>
        <w:t xml:space="preserve">The repository includes a pragmatic negative control construction that repurposes a real dataset by comparing “like with like” 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 KCOR trajectories are consistent with the estimator normalizing selection-induced depletion curvature without introducing spurious time trends or cumulative drift.</w:t>
      </w:r>
    </w:p>
    <w:p>
      <w:pPr>
        <w:pStyle w:val="BodyText"/>
      </w:pPr>
      <w:r>
        <w:t xml:space="preserve">For the empirical age-shift negative control (Figures 3–4), we use aggregated weekly cohort summaries derived from the Czech Republic administrative mortality and vaccination dataset and exported in KCOR_CMR format.</w:t>
      </w:r>
    </w:p>
    <w:p>
      <w:pPr>
        <w:pStyle w:val="BodyText"/>
      </w:pPr>
      <w:r>
        <w:t xml:space="preserve">Notably, KCOR estimates frailty parameters independently for each cohort without knowledge of exposure status; the observed asymmetry in depletion correction arises entirely from differences in hazard curvature rather than from any vaccination-specific assumptions.</w:t>
      </w:r>
    </w:p>
    <w:p>
      <w:pPr>
        <w:pStyle w:val="BodyText"/>
      </w:pPr>
      <w:r>
        <w:t xml:space="preserve">Two snapshots illustrate that KCOR is near-flat even under 10–20 year age differences:</w:t>
      </w:r>
    </w:p>
    <w:bookmarkStart w:id="69" w:name="fig:neg_control_10yr"/>
    <w:p>
      <w:pPr>
        <w:pStyle w:val="CaptionedFigure"/>
      </w:pPr>
      <w:r>
        <w:drawing>
          <wp:inline>
            <wp:extent cx="5334000" cy="2773680"/>
            <wp:effectExtent b="0" l="0" r="0" t="0"/>
            <wp:docPr descr="Figure 4: Empirical negative control with approximately 10-year age difference between cohorts. Despite large baseline mortality differences, KCOR remains near-flat at 1 over follow-up, consistent with a true null effect. Data source: Czech Republic mortality and vaccination dataset processed into KCOR_CMR aggregated format (negative-control construction; see Appendix B.2)4." title="" id="67" name="Picture"/>
            <a:graphic>
              <a:graphicData uri="http://schemas.openxmlformats.org/drawingml/2006/picture">
                <pic:pic>
                  <pic:nvPicPr>
                    <pic:cNvPr descr="figures/fig2_neg_control_10yr_age_diff.png" id="68" name="Picture"/>
                    <pic:cNvPicPr>
                      <a:picLocks noChangeArrowheads="1" noChangeAspect="1"/>
                    </pic:cNvPicPr>
                  </pic:nvPicPr>
                  <pic:blipFill>
                    <a:blip r:embed="rId66"/>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4: Empirical negative control with approximately 10-year age difference between cohorts. Despite large baseline mortality differences, KCOR remains near-flat at 1 over follow-up, consistent with a true null effect. Data source: Czech Republic mortality and vaccination dataset processed into KCOR_CMR aggregated format (negative-control construction; see Appendix B.2)</w:t>
      </w:r>
      <w:r>
        <w:rPr>
          <w:vertAlign w:val="superscript"/>
        </w:rPr>
        <w:t xml:space="preserve">4</w:t>
      </w:r>
      <w:r>
        <w:t xml:space="preserve">.</w:t>
      </w:r>
    </w:p>
    <w:bookmarkEnd w:id="69"/>
    <w:bookmarkStart w:id="73" w:name="fig:neg_control_20yr"/>
    <w:p>
      <w:pPr>
        <w:pStyle w:val="CaptionedFigure"/>
      </w:pPr>
      <w:r>
        <w:drawing>
          <wp:inline>
            <wp:extent cx="5334000" cy="2810466"/>
            <wp:effectExtent b="0" l="0" r="0" t="0"/>
            <wp:docPr descr="Figure 5: Empirical negative control with approximately 20-year age difference between cohorts. Even under extreme composition differences, KCOR exhibits no systematic drift, demonstrating robustness to selection-induced curvature. Data source: Czech Republic mortality and vaccination dataset processed into KCOR_CMR aggregated format (negative-control construction; see Appendix B.2)." title="" id="71" name="Picture"/>
            <a:graphic>
              <a:graphicData uri="http://schemas.openxmlformats.org/drawingml/2006/picture">
                <pic:pic>
                  <pic:nvPicPr>
                    <pic:cNvPr descr="figures/fig3_neg_control_20yr_age_diff.png" id="72" name="Picture"/>
                    <pic:cNvPicPr>
                      <a:picLocks noChangeArrowheads="1" noChangeAspect="1"/>
                    </pic:cNvPicPr>
                  </pic:nvPicPr>
                  <pic:blipFill>
                    <a:blip r:embed="rId70"/>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5: Empirical negative control with approximately 20-year age difference between cohorts. Even under extreme composition differences, KCOR exhibits no systematic drift, demonstrating robustness to selection-induced curvature. Data source: Czech Republic mortality and vaccination dataset processed into KCOR_CMR aggregated format (negative-control construction; see Appendix B.2).</w:t>
      </w:r>
    </w:p>
    <w:bookmarkEnd w:id="73"/>
    <w:bookmarkStart w:id="74" w:name="tbl:neg_control_summary"/>
    <w:p>
      <w:pPr>
        <w:pStyle w:val="TableCaption"/>
      </w:pPr>
      <w:r>
        <w:t xml:space="preserve">Table 4: Example end-of-window KCOR values from the empirical negative control (pooled/ASMR summaries), showing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4: Example end-of-window KCOR values from the empirical negative control (pooled/ASMR summaries), show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74"/>
    <w:bookmarkEnd w:id="75"/>
    <w:bookmarkEnd w:id="76"/>
    <w:bookmarkStart w:id="83" w:name="Xf5c6845e7014ee8ad1d757d99d9071bc85f02f3"/>
    <w:p>
      <w:pPr>
        <w:pStyle w:val="Heading3"/>
      </w:pPr>
      <w:r>
        <w:t xml:space="preserve">3.2 Positive controls: detect injected harm/benefit</w:t>
      </w:r>
    </w:p>
    <w:p>
      <w:pPr>
        <w:pStyle w:val="FirstParagraph"/>
      </w:pPr>
      <w:r>
        <w:t xml:space="preserve">The effect window is a simulation construct used solely for positive-control validation and does not represent a real-world intervention period or biological effect window.</w:t>
      </w:r>
    </w:p>
    <w:p>
      <w:pPr>
        <w:pStyle w:val="BodyText"/>
      </w:pPr>
      <w:r>
        <w:t xml:space="preserve">Positive controls are constructed by starting from a negative-control dataset and injecting a known effect into the data-generating process for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p>
      <w:pPr>
        <w:pStyle w:val="BodyText"/>
      </w:pPr>
      <w:bookmarkStart w:id="77" w:name="eq:pos-control-injection"/>
      <m:oMathPara>
        <m:oMathParaPr>
          <m:jc m:val="center"/>
        </m:oMathParaP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r>
            <m:t>  </m:t>
          </m:r>
          <m:r>
            <m:rPr>
              <m:sty m:val="p"/>
            </m:rPr>
            <m:t>(</m:t>
          </m:r>
          <m:r>
            <m:t>15</m:t>
          </m:r>
          <m:r>
            <m:rPr>
              <m:sty m:val="p"/>
            </m:rPr>
            <m:t>)</m:t>
          </m:r>
        </m:oMath>
      </m:oMathPara>
      <w:bookmarkEnd w:id="77"/>
    </w:p>
    <w:p>
      <w:pPr>
        <w:pStyle w:val="FirstParagraph"/>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w:t>
      </w:r>
    </w:p>
    <w:bookmarkStart w:id="81" w:name="fig:pos_control_injected"/>
    <w:p>
      <w:pPr>
        <w:pStyle w:val="CaptionedFigure"/>
      </w:pPr>
      <w:r>
        <w:drawing>
          <wp:inline>
            <wp:extent cx="5334000" cy="4253184"/>
            <wp:effectExtent b="0" l="0" r="0" t="0"/>
            <wp:docPr descr="Figure 6: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 title="" id="79" name="Picture"/>
            <a:graphic>
              <a:graphicData uri="http://schemas.openxmlformats.org/drawingml/2006/picture">
                <pic:pic>
                  <pic:nvPicPr>
                    <pic:cNvPr descr="figures/fig_pos_control_injected.png" id="80" name="Picture"/>
                    <pic:cNvPicPr>
                      <a:picLocks noChangeArrowheads="1" noChangeAspect="1"/>
                    </pic:cNvPicPr>
                  </pic:nvPicPr>
                  <pic:blipFill>
                    <a:blip r:embed="rId78"/>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6: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w:t>
      </w:r>
    </w:p>
    <w:bookmarkEnd w:id="81"/>
    <w:bookmarkStart w:id="82" w:name="tbl:pos_control_summary"/>
    <w:p>
      <w:pPr>
        <w:pStyle w:val="TableCaption"/>
      </w:pPr>
      <w:r>
        <w:t xml:space="preserve">Table 5: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5: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Effect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 KCOR 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82"/>
    <w:bookmarkEnd w:id="83"/>
    <w:bookmarkStart w:id="88"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13"/>
        </w:numPr>
      </w:pPr>
      <w:r>
        <w:t xml:space="preserve">Quiet-window selection (calendar ISO-week bounds)</w:t>
      </w:r>
    </w:p>
    <w:p>
      <w:pPr>
        <w:pStyle w:val="Compact"/>
        <w:numPr>
          <w:ilvl w:val="0"/>
          <w:numId w:val="1013"/>
        </w:numPr>
      </w:pPr>
      <w:r>
        <w:t xml:space="preserve">Stabilization skip (early-bin handling)</w:t>
      </w:r>
    </w:p>
    <w:p>
      <w:pPr>
        <w:pStyle w:val="Compact"/>
        <w:numPr>
          <w:ilvl w:val="0"/>
          <w:numId w:val="1013"/>
        </w:numPr>
      </w:pPr>
      <w:r>
        <w:t xml:space="preserve">Time-binning resolution</w:t>
      </w:r>
    </w:p>
    <w:p>
      <w:pPr>
        <w:pStyle w:val="Compact"/>
        <w:numPr>
          <w:ilvl w:val="0"/>
          <w:numId w:val="1013"/>
        </w:numPr>
      </w:pPr>
      <w:r>
        <w:t xml:space="preserve">Age stratification and/or stratified analyses where appropriate</w:t>
      </w:r>
    </w:p>
    <w:p>
      <w:pPr>
        <w:pStyle w:val="Compact"/>
        <w:numPr>
          <w:ilvl w:val="0"/>
          <w:numId w:val="1013"/>
        </w:numPr>
      </w:pPr>
      <w:r>
        <w:t xml:space="preserve">Baseline shape choice</w:t>
      </w:r>
      <w:r>
        <w:t xml:space="preserve"> </w:t>
      </w:r>
      <m:oMath>
        <m:r>
          <m:t>g</m:t>
        </m:r>
        <m:r>
          <m:rPr>
            <m:sty m:val="p"/>
          </m:rPr>
          <m:t>(</m:t>
        </m:r>
        <m:r>
          <m:t>t</m:t>
        </m:r>
        <m:r>
          <m:rPr>
            <m:sty m:val="p"/>
          </m:rPr>
          <m:t>)</m:t>
        </m:r>
      </m:oMath>
      <w:r>
        <w:t xml:space="preserve"> </w:t>
      </w:r>
      <w:r>
        <w:t xml:space="preserve">(default</w:t>
      </w:r>
      <w:r>
        <w:t xml:space="preserve"> </w:t>
      </w:r>
      <m:oMath>
        <m:r>
          <m:t>g</m:t>
        </m:r>
        <m:r>
          <m:rPr>
            <m:sty m:val="p"/>
          </m:rPr>
          <m:t>(</m:t>
        </m:r>
        <m:r>
          <m:t>t</m:t>
        </m:r>
        <m:r>
          <m:rPr>
            <m:sty m:val="p"/>
          </m:rPr>
          <m:t>)</m:t>
        </m:r>
        <m:r>
          <m:rPr>
            <m:sty m:val="p"/>
          </m:rPr>
          <m:t>=</m:t>
        </m:r>
        <m:r>
          <m:t>1</m:t>
        </m:r>
      </m:oMath>
      <w:r>
        <w:t xml:space="preserve">; alternatives can be assessed as sensitivity)</w:t>
      </w:r>
    </w:p>
    <w:bookmarkStart w:id="87" w:name="fig:sensitivity_overview"/>
    <w:p>
      <w:pPr>
        <w:pStyle w:val="CaptionedFigure"/>
      </w:pPr>
      <w:r>
        <w:drawing>
          <wp:inline>
            <wp:extent cx="5334000" cy="1571483"/>
            <wp:effectExtent b="0" l="0" r="0" t="0"/>
            <wp:docPr descr="Figure 7: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 title="" id="85" name="Picture"/>
            <a:graphic>
              <a:graphicData uri="http://schemas.openxmlformats.org/drawingml/2006/picture">
                <pic:pic>
                  <pic:nvPicPr>
                    <pic:cNvPr descr="figures/fig_sensitivity_overview.png" id="86" name="Picture"/>
                    <pic:cNvPicPr>
                      <a:picLocks noChangeArrowheads="1" noChangeAspect="1"/>
                    </pic:cNvPicPr>
                  </pic:nvPicPr>
                  <pic:blipFill>
                    <a:blip r:embed="rId84"/>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7: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w:t>
      </w:r>
    </w:p>
    <w:bookmarkEnd w:id="87"/>
    <w:p>
      <w:pPr>
        <w:pStyle w:val="BodyText"/>
      </w:pPr>
      <w:r>
        <w:t xml:space="preserve">Across all tested parameter ranges, KCOR values remained within approximately ±5% of unity, indicating stability under reasonable variations in fitting choices.</w:t>
      </w:r>
    </w:p>
    <w:bookmarkEnd w:id="88"/>
    <w:bookmarkStart w:id="97" w:name="Xc4d8adb0ad5f1ae7badc4f43956d4ea2b8d625b"/>
    <w:p>
      <w:pPr>
        <w:pStyle w:val="Heading3"/>
      </w:pPr>
      <w:r>
        <w:t xml:space="preserve">3.4 Simulation grid: operating characteristics and failure-mode diagnostics</w:t>
      </w:r>
    </w:p>
    <w:p>
      <w:pPr>
        <w:pStyle w:val="FirstParagraph"/>
      </w:pPr>
      <w:r>
        <w:t xml:space="preserve">We further evaluate KCOR using a compact simulation grid designed to (i) confirm near-null behavior under selection-induced curvature, (ii) confirm detection of injected effects, and (iii) characterize failure modes and diagnostics under model misspecification and adverse data regimes. Each scenario generates cohort-level weekly counts in KCOR_CMR format. KCOR is then fit using the same prespecified quiet-window procedure as in the empirical analyses, and we report both KCOR(t) trajectories and diagnostic summaries, including cumulative-hazard fit error and post-normalization linearity. The scenarios isolate specific stresses, including non-gamma frailty, contamination of the quiet window by an external shock, and sparse events. Code to reproduce all simulations and figures is included in the repository.</w:t>
      </w:r>
      <w:r>
        <w:t xml:space="preserve"> </w:t>
      </w:r>
      <w:r>
        <w:rPr>
          <w:i/>
          <w:iCs/>
        </w:rPr>
        <w:t xml:space="preserve">Near-flat</w:t>
      </w:r>
      <w:r>
        <w:t xml:space="preserve"> </w:t>
      </w:r>
      <w:r>
        <w:t xml:space="preserve">is defined operationally as median KCOR(t) remaining within ±5% of unity over the diagnostic window (weeks 20–100), excluding early transients.</w:t>
      </w:r>
    </w:p>
    <w:bookmarkStart w:id="92" w:name="fig:sim_grid_overview"/>
    <w:p>
      <w:pPr>
        <w:pStyle w:val="CaptionedFigure"/>
      </w:pPr>
      <w:r>
        <w:drawing>
          <wp:inline>
            <wp:extent cx="5334000" cy="4246345"/>
            <wp:effectExtent b="0" l="0" r="0" t="0"/>
            <wp:docPr descr="Figure 8: Simulation grid overview: KCOR(t) trajectories across prespecified scenarios, including gamma-frailty null with strong selection, injected hazard increase and decrease, non-gamma frailty, quiet-window contamination, and sparse-event regimes. Under true null, KCOR remains near-flat at 1; injected effects are detected in the expected direction; adverse regimes are accompanied by degraded diagnostics and reduced interpretability." title="" id="90" name="Picture"/>
            <a:graphic>
              <a:graphicData uri="http://schemas.openxmlformats.org/drawingml/2006/picture">
                <pic:pic>
                  <pic:nvPicPr>
                    <pic:cNvPr descr="figures/fig_sim_grid_overview.png" id="91" name="Picture"/>
                    <pic:cNvPicPr>
                      <a:picLocks noChangeArrowheads="1" noChangeAspect="1"/>
                    </pic:cNvPicPr>
                  </pic:nvPicPr>
                  <pic:blipFill>
                    <a:blip r:embed="rId89"/>
                    <a:stretch>
                      <a:fillRect/>
                    </a:stretch>
                  </pic:blipFill>
                  <pic:spPr bwMode="auto">
                    <a:xfrm>
                      <a:off x="0" y="0"/>
                      <a:ext cx="5334000" cy="4246345"/>
                    </a:xfrm>
                    <a:prstGeom prst="rect">
                      <a:avLst/>
                    </a:prstGeom>
                    <a:noFill/>
                    <a:ln w="9525">
                      <a:noFill/>
                      <a:headEnd/>
                      <a:tailEnd/>
                    </a:ln>
                  </pic:spPr>
                </pic:pic>
              </a:graphicData>
            </a:graphic>
          </wp:inline>
        </w:drawing>
      </w:r>
    </w:p>
    <w:p>
      <w:pPr>
        <w:pStyle w:val="ImageCaption"/>
      </w:pPr>
      <w:r>
        <w:t xml:space="preserve">Figure 8: Simulation grid overview: KCOR(t) trajectories across prespecified scenarios, including gamma-frailty null with strong selection, injected hazard increase and decrease, non-gamma frailty, quiet-window contamination, and sparse-event regimes. Under true null, KCOR remains near-flat at 1; injected effects are detected in the expected direction; adverse regimes are accompanied by degraded diagnostics and reduced interpretability.</w:t>
      </w:r>
    </w:p>
    <w:bookmarkEnd w:id="92"/>
    <w:bookmarkStart w:id="96" w:name="fig:sim_grid_diagnostics"/>
    <w:p>
      <w:pPr>
        <w:pStyle w:val="CaptionedFigure"/>
      </w:pPr>
      <w:r>
        <w:drawing>
          <wp:inline>
            <wp:extent cx="5334000" cy="2491716"/>
            <wp:effectExtent b="0" l="0" r="0" t="0"/>
            <wp:docPr descr="Figure 9: Simulation diagnostics across scenarios: (i) cumulative-hazard fit RMSE over the quiet window, (ii) fitted frailty variance estimates, and (iii) a post-normalization linearity metric for normalized cumulative hazards. Diagnostics identify regimes in which frailty normalization is well identified versus weakly identified." title="" id="94" name="Picture"/>
            <a:graphic>
              <a:graphicData uri="http://schemas.openxmlformats.org/drawingml/2006/picture">
                <pic:pic>
                  <pic:nvPicPr>
                    <pic:cNvPr descr="figures/fig_sim_grid_diagnostics.png" id="95" name="Picture"/>
                    <pic:cNvPicPr>
                      <a:picLocks noChangeArrowheads="1" noChangeAspect="1"/>
                    </pic:cNvPicPr>
                  </pic:nvPicPr>
                  <pic:blipFill>
                    <a:blip r:embed="rId93"/>
                    <a:stretch>
                      <a:fillRect/>
                    </a:stretch>
                  </pic:blipFill>
                  <pic:spPr bwMode="auto">
                    <a:xfrm>
                      <a:off x="0" y="0"/>
                      <a:ext cx="5334000" cy="2491716"/>
                    </a:xfrm>
                    <a:prstGeom prst="rect">
                      <a:avLst/>
                    </a:prstGeom>
                    <a:noFill/>
                    <a:ln w="9525">
                      <a:noFill/>
                      <a:headEnd/>
                      <a:tailEnd/>
                    </a:ln>
                  </pic:spPr>
                </pic:pic>
              </a:graphicData>
            </a:graphic>
          </wp:inline>
        </w:drawing>
      </w:r>
    </w:p>
    <w:p>
      <w:pPr>
        <w:pStyle w:val="ImageCaption"/>
      </w:pPr>
      <w:r>
        <w:t xml:space="preserve">Figure 9: Simulation diagnostics across scenarios: (i) cumulative-hazard fit RMSE over the quiet window, (ii) fitted frailty variance estimates, and (iii) a post-normalization linearity metric for normalized cumulative hazards. Diagnostics identify regimes in which frailty normalization is well identified versus weakly identified.</w:t>
      </w:r>
    </w:p>
    <w:bookmarkEnd w:id="96"/>
    <w:p>
      <w:r>
        <w:pict>
          <v:rect style="width:0;height:1.5pt" o:hralign="center" o:hrstd="t" o:hr="t"/>
        </w:pict>
      </w:r>
    </w:p>
    <w:bookmarkEnd w:id="97"/>
    <w:bookmarkEnd w:id="98"/>
    <w:bookmarkStart w:id="102" w:name="discussion"/>
    <w:p>
      <w:pPr>
        <w:pStyle w:val="Heading2"/>
      </w:pPr>
      <w:r>
        <w:t xml:space="preserve">4. Discussion</w:t>
      </w:r>
    </w:p>
    <w:bookmarkStart w:id="99" w:name="what-kcor-estimates"/>
    <w:p>
      <w:pPr>
        <w:pStyle w:val="Heading3"/>
      </w:pPr>
      <w:r>
        <w:t xml:space="preserve">4.1 What KCOR estimates</w:t>
      </w:r>
    </w:p>
    <w:p>
      <w:pPr>
        <w:pStyle w:val="FirstParagraph"/>
      </w:pPr>
      <w:r>
        <w:t xml:space="preserve">KCOR is a</w:t>
      </w:r>
      <w:r>
        <w:t xml:space="preserve"> </w:t>
      </w:r>
      <w:r>
        <w:rPr>
          <w:b/>
          <w:bCs/>
        </w:rPr>
        <w:t xml:space="preserve">cumulative</w:t>
      </w:r>
      <w:r>
        <w:t xml:space="preserve"> </w:t>
      </w:r>
      <w:r>
        <w:t xml:space="preserve">comparison of depletion-neutralized cumulative hazards. It is designed for settings where selection induces non-proportional hazards such that conventional proportional-hazards estimators can be difficult to interpret.</w:t>
      </w:r>
    </w:p>
    <w:p>
      <w:pPr>
        <w:pStyle w:val="BodyText"/>
      </w:pPr>
      <w:r>
        <w:t xml:space="preserve">Under the working assumptions that:</w:t>
      </w:r>
    </w:p>
    <w:p>
      <w:pPr>
        <w:pStyle w:val="Compact"/>
        <w:numPr>
          <w:ilvl w:val="0"/>
          <w:numId w:val="1014"/>
        </w:numPr>
      </w:pPr>
      <w:r>
        <w:t xml:space="preserve">selection-induced depletion dynamics can be estimated during quiet periods using a gamma-frailty mixture model, and</w:t>
      </w:r>
    </w:p>
    <w:p>
      <w:pPr>
        <w:pStyle w:val="Compact"/>
        <w:numPr>
          <w:ilvl w:val="0"/>
          <w:numId w:val="1014"/>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p>
      <w:pPr>
        <w:pStyle w:val="BodyText"/>
      </w:pPr>
      <w:r>
        <w:t xml:space="preserve">The observation that frailty correction is negligible for vaccinated cohorts but substantial for the unvaccinated cohort is not incidental. It reflects the asymmetric action of healthy-vaccinee selection, which concentrates lower-frailty individuals into vaccinated cohorts at enrollment while leaving the unvaccinated cohort heterogeneous. KCOR explicitly detects and removes this asymmetry by mapping cohorts into a depletion-neutralized comparison space rather than assuming proportional hazards.</w:t>
      </w:r>
    </w:p>
    <w:bookmarkEnd w:id="99"/>
    <w:bookmarkStart w:id="100"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normalize away a specific confounding structure</w:t>
      </w:r>
      <w:r>
        <w:t xml:space="preserve">—selection-induced depletion dynamics—prior to comparison. Negative and positive controls are nevertheless central to validating the estimator’s behavior.</w:t>
      </w:r>
    </w:p>
    <w:p>
      <w:pPr>
        <w:pStyle w:val="BodyText"/>
      </w:pPr>
      <w:r>
        <w:t xml:space="preserve">This asymmetry helps explain why standard observational analyses often report large apparent mortality benefits during periods lacking a plausible causal mechanism: vaccinated cohorts are already selection-filtered, while unvaccinated hazards are suppressed by ongoing frailty depletion. Unadjusted comparisons therefore systematically understate unvaccinated baseline risk and exaggerate apparent benefit.</w:t>
      </w:r>
    </w:p>
    <w:bookmarkEnd w:id="100"/>
    <w:bookmarkStart w:id="101" w:name="practical-guidance-for-use"/>
    <w:p>
      <w:pPr>
        <w:pStyle w:val="Heading3"/>
      </w:pPr>
      <w:r>
        <w:t xml:space="preserve">4.3 Practical guidance for use</w:t>
      </w:r>
    </w:p>
    <w:p>
      <w:pPr>
        <w:pStyle w:val="FirstParagraph"/>
      </w:pPr>
      <w:r>
        <w:t xml:space="preserve">Recommended reporting includes:</w:t>
      </w:r>
    </w:p>
    <w:p>
      <w:pPr>
        <w:pStyle w:val="Compact"/>
        <w:numPr>
          <w:ilvl w:val="0"/>
          <w:numId w:val="1015"/>
        </w:numPr>
      </w:pPr>
      <w:r>
        <w:t xml:space="preserve">Enrollment definition and justification</w:t>
      </w:r>
    </w:p>
    <w:p>
      <w:pPr>
        <w:pStyle w:val="Compact"/>
        <w:numPr>
          <w:ilvl w:val="0"/>
          <w:numId w:val="1015"/>
        </w:numPr>
      </w:pPr>
      <w:r>
        <w:t xml:space="preserve">Risk set definitions and event-time binning</w:t>
      </w:r>
    </w:p>
    <w:p>
      <w:pPr>
        <w:pStyle w:val="Compact"/>
        <w:numPr>
          <w:ilvl w:val="0"/>
          <w:numId w:val="1015"/>
        </w:numPr>
      </w:pPr>
      <w:r>
        <w:t xml:space="preserve">Quiet-window definition and justification</w:t>
      </w:r>
    </w:p>
    <w:p>
      <w:pPr>
        <w:pStyle w:val="Compact"/>
        <w:numPr>
          <w:ilvl w:val="0"/>
          <w:numId w:val="1015"/>
        </w:numPr>
      </w:pPr>
      <w:r>
        <w:t xml:space="preserve">Baseline-shape choice</w:t>
      </w:r>
      <w:r>
        <w:t xml:space="preserve"> </w:t>
      </w:r>
      <m:oMath>
        <m:r>
          <m:t>g</m:t>
        </m:r>
        <m:r>
          <m:rPr>
            <m:sty m:val="p"/>
          </m:rPr>
          <m:t>(</m:t>
        </m:r>
        <m:r>
          <m:t>t</m:t>
        </m:r>
        <m:r>
          <m:rPr>
            <m:sty m:val="p"/>
          </m:rPr>
          <m:t>)</m:t>
        </m:r>
      </m:oMath>
      <w:r>
        <w:t xml:space="preserve"> </w:t>
      </w:r>
      <w:r>
        <w:t xml:space="preserve">and fit diagnostics</w:t>
      </w:r>
    </w:p>
    <w:p>
      <w:pPr>
        <w:pStyle w:val="Compact"/>
        <w:numPr>
          <w:ilvl w:val="0"/>
          <w:numId w:val="1015"/>
        </w:numPr>
      </w:pPr>
      <w:r>
        <w:t xml:space="preserve">Skip/stabilization rule and robustness to nearby values</w:t>
      </w:r>
    </w:p>
    <w:p>
      <w:pPr>
        <w:pStyle w:val="Compact"/>
        <w:numPr>
          <w:ilvl w:val="0"/>
          <w:numId w:val="1015"/>
        </w:numPr>
      </w:pPr>
      <w:r>
        <w:t xml:space="preserve">Predefined negative/positive controls used for validation</w:t>
      </w:r>
    </w:p>
    <w:p>
      <w:pPr>
        <w:pStyle w:val="Compact"/>
        <w:numPr>
          <w:ilvl w:val="0"/>
          <w:numId w:val="1015"/>
        </w:numPr>
      </w:pPr>
      <w:r>
        <w:t xml:space="preserve">Sensitivity analysis plan and results</w:t>
      </w:r>
    </w:p>
    <w:p>
      <w:r>
        <w:pict>
          <v:rect style="width:0;height:1.5pt" o:hralign="center" o:hrstd="t" o:hr="t"/>
        </w:pict>
      </w:r>
    </w:p>
    <w:bookmarkEnd w:id="101"/>
    <w:bookmarkEnd w:id="102"/>
    <w:bookmarkStart w:id="105" w:name="limitations"/>
    <w:p>
      <w:pPr>
        <w:pStyle w:val="Heading2"/>
      </w:pPr>
      <w:r>
        <w:t xml:space="preserve">5. Limitations</w:t>
      </w:r>
    </w:p>
    <w:p>
      <w:pPr>
        <w:pStyle w:val="Compact"/>
        <w:numPr>
          <w:ilvl w:val="0"/>
          <w:numId w:val="1016"/>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16"/>
        </w:numPr>
      </w:pPr>
      <w:r>
        <w:rPr>
          <w:b/>
          <w:bCs/>
        </w:rPr>
        <w:t xml:space="preserve">θ estimation is data-driven</w:t>
      </w:r>
      <w:r>
        <w:t xml:space="preserve">: KCOR does not impose θ = 0 for any cohort. The frequent observation that</w:t>
      </w:r>
      <w:r>
        <w:t xml:space="preserve"> </w:t>
      </w:r>
      <m:oMath>
        <m:acc>
          <m:accPr>
            <m:chr m:val="̂"/>
          </m:accPr>
          <m:e>
            <m:r>
              <m:t>θ</m:t>
            </m:r>
          </m:e>
        </m:acc>
        <m:r>
          <m:rPr>
            <m:sty m:val="p"/>
          </m:rPr>
          <m:t>≈</m:t>
        </m:r>
        <m:r>
          <m:t>0</m:t>
        </m:r>
      </m:oMath>
      <w:r>
        <w:t xml:space="preserve"> </w:t>
      </w:r>
      <w:r>
        <w:t xml:space="preserve">for vaccinated cohorts is a data-driven result of the frailty fit and should not be interpreted as an assumption of homogeneity.</w:t>
      </w:r>
    </w:p>
    <w:p>
      <w:pPr>
        <w:pStyle w:val="Compact"/>
        <w:numPr>
          <w:ilvl w:val="0"/>
          <w:numId w:val="1016"/>
        </w:numPr>
      </w:pPr>
      <w:r>
        <w:rPr>
          <w:b/>
          <w:bCs/>
        </w:rPr>
        <w:t xml:space="preserve">Sparse events</w:t>
      </w:r>
      <w:r>
        <w:t xml:space="preserve">: When event counts are small, hazard estimation and parameter fitting can be unstable.</w:t>
      </w:r>
    </w:p>
    <w:p>
      <w:pPr>
        <w:pStyle w:val="Compact"/>
        <w:numPr>
          <w:ilvl w:val="0"/>
          <w:numId w:val="1016"/>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16"/>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16"/>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 θ̂ 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 Empirically, KCOR’s validity depends on curvature removal rather than the specific parametric form; alternative frailty distributions that generate similar depletion geometry would yield equivalent normalization.</w:t>
      </w:r>
    </w:p>
    <w:bookmarkStart w:id="103" w:name="X23cf99625f696e3debeff054e3876378086bb67"/>
    <w:p>
      <w:pPr>
        <w:pStyle w:val="Heading3"/>
      </w:pPr>
      <w:r>
        <w:t xml:space="preserve">5.1 Failure modes and diagnostics (recommended)</w:t>
      </w:r>
    </w:p>
    <w:p>
      <w:pPr>
        <w:pStyle w:val="FirstParagraph"/>
      </w:pPr>
      <w:r>
        <w:t xml:space="preserve">KCOR is designed to normalize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17"/>
        </w:numPr>
      </w:pPr>
      <w:r>
        <w:rPr>
          <w:b/>
          <w:bCs/>
        </w:rPr>
        <w:t xml:space="preserve">Mis-specified quiet window</w:t>
      </w:r>
      <w:r>
        <w:t xml:space="preserve">: If the quiet window overlaps major external shocks (epidemic waves, policy changes, reporting artifacts), the fitted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may absorb non-selection dynamics, biasing normalization.</w:t>
      </w:r>
    </w:p>
    <w:p>
      <w:pPr>
        <w:pStyle w:val="Compact"/>
        <w:numPr>
          <w:ilvl w:val="0"/>
          <w:numId w:val="1017"/>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17"/>
        </w:numPr>
      </w:pPr>
      <w:r>
        <w:rPr>
          <w:b/>
          <w:bCs/>
        </w:rPr>
        <w:t xml:space="preserve">Extremely sparse cohorts</w:t>
      </w:r>
      <w:r>
        <w:t xml:space="preserve">: When events are rare,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becomes noisy and</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can be weakly identified, often manifesting as unstable</w:t>
      </w:r>
      <w:r>
        <w:t xml:space="preserve"> </w:t>
      </w:r>
      <m:oMath>
        <m:sSub>
          <m:e>
            <m:acc>
              <m:accPr>
                <m:chr m:val="̂"/>
              </m:accPr>
              <m:e>
                <m:r>
                  <m:t>θ</m:t>
                </m:r>
              </m:e>
            </m:acc>
          </m:e>
          <m:sub>
            <m:r>
              <m:t>d</m:t>
            </m:r>
          </m:sub>
        </m:sSub>
      </m:oMath>
      <w:r>
        <w:t xml:space="preserve"> </w:t>
      </w:r>
      <w:r>
        <w:t xml:space="preserve">or wide uncertainty.</w:t>
      </w:r>
    </w:p>
    <w:p>
      <w:pPr>
        <w:pStyle w:val="Compact"/>
        <w:numPr>
          <w:ilvl w:val="0"/>
          <w:numId w:val="1017"/>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18"/>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18"/>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under small perturbations of the quiet-window bounds.</w:t>
      </w:r>
    </w:p>
    <w:p>
      <w:pPr>
        <w:pStyle w:val="Compact"/>
        <w:numPr>
          <w:ilvl w:val="0"/>
          <w:numId w:val="1018"/>
        </w:numPr>
      </w:pPr>
      <w:r>
        <w:rPr>
          <w:b/>
          <w:bCs/>
        </w:rPr>
        <w:t xml:space="preserve">Sensitivity analyses</w:t>
      </w:r>
      <w:r>
        <w:t xml:space="preserve"> </w:t>
      </w:r>
      <w:r>
        <w:t xml:space="preserve">over plausible quiet windows and skip-weeks values.</w:t>
      </w:r>
    </w:p>
    <w:p>
      <w:pPr>
        <w:pStyle w:val="Compact"/>
        <w:numPr>
          <w:ilvl w:val="0"/>
          <w:numId w:val="1018"/>
        </w:numPr>
      </w:pPr>
      <w:r>
        <w:rPr>
          <w:b/>
          <w:bCs/>
        </w:rPr>
        <w:t xml:space="preserve">Prespecified negative controls</w:t>
      </w:r>
      <w:r>
        <w:t xml:space="preserve">: KCOR 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103"/>
    <w:bookmarkStart w:id="104"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KCOR analyses commonly exclude an initial post-enrollment window to avoid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pPr>
        <w:pStyle w:val="BodyText"/>
      </w:pPr>
      <w:r>
        <w:t xml:space="preserve">Simulation results in §3.4 illustrate that when key assumptions are violated—such as non-gamma frailty geometry, contamination of the quiet window by external shocks, or extreme event sparsity—frailty normalization may become weakly identified. In such regimes, KCOR’s diagnostics, including poor cumulative-hazard fit and reduced post-normalization linearity, explicitly signal that curvature-based inference is unreliable without model generalization or revised window selection.</w:t>
      </w:r>
    </w:p>
    <w:p>
      <w:r>
        <w:pict>
          <v:rect style="width:0;height:1.5pt" o:hralign="center" o:hrstd="t" o:hr="t"/>
        </w:pict>
      </w:r>
    </w:p>
    <w:bookmarkEnd w:id="104"/>
    <w:bookmarkEnd w:id="105"/>
    <w:bookmarkStart w:id="106"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w:t>
      </w:r>
    </w:p>
    <w:p>
      <w:r>
        <w:pict>
          <v:rect style="width:0;height:1.5pt" o:hralign="center" o:hrstd="t" o:hr="t"/>
        </w:pict>
      </w:r>
    </w:p>
    <w:bookmarkEnd w:id="106"/>
    <w:bookmarkStart w:id="117" w:name="declarations-journal-requirements"/>
    <w:p>
      <w:pPr>
        <w:pStyle w:val="Heading2"/>
      </w:pPr>
      <w:r>
        <w:t xml:space="preserve">Declarations (journal requirements)</w:t>
      </w:r>
    </w:p>
    <w:bookmarkStart w:id="107" w:name="Xd182db0490b2de20bd2b4e4cc8698599182035f"/>
    <w:p>
      <w:pPr>
        <w:pStyle w:val="Heading3"/>
      </w:pPr>
      <w:r>
        <w:t xml:space="preserve">Ethics approval and consent to participate</w:t>
      </w:r>
    </w:p>
    <w:p>
      <w:pPr>
        <w:pStyle w:val="FirstParagraph"/>
      </w:pPr>
      <w:r>
        <w:t xml:space="preserve">Not applicable. This is a methods-only manuscript. The primary validation results use synthetic data. Empirical negative-control figures (Figures 3–4) use aggregated cohort summaries derived from Czech Republic administrative data; no record-level data are shared in this manuscript.</w:t>
      </w:r>
      <w:r>
        <w:rPr>
          <w:vertAlign w:val="superscript"/>
        </w:rPr>
        <w:t xml:space="preserve">4</w:t>
      </w:r>
    </w:p>
    <w:bookmarkEnd w:id="107"/>
    <w:bookmarkStart w:id="108" w:name="consent-for-publication"/>
    <w:p>
      <w:pPr>
        <w:pStyle w:val="Heading3"/>
      </w:pPr>
      <w:r>
        <w:t xml:space="preserve">Consent for publication</w:t>
      </w:r>
    </w:p>
    <w:p>
      <w:pPr>
        <w:pStyle w:val="FirstParagraph"/>
      </w:pPr>
      <w:r>
        <w:t xml:space="preserve">Not applicable.</w:t>
      </w:r>
    </w:p>
    <w:bookmarkEnd w:id="108"/>
    <w:bookmarkStart w:id="109" w:name="data-availability"/>
    <w:p>
      <w:pPr>
        <w:pStyle w:val="Heading3"/>
      </w:pPr>
      <w:r>
        <w:t xml:space="preserve">Data availability</w:t>
      </w:r>
    </w:p>
    <w:p>
      <w:pPr>
        <w:pStyle w:val="Compact"/>
        <w:numPr>
          <w:ilvl w:val="0"/>
          <w:numId w:val="1019"/>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19"/>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19"/>
        </w:numPr>
      </w:pPr>
      <w:r>
        <w:t xml:space="preserve">The reference implementation includes example datasets in KCOR_CMR format for reproducibility.</w:t>
      </w:r>
    </w:p>
    <w:p>
      <w:pPr>
        <w:pStyle w:val="Compact"/>
        <w:numPr>
          <w:ilvl w:val="0"/>
          <w:numId w:val="1019"/>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109"/>
    <w:bookmarkStart w:id="112" w:name="code-availability"/>
    <w:p>
      <w:pPr>
        <w:pStyle w:val="Heading3"/>
      </w:pPr>
      <w:r>
        <w:t xml:space="preserve">Code availability</w:t>
      </w:r>
    </w:p>
    <w:p>
      <w:pPr>
        <w:pStyle w:val="Compact"/>
        <w:numPr>
          <w:ilvl w:val="0"/>
          <w:numId w:val="1020"/>
        </w:numPr>
      </w:pPr>
      <w:r>
        <w:t xml:space="preserve">The KCOR v6 reference implementation and complete validation suite are available in the project repository.</w:t>
      </w:r>
    </w:p>
    <w:p>
      <w:pPr>
        <w:pStyle w:val="Compact"/>
        <w:numPr>
          <w:ilvl w:val="0"/>
          <w:numId w:val="1020"/>
        </w:numPr>
      </w:pPr>
      <w:r>
        <w:t xml:space="preserve">Repository URL:</w:t>
      </w:r>
      <w:r>
        <w:t xml:space="preserve"> </w:t>
      </w:r>
      <w:hyperlink r:id="rId110">
        <w:r>
          <w:rPr>
            <w:rStyle w:val="Hyperlink"/>
          </w:rPr>
          <w:t xml:space="preserve">https://github.com/skirsch/KCOR</w:t>
        </w:r>
      </w:hyperlink>
    </w:p>
    <w:p>
      <w:pPr>
        <w:pStyle w:val="Compact"/>
        <w:numPr>
          <w:ilvl w:val="0"/>
          <w:numId w:val="1020"/>
        </w:numPr>
      </w:pPr>
      <w:r>
        <w:t xml:space="preserve">Zenodo DOI:</w:t>
      </w:r>
      <w:r>
        <w:t xml:space="preserve"> </w:t>
      </w:r>
      <w:hyperlink r:id="rId111">
        <w:r>
          <w:rPr>
            <w:rStyle w:val="Hyperlink"/>
          </w:rPr>
          <w:t xml:space="preserve">10.5281/zenodo.18050329</w:t>
        </w:r>
      </w:hyperlink>
    </w:p>
    <w:bookmarkEnd w:id="112"/>
    <w:bookmarkStart w:id="113" w:name="competing-interests"/>
    <w:p>
      <w:pPr>
        <w:pStyle w:val="Heading3"/>
      </w:pPr>
      <w:r>
        <w:t xml:space="preserve">Competing interests</w:t>
      </w:r>
    </w:p>
    <w:p>
      <w:pPr>
        <w:pStyle w:val="FirstParagraph"/>
      </w:pPr>
      <w:r>
        <w:t xml:space="preserve">The author is a board member of the Vaccine Safety Research Foundation.</w:t>
      </w:r>
    </w:p>
    <w:bookmarkEnd w:id="113"/>
    <w:bookmarkStart w:id="114" w:name="funding"/>
    <w:p>
      <w:pPr>
        <w:pStyle w:val="Heading3"/>
      </w:pPr>
      <w:r>
        <w:t xml:space="preserve">Funding</w:t>
      </w:r>
    </w:p>
    <w:p>
      <w:pPr>
        <w:pStyle w:val="FirstParagraph"/>
      </w:pPr>
      <w:r>
        <w:t xml:space="preserve">This research received no external funding.</w:t>
      </w:r>
    </w:p>
    <w:bookmarkEnd w:id="114"/>
    <w:bookmarkStart w:id="115"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15"/>
    <w:bookmarkStart w:id="116" w:name="acknowledgements"/>
    <w:p>
      <w:pPr>
        <w:pStyle w:val="Heading3"/>
      </w:pPr>
      <w:r>
        <w:t xml:space="preserve">Acknowledgements</w:t>
      </w:r>
    </w:p>
    <w:p>
      <w:pPr>
        <w:pStyle w:val="FirstParagraph"/>
      </w:pPr>
      <w:r>
        <w:t xml:space="preserve">The author thanks Clare Craig and Jasmin Cardinal for helpful discussions and methodological feedback during the development of this work. All errors remain the author’s responsibility.</w:t>
      </w:r>
    </w:p>
    <w:p>
      <w:r>
        <w:pict>
          <v:rect style="width:0;height:1.5pt" o:hralign="center" o:hrstd="t" o:hr="t"/>
        </w:pict>
      </w:r>
    </w:p>
    <w:bookmarkEnd w:id="116"/>
    <w:bookmarkEnd w:id="117"/>
    <w:bookmarkStart w:id="133" w:name="supplementary-material"/>
    <w:p>
      <w:pPr>
        <w:pStyle w:val="Heading2"/>
      </w:pPr>
      <w:r>
        <w:t xml:space="preserve">Supplementary material</w:t>
      </w:r>
    </w:p>
    <w:p>
      <w:pPr>
        <w:pStyle w:val="FirstParagraph"/>
      </w:pPr>
      <w:r>
        <w:t xml:space="preserve">Supplementary appendices provide mathematical derivations and full control-test specifications.</w:t>
      </w:r>
    </w:p>
    <w:bookmarkStart w:id="122" w:name="appendix-a.-mathematical-derivations"/>
    <w:p>
      <w:pPr>
        <w:pStyle w:val="Heading3"/>
      </w:pPr>
      <w:r>
        <w:t xml:space="preserve">Appendix A. Mathematical derivations</w:t>
      </w:r>
    </w:p>
    <w:bookmarkStart w:id="118" w:name="X949c457b8ec3518d2fcc001fd53881dea62bb28"/>
    <w:p>
      <w:pPr>
        <w:pStyle w:val="Heading4"/>
      </w:pPr>
      <w:r>
        <w:t xml:space="preserve">A.1 Frailty mixing induces hazard curvature</w:t>
      </w:r>
    </w:p>
    <w:p>
      <w:pPr>
        <w:pStyle w:val="FirstParagraph"/>
      </w:pPr>
      <w:r>
        <w:t xml:space="preserve">Consider a cohort where individual</w:t>
      </w:r>
      <w:r>
        <w:t xml:space="preserve"> </w:t>
      </w:r>
      <m:oMath>
        <m:r>
          <m:t>i</m:t>
        </m:r>
      </m:oMath>
      <w:r>
        <w:t xml:space="preserve"> </w:t>
      </w:r>
      <w:r>
        <w:t xml:space="preserve">has hazard</w:t>
      </w:r>
      <w:r>
        <w:t xml:space="preserve"> </w:t>
      </w: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oMath>
      <w:r>
        <w:t xml:space="preserve">, with frailty</w:t>
      </w:r>
      <w:r>
        <w:t xml:space="preserve"> </w:t>
      </w:r>
      <m:oMath>
        <m:sSub>
          <m:e>
            <m:r>
              <m:t>z</m:t>
            </m:r>
          </m:e>
          <m:sub>
            <m:r>
              <m:t>i</m:t>
            </m:r>
          </m:sub>
        </m:sSub>
      </m:oMath>
      <w:r>
        <w:t xml:space="preserve"> </w:t>
      </w:r>
      <w:r>
        <w:t xml:space="preserve">drawn from a distribution with mean 1 and variance</w:t>
      </w:r>
      <w:r>
        <w:t xml:space="preserve"> </w:t>
      </w:r>
      <m:oMath>
        <m:r>
          <m:t>θ</m:t>
        </m:r>
        <m:r>
          <m:rPr>
            <m:sty m:val="p"/>
          </m:rPr>
          <m:t>&gt;</m:t>
        </m:r>
        <m:r>
          <m:t>0</m:t>
        </m:r>
      </m:oMath>
      <w:r>
        <w:t xml:space="preserve">. Let</w:t>
      </w:r>
      <w:r>
        <w:t xml:space="preserve"> </w:t>
      </w:r>
      <m:oMath>
        <m:sSub>
          <m:e>
            <m:r>
              <m:t>S</m:t>
            </m:r>
          </m:e>
          <m:sub>
            <m:r>
              <m:t>i</m:t>
            </m:r>
          </m:sub>
        </m:sSub>
        <m:r>
          <m:rPr>
            <m:sty m:val="p"/>
          </m:rPr>
          <m:t>(</m:t>
        </m:r>
        <m:r>
          <m:t>t</m:t>
        </m:r>
        <m:r>
          <m:rPr>
            <m:sty m:val="p"/>
          </m:rPr>
          <m:t>)</m:t>
        </m:r>
        <m:r>
          <m:rPr>
            <m:sty m:val="p"/>
          </m:rPr>
          <m:t>=</m:t>
        </m:r>
        <m:r>
          <m:rPr>
            <m:sty m:val="p"/>
          </m:rPr>
          <m:t>exp</m:t>
        </m:r>
        <m:r>
          <m:rPr>
            <m:sty m:val="p"/>
          </m:rPr>
          <m:t>(</m:t>
        </m:r>
        <m:r>
          <m:rPr>
            <m:sty m:val="p"/>
          </m:rPr>
          <m:t>−</m:t>
        </m:r>
        <m:sSub>
          <m:e>
            <m:r>
              <m:t>z</m:t>
            </m:r>
          </m:e>
          <m:sub>
            <m:r>
              <m:t>i</m:t>
            </m:r>
          </m:sub>
        </m:sSub>
        <m:sSub>
          <m:e>
            <m:r>
              <m:t>H</m:t>
            </m:r>
          </m:e>
          <m:sub>
            <m:r>
              <m:t>0</m:t>
            </m:r>
          </m:sub>
        </m:sSub>
        <m:r>
          <m:rPr>
            <m:sty m:val="p"/>
          </m:rPr>
          <m:t>(</m:t>
        </m:r>
        <m:r>
          <m:t>t</m:t>
        </m:r>
        <m:r>
          <m:rPr>
            <m:sty m:val="p"/>
          </m:rPr>
          <m:t>)</m:t>
        </m:r>
        <m:r>
          <m:rPr>
            <m:sty m:val="p"/>
          </m:rPr>
          <m:t>)</m:t>
        </m:r>
      </m:oMath>
      <w:r>
        <w:t xml:space="preserve"> </w:t>
      </w:r>
      <w:r>
        <w:t xml:space="preserve">be the individual survival function, where</w:t>
      </w:r>
      <w:r>
        <w:t xml:space="preserve"> </w:t>
      </w:r>
      <m:oMath>
        <m:sSub>
          <m:e>
            <m:r>
              <m:t>H</m:t>
            </m:r>
          </m:e>
          <m:sub>
            <m:r>
              <m:t>0</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b>
            <m:e>
              <m:r>
                <m:t>E</m:t>
              </m:r>
            </m:e>
            <m:sub>
              <m:r>
                <m:t>z</m:t>
              </m:r>
            </m:sub>
          </m:sSub>
          <m:r>
            <m:rPr>
              <m:sty m:val="p"/>
            </m:rPr>
            <m:t>[</m:t>
          </m:r>
          <m:sSub>
            <m:e>
              <m:r>
                <m:t>S</m:t>
              </m:r>
            </m:e>
            <m:sub>
              <m:r>
                <m:t>i</m:t>
              </m:r>
            </m:sub>
          </m:sSub>
          <m:r>
            <m:rPr>
              <m:sty m:val="p"/>
            </m:rPr>
            <m:t>(</m:t>
          </m:r>
          <m:r>
            <m:t>t</m:t>
          </m:r>
          <m:r>
            <m:rPr>
              <m:sty m:val="p"/>
            </m:rPr>
            <m:t>)</m:t>
          </m:r>
          <m:r>
            <m:rPr>
              <m:sty m:val="p"/>
            </m:rPr>
            <m:t>]</m:t>
          </m:r>
          <m:r>
            <m:rPr>
              <m:sty m:val="p"/>
            </m:rPr>
            <m:t>=</m:t>
          </m:r>
          <m:sSub>
            <m:e>
              <m:r>
                <m:t>E</m:t>
              </m:r>
            </m:e>
            <m:sub>
              <m:r>
                <m:t>z</m:t>
              </m:r>
            </m:sub>
          </m:sSub>
          <m:r>
            <m:rPr>
              <m:sty m:val="p"/>
            </m:rPr>
            <m:t>[</m:t>
          </m:r>
          <m:r>
            <m:rPr>
              <m:sty m:val="p"/>
            </m:rPr>
            <m:t>exp</m:t>
          </m:r>
          <m:r>
            <m:rPr>
              <m:sty m:val="p"/>
            </m:rPr>
            <m:t>(</m:t>
          </m:r>
          <m:r>
            <m:rPr>
              <m:sty m:val="p"/>
            </m:rPr>
            <m:t>−</m:t>
          </m:r>
          <m:r>
            <m:t>z</m:t>
          </m:r>
          <m:sSub>
            <m:e>
              <m:r>
                <m:t>H</m:t>
              </m:r>
            </m:e>
            <m:sub>
              <m:r>
                <m:t>0</m:t>
              </m:r>
            </m:sub>
          </m:sSub>
          <m:r>
            <m:rPr>
              <m:sty m:val="p"/>
            </m:rPr>
            <m:t>(</m:t>
          </m:r>
          <m:r>
            <m:t>t</m:t>
          </m:r>
          <m:r>
            <m:rPr>
              <m:sty m:val="p"/>
            </m:rPr>
            <m:t>)</m:t>
          </m:r>
          <m:r>
            <m:rPr>
              <m:sty m:val="p"/>
            </m:rPr>
            <m:t>)</m:t>
          </m:r>
          <m:r>
            <m:rPr>
              <m:sty m:val="p"/>
            </m:rPr>
            <m:t>]</m:t>
          </m:r>
          <m:r>
            <m:rPr>
              <m:sty m:val="p"/>
            </m:rPr>
            <m:t>=</m:t>
          </m:r>
          <m:sSub>
            <m:e>
              <m:r>
                <m:rPr>
                  <m:scr m:val="script"/>
                  <m:sty m:val="p"/>
                </m:rPr>
                <m:t>L</m:t>
              </m:r>
            </m:e>
            <m:sub>
              <m:r>
                <m:t>z</m:t>
              </m:r>
            </m:sub>
          </m:sSub>
          <m:r>
            <m:rPr>
              <m:sty m:val="p"/>
            </m:rPr>
            <m:t>(</m:t>
          </m:r>
          <m:sSub>
            <m:e>
              <m:r>
                <m:t>H</m:t>
              </m:r>
            </m:e>
            <m:sub>
              <m:r>
                <m:t>0</m:t>
              </m:r>
            </m:sub>
          </m:sSub>
          <m:r>
            <m:rPr>
              <m:sty m:val="p"/>
            </m:rPr>
            <m:t>(</m:t>
          </m:r>
          <m:r>
            <m:t>t</m:t>
          </m:r>
          <m:r>
            <m:rPr>
              <m:sty m:val="p"/>
            </m:rPr>
            <m:t>)</m:t>
          </m:r>
          <m:r>
            <m:rPr>
              <m:sty m:val="p"/>
            </m:rPr>
            <m:t>)</m:t>
          </m:r>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r>
            <m:rPr>
              <m:sty m:val="p"/>
            </m:rPr>
            <m:t>−</m:t>
          </m:r>
          <m:f>
            <m:fPr>
              <m:type m:val="bar"/>
            </m:fPr>
            <m:num>
              <m:r>
                <m:t>d</m:t>
              </m:r>
            </m:num>
            <m:den>
              <m:r>
                <m:t>d</m:t>
              </m:r>
              <m:r>
                <m:t>t</m:t>
              </m:r>
            </m:den>
          </m:f>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sub>
        </m:sSub>
        <m:r>
          <m:rPr>
            <m:sty m:val="p"/>
          </m:rPr>
          <m:t>(</m:t>
        </m:r>
        <m:r>
          <m:t>t</m:t>
        </m:r>
        <m:r>
          <m:rPr>
            <m:sty m:val="p"/>
          </m:rPr>
          <m:t>)</m:t>
        </m:r>
        <m:r>
          <m:rPr>
            <m:sty m:val="p"/>
          </m:rPr>
          <m:t>=</m:t>
        </m:r>
        <m:r>
          <m:t>k</m:t>
        </m:r>
      </m:oMath>
      <w:r>
        <w:t xml:space="preserve"> </w:t>
      </w:r>
      <w:r>
        <w:t xml:space="preserve">is constant (so</w:t>
      </w:r>
      <w:r>
        <w:t xml:space="preserve"> </w:t>
      </w:r>
      <m:oMath>
        <m:sSub>
          <m:e>
            <m:r>
              <m:t>H</m:t>
            </m:r>
          </m:e>
          <m:sub>
            <m:r>
              <m:t>0</m:t>
            </m:r>
          </m:sub>
        </m:sSub>
        <m:r>
          <m:rPr>
            <m:sty m:val="p"/>
          </m:rPr>
          <m:t>(</m:t>
        </m:r>
        <m:r>
          <m:t>t</m:t>
        </m:r>
        <m:r>
          <m:rPr>
            <m:sty m:val="p"/>
          </m:rPr>
          <m:t>)</m:t>
        </m:r>
        <m:r>
          <m:rPr>
            <m:sty m:val="p"/>
          </m:rPr>
          <m:t>=</m:t>
        </m:r>
        <m:r>
          <m:t>k</m:t>
        </m:r>
        <m:r>
          <m:t>t</m:t>
        </m:r>
      </m:oMath>
      <w:r>
        <w:t xml:space="preserve">), the cohort hazard</w:t>
      </w:r>
      <w:r>
        <w:t xml:space="preserve"> </w:t>
      </w: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18"/>
    <w:bookmarkStart w:id="119"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r>
          <m:t>θ</m:t>
        </m:r>
        <m:r>
          <m:rPr>
            <m:sty m:val="p"/>
          </m:rPr>
          <m:t>,</m:t>
        </m:r>
        <m:r>
          <m:t>β</m:t>
        </m:r>
        <m:r>
          <m:rPr>
            <m:sty m:val="p"/>
          </m:rPr>
          <m:t>=</m:t>
        </m:r>
        <m:r>
          <m:t>1</m:t>
        </m:r>
        <m:r>
          <m:rPr>
            <m:sty m:val="p"/>
          </m:rPr>
          <m:t>/</m:t>
        </m:r>
        <m:r>
          <m:t>θ</m:t>
        </m:r>
        <m:r>
          <m:rPr>
            <m:sty m:val="p"/>
          </m:rPr>
          <m:t>)</m:t>
        </m:r>
      </m:oMath>
      <w:r>
        <w:t xml:space="preserve"> </w:t>
      </w:r>
      <w:r>
        <w:t xml:space="preserve">with mean 1 and variance</w:t>
      </w:r>
      <w:r>
        <w:t xml:space="preserve"> </w:t>
      </w:r>
      <m:oMath>
        <m:r>
          <m:t>θ</m:t>
        </m:r>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r>
                    <m:t>θ</m:t>
                  </m:r>
                  <m:r>
                    <m:t>s</m:t>
                  </m:r>
                </m:e>
              </m:d>
            </m:e>
            <m:sup>
              <m:r>
                <m:rPr>
                  <m:sty m:val="p"/>
                </m:rPr>
                <m:t>−</m:t>
              </m:r>
              <m:r>
                <m:t>1</m:t>
              </m:r>
              <m:r>
                <m:rPr>
                  <m:sty m:val="p"/>
                </m:rPr>
                <m:t>/</m:t>
              </m:r>
              <m:r>
                <m:t>θ</m:t>
              </m:r>
            </m:sup>
          </m:sSup>
          <m:r>
            <m:rPr>
              <m:sty m:val="p"/>
            </m:rPr>
            <m:t>.</m:t>
          </m:r>
        </m:oMath>
      </m:oMathPara>
    </w:p>
    <w:p>
      <w:pPr>
        <w:pStyle w:val="FirstParagraph"/>
      </w:pPr>
      <w:r>
        <w:t xml:space="preserve">The cohort survival function becomes:</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p>
            <m:e>
              <m:d>
                <m:dPr>
                  <m:begChr m:val="("/>
                  <m:sepChr m:val=""/>
                  <m:endChr m:val=")"/>
                  <m:grow/>
                </m:dPr>
                <m:e>
                  <m:r>
                    <m:t>1</m:t>
                  </m:r>
                  <m:r>
                    <m:rPr>
                      <m:sty m:val="p"/>
                    </m:rPr>
                    <m:t>+</m:t>
                  </m:r>
                  <m:r>
                    <m:t>θ</m:t>
                  </m:r>
                  <m:sSub>
                    <m:e>
                      <m:r>
                        <m:t>H</m:t>
                      </m:r>
                    </m:e>
                    <m:sub>
                      <m:r>
                        <m:t>0</m:t>
                      </m:r>
                    </m:sub>
                  </m:sSub>
                  <m:r>
                    <m:rPr>
                      <m:sty m:val="p"/>
                    </m:rPr>
                    <m:t>(</m:t>
                  </m:r>
                  <m:r>
                    <m:t>t</m:t>
                  </m:r>
                  <m:r>
                    <m:rPr>
                      <m:sty m:val="p"/>
                    </m:rPr>
                    <m:t>)</m:t>
                  </m:r>
                </m:e>
              </m:d>
            </m:e>
            <m:sup>
              <m:r>
                <m:rPr>
                  <m:sty m:val="p"/>
                </m:rPr>
                <m:t>−</m:t>
              </m:r>
              <m:r>
                <m:t>1</m:t>
              </m:r>
              <m:r>
                <m:rPr>
                  <m:sty m:val="p"/>
                </m:rPr>
                <m:t>/</m:t>
              </m:r>
              <m:r>
                <m:t>θ</m:t>
              </m:r>
            </m:sup>
          </m:sSup>
          <m:r>
            <m:rPr>
              <m:sty m:val="p"/>
            </m:rPr>
            <m:t>.</m:t>
          </m:r>
        </m:oMath>
      </m:oMathPara>
    </w:p>
    <w:p>
      <w:pPr>
        <w:pStyle w:val="FirstParagraph"/>
      </w:pPr>
      <w:r>
        <w:t xml:space="preserve">The observed cumulative hazard is</w:t>
      </w:r>
      <w:r>
        <w:t xml:space="preserve"> </w:t>
      </w:r>
      <m:oMath>
        <m:sSup>
          <m:e>
            <m:r>
              <m:t>H</m:t>
            </m:r>
          </m:e>
          <m:sup>
            <m:r>
              <m:rPr>
                <m:sty m:val="p"/>
              </m:rPr>
              <m:t>o</m:t>
            </m:r>
            <m:r>
              <m:rPr>
                <m:sty m:val="p"/>
              </m:rPr>
              <m:t>b</m:t>
            </m:r>
            <m:r>
              <m:rPr>
                <m:sty m:val="p"/>
              </m:rPr>
              <m:t>s</m:t>
            </m:r>
          </m:sup>
        </m:sSup>
        <m:r>
          <m:rPr>
            <m:sty m:val="p"/>
          </m:rPr>
          <m:t>(</m:t>
        </m:r>
        <m:r>
          <m:t>t</m:t>
        </m:r>
        <m:r>
          <m:rPr>
            <m:sty m:val="p"/>
          </m:rPr>
          <m:t>)</m:t>
        </m:r>
        <m:r>
          <m:rPr>
            <m:sty m:val="p"/>
          </m:rPr>
          <m:t>=</m:t>
        </m:r>
        <m:r>
          <m:rPr>
            <m:sty m:val="p"/>
          </m:rPr>
          <m:t>−</m:t>
        </m:r>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giving:</w:t>
      </w:r>
    </w:p>
    <w:p>
      <w:pPr>
        <w:pStyle w:val="BodyText"/>
      </w:pPr>
      <m:oMathPara>
        <m:oMathParaPr>
          <m:jc m:val="center"/>
        </m:oMathParaPr>
        <m:oMath>
          <m:sSup>
            <m:e>
              <m:r>
                <m:t>H</m:t>
              </m:r>
            </m:e>
            <m:sup>
              <m:r>
                <m:rPr>
                  <m:sty m:val="p"/>
                </m:rPr>
                <m:t>o</m:t>
              </m:r>
              <m:r>
                <m:rPr>
                  <m:sty m:val="p"/>
                </m:rPr>
                <m:t>b</m:t>
              </m:r>
              <m:r>
                <m:rPr>
                  <m:sty m:val="p"/>
                </m:rPr>
                <m:t>s</m:t>
              </m:r>
            </m:sup>
          </m:sSup>
          <m:r>
            <m:rPr>
              <m:sty m:val="p"/>
            </m:rPr>
            <m:t>(</m:t>
          </m:r>
          <m:r>
            <m:t>t</m:t>
          </m:r>
          <m:r>
            <m:rPr>
              <m:sty m:val="p"/>
            </m:rPr>
            <m:t>)</m:t>
          </m:r>
          <m:r>
            <m:rPr>
              <m:sty m:val="p"/>
            </m:rPr>
            <m:t>=</m:t>
          </m:r>
          <m:f>
            <m:fPr>
              <m:type m:val="bar"/>
            </m:fPr>
            <m:num>
              <m:r>
                <m:t>1</m:t>
              </m:r>
            </m:num>
            <m:den>
              <m:r>
                <m:t>θ</m:t>
              </m:r>
            </m:den>
          </m:f>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r>
            <m:rPr>
              <m:sty m:val="p"/>
            </m:rPr>
            <m:t>.</m:t>
          </m:r>
        </m:oMath>
      </m:oMathPara>
    </w:p>
    <w:p>
      <w:pPr>
        <w:pStyle w:val="FirstParagraph"/>
      </w:pPr>
      <w:r>
        <w:t xml:space="preserve">This is the gamma-frailty identity (Equation {#eq:gamma-frailty-identity} in the main text).</w:t>
      </w:r>
    </w:p>
    <w:bookmarkEnd w:id="119"/>
    <w:bookmarkStart w:id="120" w:name="a.3-inversion-formula"/>
    <w:p>
      <w:pPr>
        <w:pStyle w:val="Heading4"/>
      </w:pPr>
      <w:r>
        <w:t xml:space="preserve">A.3 Inversion formula</w:t>
      </w:r>
    </w:p>
    <w:p>
      <w:pPr>
        <w:pStyle w:val="FirstParagraph"/>
      </w:pPr>
      <w:r>
        <w:t xml:space="preserve">Solving for</w:t>
      </w:r>
      <w:r>
        <w:t xml:space="preserve"> </w:t>
      </w:r>
      <m:oMath>
        <m:sSub>
          <m:e>
            <m:r>
              <m:t>H</m:t>
            </m:r>
          </m:e>
          <m:sub>
            <m:r>
              <m:t>0</m:t>
            </m:r>
          </m:sub>
        </m:sSub>
        <m:r>
          <m:rPr>
            <m:sty m:val="p"/>
          </m:rPr>
          <m:t>(</m:t>
        </m:r>
        <m:r>
          <m:t>t</m:t>
        </m:r>
        <m:r>
          <m:rPr>
            <m:sty m:val="p"/>
          </m:rPr>
          <m:t>)</m:t>
        </m:r>
      </m:oMath>
      <w:r>
        <w:t xml:space="preserve"> </w:t>
      </w:r>
      <w:r>
        <w:t xml:space="preserve">from the gamma-frailty identity:</w:t>
      </w:r>
    </w:p>
    <w:p>
      <w:pPr>
        <w:pStyle w:val="BodyText"/>
      </w:pPr>
      <m:oMathPara>
        <m:oMathParaPr>
          <m:jc m:val="center"/>
        </m:oMathParaPr>
        <m:oMath>
          <m:r>
            <m:t>θ</m:t>
          </m:r>
          <m:sSup>
            <m:e>
              <m:r>
                <m:t>H</m:t>
              </m:r>
            </m:e>
            <m:sup>
              <m:r>
                <m:rPr>
                  <m:sty m:val="p"/>
                </m:rPr>
                <m:t>o</m:t>
              </m:r>
              <m:r>
                <m:rPr>
                  <m:sty m:val="p"/>
                </m:rPr>
                <m:t>b</m:t>
              </m:r>
              <m:r>
                <m:rPr>
                  <m:sty m:val="p"/>
                </m:rPr>
                <m:t>s</m:t>
              </m:r>
            </m:sup>
          </m:sSup>
          <m:r>
            <m:rPr>
              <m:sty m:val="p"/>
            </m:rPr>
            <m:t>(</m:t>
          </m:r>
          <m:r>
            <m:t>t</m:t>
          </m:r>
          <m:r>
            <m:rPr>
              <m:sty m:val="p"/>
            </m:rPr>
            <m:t>)</m:t>
          </m:r>
          <m:r>
            <m:rPr>
              <m:sty m:val="p"/>
            </m:rPr>
            <m:t>=</m:t>
          </m:r>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oMath>
      </m:oMathPara>
    </w:p>
    <w:p>
      <w:pPr>
        <w:pStyle w:val="FirstParagraph"/>
      </w:pPr>
      <m:oMathPara>
        <m:oMathParaPr>
          <m:jc m:val="center"/>
        </m:oMathParaPr>
        <m:oMath>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r>
            <m:rPr>
              <m:sty m:val="p"/>
            </m:rPr>
            <m:t>+</m:t>
          </m:r>
          <m:r>
            <m:t>θ</m:t>
          </m:r>
          <m:sSub>
            <m:e>
              <m:r>
                <m:t>H</m:t>
              </m:r>
            </m:e>
            <m:sub>
              <m:r>
                <m:t>0</m:t>
              </m:r>
            </m:sub>
          </m:sSub>
          <m:r>
            <m:rPr>
              <m:sty m:val="p"/>
            </m:rPr>
            <m:t>(</m:t>
          </m:r>
          <m:r>
            <m:t>t</m:t>
          </m:r>
          <m:r>
            <m:rPr>
              <m:sty m:val="p"/>
            </m:rPr>
            <m:t>)</m:t>
          </m:r>
        </m:oMath>
      </m:oMathPara>
    </w:p>
    <w:p>
      <w:pPr>
        <w:pStyle w:val="FirstParagraph"/>
      </w:pPr>
      <m:oMathPara>
        <m:oMathParaPr>
          <m:jc m:val="center"/>
        </m:oMathParaPr>
        <m:oMath>
          <m:sSub>
            <m:e>
              <m:r>
                <m:t>H</m:t>
              </m:r>
            </m:e>
            <m:sub>
              <m:r>
                <m:t>0</m:t>
              </m:r>
            </m:sub>
          </m:sSub>
          <m:r>
            <m:rPr>
              <m:sty m:val="p"/>
            </m:rPr>
            <m:t>(</m:t>
          </m:r>
          <m:r>
            <m:t>t</m:t>
          </m:r>
          <m:r>
            <m:rPr>
              <m:sty m:val="p"/>
            </m:rPr>
            <m:t>)</m:t>
          </m:r>
          <m:r>
            <m:rPr>
              <m:sty m:val="p"/>
            </m:rPr>
            <m:t>=</m:t>
          </m:r>
          <m:f>
            <m:fPr>
              <m:type m:val="bar"/>
            </m:fPr>
            <m:num>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num>
            <m:den>
              <m:r>
                <m:t>θ</m:t>
              </m:r>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r>
          <m:t>θ</m:t>
        </m:r>
      </m:oMath>
      <w:r>
        <w:t xml:space="preserve">.</w:t>
      </w:r>
    </w:p>
    <w:bookmarkEnd w:id="120"/>
    <w:bookmarkStart w:id="121" w:name="a.4-variance-propagation-sketch"/>
    <w:p>
      <w:pPr>
        <w:pStyle w:val="Heading4"/>
      </w:pPr>
      <w:r>
        <w:t xml:space="preserve">A.4 Variance propagation (sketch)</w:t>
      </w:r>
    </w:p>
    <w:p>
      <w:pPr>
        <w:pStyle w:val="FirstParagraph"/>
      </w:pPr>
      <w:r>
        <w:t xml:space="preserve">For uncertainty quantification, variance in KCOR</w:t>
      </w:r>
      <m:oMath>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can be approximated via the delta method. If</w:t>
      </w:r>
      <w:r>
        <w:t xml:space="preserve"> </w:t>
      </w:r>
      <m:oMath>
        <m:r>
          <m:rPr>
            <m:sty m:val="p"/>
          </m:rPr>
          <m:t>V</m:t>
        </m:r>
        <m:r>
          <m:rPr>
            <m:sty m:val="p"/>
          </m:rPr>
          <m:t>a</m:t>
        </m:r>
        <m:r>
          <m:rPr>
            <m:sty m:val="p"/>
          </m:rPr>
          <m:t>r</m:t>
        </m:r>
        <m:r>
          <m:rPr>
            <m:sty m:val="p"/>
          </m:rPr>
          <m:t>(</m:t>
        </m:r>
        <m:sSub>
          <m:e>
            <m:acc>
              <m:accPr>
                <m:chr m:val="̃"/>
              </m:accPr>
              <m:e>
                <m:r>
                  <m:t>H</m:t>
                </m:r>
              </m:e>
            </m:acc>
          </m:e>
          <m:sub>
            <m:r>
              <m:t>0</m:t>
            </m:r>
            <m:r>
              <m:rPr>
                <m:sty m:val="p"/>
              </m:rPr>
              <m:t>,</m:t>
            </m:r>
            <m:r>
              <m:t>d</m:t>
            </m:r>
          </m:sub>
        </m:sSub>
        <m:r>
          <m:rPr>
            <m:sty m:val="p"/>
          </m:rPr>
          <m:t>)</m:t>
        </m:r>
      </m:oMath>
      <w:r>
        <w:t xml:space="preserve"> </w:t>
      </w:r>
      <w:r>
        <w:t xml:space="preserve">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rPr>
              <m:sty m:val="p"/>
            </m:rPr>
            <m:t>(</m:t>
          </m:r>
          <m:r>
            <m:rPr>
              <m:sty m:val="p"/>
            </m:rPr>
            <m:t>K</m:t>
          </m:r>
          <m:r>
            <m:rPr>
              <m:sty m:val="p"/>
            </m:rPr>
            <m:t>C</m:t>
          </m:r>
          <m:r>
            <m:rPr>
              <m:sty m:val="p"/>
            </m:rPr>
            <m:t>O</m:t>
          </m:r>
          <m:r>
            <m:rPr>
              <m:sty m:val="p"/>
            </m:rPr>
            <m:t>R</m:t>
          </m:r>
          <m:r>
            <m:rPr>
              <m:sty m:val="p"/>
            </m:rPr>
            <m:t>)</m:t>
          </m:r>
          <m:r>
            <m:rPr>
              <m:sty m:val="p"/>
            </m:rPr>
            <m:t>≈</m:t>
          </m:r>
          <m:sSup>
            <m:e>
              <m:r>
                <m:rPr>
                  <m:sty m:val="p"/>
                </m:rPr>
                <m:t>K</m:t>
              </m:r>
              <m:r>
                <m:rPr>
                  <m:sty m:val="p"/>
                </m:rPr>
                <m:t>C</m:t>
              </m:r>
              <m:r>
                <m:rPr>
                  <m:sty m:val="p"/>
                </m:rPr>
                <m:t>O</m:t>
              </m:r>
              <m:r>
                <m:rPr>
                  <m:sty m:val="p"/>
                </m:rPr>
                <m:t>R</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num>
                <m:den>
                  <m:sSubSup>
                    <m:e>
                      <m:acc>
                        <m:accPr>
                          <m:chr m:val="̃"/>
                        </m:accPr>
                        <m:e>
                          <m:r>
                            <m:t>H</m:t>
                          </m:r>
                        </m:e>
                      </m:acc>
                    </m:e>
                    <m:sub>
                      <m:r>
                        <m:t>0</m:t>
                      </m:r>
                      <m:r>
                        <m:rPr>
                          <m:sty m:val="p"/>
                        </m:rPr>
                        <m:t>,</m:t>
                      </m:r>
                      <m:r>
                        <m:t>A</m:t>
                      </m:r>
                    </m:sub>
                    <m:sup>
                      <m:r>
                        <m:t>2</m:t>
                      </m:r>
                    </m:sup>
                  </m:sSub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num>
                <m:den>
                  <m:sSubSup>
                    <m:e>
                      <m:acc>
                        <m:accPr>
                          <m:chr m:val="̃"/>
                        </m:accPr>
                        <m:e>
                          <m:r>
                            <m:t>H</m:t>
                          </m:r>
                        </m:e>
                      </m:acc>
                    </m:e>
                    <m:sub>
                      <m:r>
                        <m:t>0</m:t>
                      </m:r>
                      <m:r>
                        <m:rPr>
                          <m:sty m:val="p"/>
                        </m:rPr>
                        <m:t>,</m:t>
                      </m:r>
                      <m:r>
                        <m:t>B</m:t>
                      </m:r>
                    </m:sub>
                    <m:sup>
                      <m:r>
                        <m:t>2</m:t>
                      </m:r>
                    </m:sup>
                  </m:sSub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sSub>
                    <m:e>
                      <m:acc>
                        <m:accPr>
                          <m:chr m:val="̃"/>
                        </m:accPr>
                        <m:e>
                          <m:r>
                            <m:t>H</m:t>
                          </m:r>
                        </m:e>
                      </m:acc>
                    </m:e>
                    <m:sub>
                      <m:r>
                        <m:t>0</m:t>
                      </m:r>
                      <m:r>
                        <m:rPr>
                          <m:sty m:val="p"/>
                        </m:rPr>
                        <m:t>,</m:t>
                      </m:r>
                      <m:r>
                        <m:t>B</m:t>
                      </m:r>
                    </m:sub>
                  </m:sSub>
                  <m:r>
                    <m:rPr>
                      <m:sty m:val="p"/>
                    </m:rPr>
                    <m:t>)</m:t>
                  </m:r>
                </m:num>
                <m:den>
                  <m:sSub>
                    <m:e>
                      <m:acc>
                        <m:accPr>
                          <m:chr m:val="̃"/>
                        </m:accPr>
                        <m:e>
                          <m:r>
                            <m:t>H</m:t>
                          </m:r>
                        </m:e>
                      </m:acc>
                    </m:e>
                    <m:sub>
                      <m:r>
                        <m:t>0</m:t>
                      </m:r>
                      <m:r>
                        <m:rPr>
                          <m:sty m:val="p"/>
                        </m:rPr>
                        <m:t>,</m:t>
                      </m:r>
                      <m:r>
                        <m:t>A</m:t>
                      </m:r>
                    </m:sub>
                  </m:sSub>
                  <m:sSub>
                    <m:e>
                      <m:acc>
                        <m:accPr>
                          <m:chr m:val="̃"/>
                        </m:accPr>
                        <m:e>
                          <m:r>
                            <m:t>H</m:t>
                          </m:r>
                        </m:e>
                      </m:acc>
                    </m:e>
                    <m:sub>
                      <m:r>
                        <m:t>0</m:t>
                      </m:r>
                      <m:r>
                        <m:rPr>
                          <m:sty m:val="p"/>
                        </m:rPr>
                        <m:t>,</m:t>
                      </m:r>
                      <m:r>
                        <m:t>B</m:t>
                      </m:r>
                    </m:sub>
                  </m:sSub>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21"/>
    <w:bookmarkEnd w:id="122"/>
    <w:bookmarkStart w:id="127" w:name="appendix-b.-control-test-specifications"/>
    <w:p>
      <w:pPr>
        <w:pStyle w:val="Heading3"/>
      </w:pPr>
      <w:r>
        <w:t xml:space="preserve">Appendix B. Control-test specifications</w:t>
      </w:r>
    </w:p>
    <w:bookmarkStart w:id="123" w:name="X2180becb792c7366d1a2d9abe674c7e8eb8a3b6"/>
    <w:p>
      <w:pPr>
        <w:pStyle w:val="Heading4"/>
      </w:pPr>
      <w:r>
        <w:t xml:space="preserve">B.1 Negative control: synthetic gamma-frailty null</w:t>
      </w:r>
    </w:p>
    <w:p>
      <w:pPr>
        <w:pStyle w:val="FirstParagraph"/>
      </w:pPr>
      <w:r>
        <w:t xml:space="preserve">The synthetic negative control (Figure fig. 3) is generated using:</w:t>
      </w:r>
    </w:p>
    <w:p>
      <w:pPr>
        <w:pStyle w:val="Compact"/>
        <w:numPr>
          <w:ilvl w:val="0"/>
          <w:numId w:val="1021"/>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21"/>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21"/>
        </w:numPr>
      </w:pPr>
      <w:r>
        <w:rPr>
          <w:b/>
          <w:bCs/>
        </w:rPr>
        <w:t xml:space="preserve">Cohort A weights</w:t>
      </w:r>
      <w:r>
        <w:t xml:space="preserve">: Equal weights across 5 frailty groups (0.2 each)</w:t>
      </w:r>
    </w:p>
    <w:p>
      <w:pPr>
        <w:pStyle w:val="Compact"/>
        <w:numPr>
          <w:ilvl w:val="0"/>
          <w:numId w:val="1021"/>
        </w:numPr>
      </w:pPr>
      <w:r>
        <w:rPr>
          <w:b/>
          <w:bCs/>
        </w:rPr>
        <w:t xml:space="preserve">Cohort B weights</w:t>
      </w:r>
      <w:r>
        <w:t xml:space="preserve">: Shifted weights [0.30, 0.20, 0.20, 0.20, 0.10]</w:t>
      </w:r>
    </w:p>
    <w:p>
      <w:pPr>
        <w:pStyle w:val="Compact"/>
        <w:numPr>
          <w:ilvl w:val="0"/>
          <w:numId w:val="1021"/>
        </w:numPr>
      </w:pPr>
      <w:r>
        <w:rPr>
          <w:b/>
          <w:bCs/>
        </w:rPr>
        <w:t xml:space="preserve">Frailty values</w:t>
      </w:r>
      <w:r>
        <w:t xml:space="preserve">: [1, 2, 4, 6, 10] (relative frailty multipliers)</w:t>
      </w:r>
    </w:p>
    <w:p>
      <w:pPr>
        <w:pStyle w:val="Compact"/>
        <w:numPr>
          <w:ilvl w:val="0"/>
          <w:numId w:val="1021"/>
        </w:numPr>
      </w:pPr>
      <w:r>
        <w:rPr>
          <w:b/>
          <w:bCs/>
        </w:rPr>
        <w:t xml:space="preserve">Base weekly probability</w:t>
      </w:r>
      <w:r>
        <w:t xml:space="preserve">: 0.01</w:t>
      </w:r>
    </w:p>
    <w:p>
      <w:pPr>
        <w:pStyle w:val="Compact"/>
        <w:numPr>
          <w:ilvl w:val="0"/>
          <w:numId w:val="1021"/>
        </w:numPr>
      </w:pPr>
      <w:r>
        <w:rPr>
          <w:b/>
          <w:bCs/>
        </w:rPr>
        <w:t xml:space="preserve">Weekly log-slope</w:t>
      </w:r>
      <w:r>
        <w:t xml:space="preserve">: 0.0 (constant baseline during quiet periods)</w:t>
      </w:r>
    </w:p>
    <w:p>
      <w:pPr>
        <w:pStyle w:val="Compact"/>
        <w:numPr>
          <w:ilvl w:val="0"/>
          <w:numId w:val="1021"/>
        </w:numPr>
      </w:pPr>
      <w:r>
        <w:rPr>
          <w:b/>
          <w:bCs/>
        </w:rPr>
        <w:t xml:space="preserve">Skip weeks</w:t>
      </w:r>
      <w:r>
        <w:t xml:space="preserve">: 2</w:t>
      </w:r>
    </w:p>
    <w:p>
      <w:pPr>
        <w:pStyle w:val="Compact"/>
        <w:numPr>
          <w:ilvl w:val="0"/>
          <w:numId w:val="1021"/>
        </w:numPr>
      </w:pPr>
      <w:r>
        <w:rPr>
          <w:b/>
          <w:bCs/>
        </w:rPr>
        <w:t xml:space="preserve">Normalization weeks</w:t>
      </w:r>
      <w:r>
        <w:t xml:space="preserve">: 4</w:t>
      </w:r>
    </w:p>
    <w:p>
      <w:pPr>
        <w:pStyle w:val="Compact"/>
        <w:numPr>
          <w:ilvl w:val="0"/>
          <w:numId w:val="1021"/>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23"/>
    <w:bookmarkStart w:id="124" w:name="X6ca5a97e85e9ee460a15280db933ceb5c1ed112"/>
    <w:p>
      <w:pPr>
        <w:pStyle w:val="Heading4"/>
      </w:pPr>
      <w:r>
        <w:t xml:space="preserve">B.2 Negative control: empirical age-shift construction</w:t>
      </w:r>
    </w:p>
    <w:p>
      <w:pPr>
        <w:pStyle w:val="FirstParagraph"/>
      </w:pPr>
      <w:r>
        <w:t xml:space="preserve">The empirical negative control (Figures fig. 4 and fig. 5) is generated using:</w:t>
      </w:r>
    </w:p>
    <w:p>
      <w:pPr>
        <w:pStyle w:val="Compact"/>
        <w:numPr>
          <w:ilvl w:val="0"/>
          <w:numId w:val="1022"/>
        </w:numPr>
      </w:pPr>
      <w:r>
        <w:rPr>
          <w:b/>
          <w:bCs/>
        </w:rPr>
        <w:t xml:space="preserve">Data source</w:t>
      </w:r>
      <w:r>
        <w:t xml:space="preserve">: Czech Republic administrative mortality and vaccination data, aggregated into KCOR_CMR format</w:t>
      </w:r>
    </w:p>
    <w:p>
      <w:pPr>
        <w:pStyle w:val="Compact"/>
        <w:numPr>
          <w:ilvl w:val="0"/>
          <w:numId w:val="1022"/>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22"/>
        </w:numPr>
      </w:pPr>
      <w:r>
        <w:rPr>
          <w:b/>
          <w:bCs/>
        </w:rPr>
        <w:t xml:space="preserve">Construction</w:t>
      </w:r>
      <w:r>
        <w:t xml:space="preserve">: Age strata remapped to pseudo-doses within same vaccination category</w:t>
      </w:r>
    </w:p>
    <w:p>
      <w:pPr>
        <w:pStyle w:val="Compact"/>
        <w:numPr>
          <w:ilvl w:val="0"/>
          <w:numId w:val="1022"/>
        </w:numPr>
      </w:pPr>
      <w:r>
        <w:rPr>
          <w:b/>
          <w:bCs/>
        </w:rPr>
        <w:t xml:space="preserve">Age mapping</w:t>
      </w:r>
      <w:r>
        <w:t xml:space="preserve">:</w:t>
      </w:r>
    </w:p>
    <w:p>
      <w:pPr>
        <w:pStyle w:val="Compact"/>
        <w:numPr>
          <w:ilvl w:val="1"/>
          <w:numId w:val="1023"/>
        </w:numPr>
      </w:pPr>
      <w:r>
        <w:t xml:space="preserve">Dose 0 → YoB {1930, 1935}</w:t>
      </w:r>
    </w:p>
    <w:p>
      <w:pPr>
        <w:pStyle w:val="Compact"/>
        <w:numPr>
          <w:ilvl w:val="1"/>
          <w:numId w:val="1023"/>
        </w:numPr>
      </w:pPr>
      <w:r>
        <w:t xml:space="preserve">Dose 1 → YoB {1940, 1945}</w:t>
      </w:r>
    </w:p>
    <w:p>
      <w:pPr>
        <w:pStyle w:val="Compact"/>
        <w:numPr>
          <w:ilvl w:val="1"/>
          <w:numId w:val="1023"/>
        </w:numPr>
      </w:pPr>
      <w:r>
        <w:t xml:space="preserve">Dose 2 → YoB {1950, 1955}</w:t>
      </w:r>
    </w:p>
    <w:p>
      <w:pPr>
        <w:pStyle w:val="Compact"/>
        <w:numPr>
          <w:ilvl w:val="0"/>
          <w:numId w:val="1022"/>
        </w:numPr>
      </w:pPr>
      <w:r>
        <w:rPr>
          <w:b/>
          <w:bCs/>
        </w:rPr>
        <w:t xml:space="preserve">Output YoB</w:t>
      </w:r>
      <w:r>
        <w:t xml:space="preserve">: Fixed at 1950 (unvax cohort) or 1940 (vax cohort)</w:t>
      </w:r>
    </w:p>
    <w:p>
      <w:pPr>
        <w:pStyle w:val="Compact"/>
        <w:numPr>
          <w:ilvl w:val="0"/>
          <w:numId w:val="1022"/>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24"/>
    <w:bookmarkStart w:id="125" w:name="b.3-positive-control-injected-effect"/>
    <w:p>
      <w:pPr>
        <w:pStyle w:val="Heading4"/>
      </w:pPr>
      <w:r>
        <w:t xml:space="preserve">B.3 Positive control: injected effect</w:t>
      </w:r>
    </w:p>
    <w:p>
      <w:pPr>
        <w:pStyle w:val="FirstParagraph"/>
      </w:pPr>
      <w:r>
        <w:t xml:space="preserve">The positive control (Figure fig. 6 and Table tbl. 5) is generated using:</w:t>
      </w:r>
    </w:p>
    <w:p>
      <w:pPr>
        <w:pStyle w:val="Compact"/>
        <w:numPr>
          <w:ilvl w:val="0"/>
          <w:numId w:val="1024"/>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24"/>
        </w:numPr>
      </w:pPr>
      <w:r>
        <w:rPr>
          <w:b/>
          <w:bCs/>
        </w:rPr>
        <w:t xml:space="preserve">Initial cohort size</w:t>
      </w:r>
      <w:r>
        <w:t xml:space="preserve">: 100,000 per cohort</w:t>
      </w:r>
    </w:p>
    <w:p>
      <w:pPr>
        <w:pStyle w:val="Compact"/>
        <w:numPr>
          <w:ilvl w:val="0"/>
          <w:numId w:val="1024"/>
        </w:numPr>
      </w:pPr>
      <w:r>
        <w:rPr>
          <w:b/>
          <w:bCs/>
        </w:rPr>
        <w:t xml:space="preserve">Baseline hazard</w:t>
      </w:r>
      <w:r>
        <w:t xml:space="preserve">: 0.002 per week</w:t>
      </w:r>
    </w:p>
    <w:p>
      <w:pPr>
        <w:pStyle w:val="Compact"/>
        <w:numPr>
          <w:ilvl w:val="0"/>
          <w:numId w:val="1024"/>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24"/>
        </w:numPr>
      </w:pPr>
      <w:r>
        <w:rPr>
          <w:b/>
          <w:bCs/>
        </w:rPr>
        <w:t xml:space="preserve">Effect window</w:t>
      </w:r>
      <w:r>
        <w:t xml:space="preserve">: weeks 20–80</w:t>
      </w:r>
    </w:p>
    <w:p>
      <w:pPr>
        <w:pStyle w:val="Compact"/>
        <w:numPr>
          <w:ilvl w:val="0"/>
          <w:numId w:val="1024"/>
        </w:numPr>
      </w:pPr>
      <w:r>
        <w:rPr>
          <w:b/>
          <w:bCs/>
        </w:rPr>
        <w:t xml:space="preserve">Hazard multipliers</w:t>
      </w:r>
      <w:r>
        <w:t xml:space="preserve">:</w:t>
      </w:r>
    </w:p>
    <w:p>
      <w:pPr>
        <w:pStyle w:val="Compact"/>
        <w:numPr>
          <w:ilvl w:val="1"/>
          <w:numId w:val="1025"/>
        </w:numPr>
      </w:pPr>
      <w:r>
        <w:t xml:space="preserve">Harm scenario:</w:t>
      </w:r>
      <w:r>
        <w:t xml:space="preserve"> </w:t>
      </w:r>
      <m:oMath>
        <m:r>
          <m:t>r</m:t>
        </m:r>
        <m:r>
          <m:rPr>
            <m:sty m:val="p"/>
          </m:rPr>
          <m:t>=</m:t>
        </m:r>
        <m:r>
          <m:t>1.2</m:t>
        </m:r>
      </m:oMath>
    </w:p>
    <w:p>
      <w:pPr>
        <w:pStyle w:val="Compact"/>
        <w:numPr>
          <w:ilvl w:val="1"/>
          <w:numId w:val="1025"/>
        </w:numPr>
      </w:pPr>
      <w:r>
        <w:t xml:space="preserve">Benefit scenario:</w:t>
      </w:r>
      <w:r>
        <w:t xml:space="preserve"> </w:t>
      </w:r>
      <m:oMath>
        <m:r>
          <m:t>r</m:t>
        </m:r>
        <m:r>
          <m:rPr>
            <m:sty m:val="p"/>
          </m:rPr>
          <m:t>=</m:t>
        </m:r>
        <m:r>
          <m:t>0.8</m:t>
        </m:r>
      </m:oMath>
    </w:p>
    <w:p>
      <w:pPr>
        <w:pStyle w:val="Compact"/>
        <w:numPr>
          <w:ilvl w:val="0"/>
          <w:numId w:val="1024"/>
        </w:numPr>
      </w:pPr>
      <w:r>
        <w:rPr>
          <w:b/>
          <w:bCs/>
        </w:rPr>
        <w:t xml:space="preserve">Random seed</w:t>
      </w:r>
      <w:r>
        <w:t xml:space="preserve">: 42</w:t>
      </w:r>
    </w:p>
    <w:p>
      <w:pPr>
        <w:pStyle w:val="Compact"/>
        <w:numPr>
          <w:ilvl w:val="0"/>
          <w:numId w:val="1024"/>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effect window, while leaving the control cohort unchanged.</w:t>
      </w:r>
    </w:p>
    <w:bookmarkEnd w:id="125"/>
    <w:bookmarkStart w:id="126" w:name="b.4-sensitivity-analysis-parameters"/>
    <w:p>
      <w:pPr>
        <w:pStyle w:val="Heading4"/>
      </w:pPr>
      <w:r>
        <w:t xml:space="preserve">B.4 Sensitivity analysis parameters</w:t>
      </w:r>
    </w:p>
    <w:p>
      <w:pPr>
        <w:pStyle w:val="FirstParagraph"/>
      </w:pPr>
      <w:r>
        <w:t xml:space="preserve">The sensitivity analysis (Figure fig. 7) varies:</w:t>
      </w:r>
    </w:p>
    <w:p>
      <w:pPr>
        <w:pStyle w:val="Compact"/>
        <w:numPr>
          <w:ilvl w:val="0"/>
          <w:numId w:val="1026"/>
        </w:numPr>
      </w:pPr>
      <w:r>
        <w:rPr>
          <w:b/>
          <w:bCs/>
        </w:rPr>
        <w:t xml:space="preserve">Baseline weeks</w:t>
      </w:r>
      <w:r>
        <w:t xml:space="preserve">: [2, 3, 4, 5, 6, 7, 8]</w:t>
      </w:r>
    </w:p>
    <w:p>
      <w:pPr>
        <w:pStyle w:val="Compact"/>
        <w:numPr>
          <w:ilvl w:val="0"/>
          <w:numId w:val="1026"/>
        </w:numPr>
      </w:pPr>
      <w:r>
        <w:rPr>
          <w:b/>
          <w:bCs/>
        </w:rPr>
        <w:t xml:space="preserve">Quiet-start offsets</w:t>
      </w:r>
      <w:r>
        <w:t xml:space="preserve">: [-12, -8, -4, 0, +4, +8, +12] weeks from 2022-24</w:t>
      </w:r>
    </w:p>
    <w:p>
      <w:pPr>
        <w:pStyle w:val="Compact"/>
        <w:numPr>
          <w:ilvl w:val="0"/>
          <w:numId w:val="1026"/>
        </w:numPr>
      </w:pPr>
      <w:r>
        <w:rPr>
          <w:b/>
          <w:bCs/>
        </w:rPr>
        <w:t xml:space="preserve">Quiet-window end</w:t>
      </w:r>
      <w:r>
        <w:t xml:space="preserve">: Fixed at 2024-16</w:t>
      </w:r>
    </w:p>
    <w:p>
      <w:pPr>
        <w:pStyle w:val="Compact"/>
        <w:numPr>
          <w:ilvl w:val="0"/>
          <w:numId w:val="1026"/>
        </w:numPr>
      </w:pPr>
      <w:r>
        <w:rPr>
          <w:b/>
          <w:bCs/>
        </w:rPr>
        <w:t xml:space="preserve">Dose pairs</w:t>
      </w:r>
      <w:r>
        <w:t xml:space="preserve">: 1 vs 0, 2 vs 0, 2 vs 1</w:t>
      </w:r>
    </w:p>
    <w:p>
      <w:pPr>
        <w:pStyle w:val="Compact"/>
        <w:numPr>
          <w:ilvl w:val="0"/>
          <w:numId w:val="1026"/>
        </w:numPr>
      </w:pPr>
      <w:r>
        <w:rPr>
          <w:b/>
          <w:bCs/>
        </w:rPr>
        <w:t xml:space="preserve">Cohorts</w:t>
      </w:r>
      <w:r>
        <w:t xml:space="preserve">: 2021_24</w:t>
      </w:r>
    </w:p>
    <w:p>
      <w:pPr>
        <w:pStyle w:val="FirstParagraph"/>
      </w:pPr>
      <w:r>
        <w:t xml:space="preserve">Output grids show KCOR values for each parameter combination.</w:t>
      </w:r>
    </w:p>
    <w:bookmarkEnd w:id="126"/>
    <w:bookmarkEnd w:id="127"/>
    <w:bookmarkStart w:id="132" w:name="X3fb27f9d14d988b0afc4c757bd6d2a45d2ae0b5"/>
    <w:p>
      <w:pPr>
        <w:pStyle w:val="Heading3"/>
      </w:pPr>
      <w:r>
        <w:t xml:space="preserve">Appendix C. Additional figures and diagnostics</w:t>
      </w:r>
    </w:p>
    <w:bookmarkStart w:id="128"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27"/>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27"/>
        </w:numPr>
      </w:pPr>
      <w:r>
        <w:rPr>
          <w:b/>
          <w:bCs/>
        </w:rPr>
        <w:t xml:space="preserve">Fitted parameters</w:t>
      </w:r>
      <w:r>
        <w:t xml:space="preserve">:</w:t>
      </w:r>
      <w:r>
        <w:t xml:space="preserve"> </w:t>
      </w:r>
      <m:oMath>
        <m:sSub>
          <m:e>
            <m:acc>
              <m:accPr>
                <m:chr m:val="̂"/>
              </m:accPr>
              <m:e>
                <m:r>
                  <m:t>k</m:t>
                </m:r>
              </m:e>
            </m:acc>
          </m:e>
          <m:sub>
            <m:r>
              <m:t>d</m:t>
            </m:r>
          </m:sub>
        </m:sSub>
      </m:oMath>
      <w:r>
        <w:t xml:space="preserve"> </w:t>
      </w:r>
      <w:r>
        <w:t xml:space="preserve">(baseline hazard level) and</w:t>
      </w:r>
      <w:r>
        <w:t xml:space="preserve"> </w:t>
      </w:r>
      <m:oMath>
        <m:sSub>
          <m:e>
            <m:acc>
              <m:accPr>
                <m:chr m:val="̂"/>
              </m:accPr>
              <m:e>
                <m:r>
                  <m:t>θ</m:t>
                </m:r>
              </m:e>
            </m:acc>
          </m:e>
          <m:sub>
            <m:r>
              <m:t>d</m:t>
            </m:r>
          </m:sub>
        </m:sSub>
      </m:oMath>
      <w:r>
        <w:t xml:space="preserve"> </w:t>
      </w:r>
      <w:r>
        <w:t xml:space="preserve">(frailty variance). Very small</w:t>
      </w:r>
      <w:r>
        <w:t xml:space="preserve"> </w:t>
      </w:r>
      <m:oMath>
        <m:sSub>
          <m:e>
            <m:acc>
              <m:accPr>
                <m:chr m:val="̂"/>
              </m:accPr>
              <m:e>
                <m:r>
                  <m:t>θ</m:t>
                </m:r>
              </m:e>
            </m:acc>
          </m:e>
          <m:sub>
            <m:r>
              <m:t>d</m:t>
            </m:r>
          </m:sub>
        </m:sSub>
      </m:oMath>
      <w:r>
        <w:t xml:space="preserve"> </w:t>
      </w:r>
      <w:r>
        <w:t xml:space="preserve">(&lt; 0.01) indicates minimal detected depletion; very large values (&gt; 5) may indicate model stress.</w:t>
      </w:r>
    </w:p>
    <w:p>
      <w:pPr>
        <w:pStyle w:val="Compact"/>
        <w:numPr>
          <w:ilvl w:val="0"/>
          <w:numId w:val="1027"/>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KCOR6_FIT,EnrollmentDate=2021_24,YoB=1950,Dose=0,</w:t>
      </w:r>
      <w:r>
        <w:br/>
      </w:r>
      <w:r>
        <w:rPr>
          <w:rStyle w:val="VerbatimChar"/>
        </w:rPr>
        <w:t xml:space="preserve">  k_hat=4.29e-03,theta_hat=8.02e-01,</w:t>
      </w:r>
      <w:r>
        <w:br/>
      </w:r>
      <w:r>
        <w:rPr>
          <w:rStyle w:val="VerbatimChar"/>
        </w:rPr>
        <w:t xml:space="preserve">  RMSE_Hobs=3.37e-03,n_obs=97,success=1</w:t>
      </w:r>
    </w:p>
    <w:bookmarkEnd w:id="128"/>
    <w:bookmarkStart w:id="129" w:name="c.2-residual-analysis"/>
    <w:p>
      <w:pPr>
        <w:pStyle w:val="Heading4"/>
      </w:pPr>
      <w:r>
        <w:t xml:space="preserve">C.2 Residual analysis</w:t>
      </w:r>
    </w:p>
    <w:p>
      <w:pPr>
        <w:pStyle w:val="FirstParagraph"/>
      </w:pPr>
      <w:r>
        <w:t xml:space="preserve">Fit residuals</w:t>
      </w:r>
      <w:r>
        <w:t xml:space="preserve"> </w:t>
      </w:r>
      <m:oMath>
        <m:sSub>
          <m:e>
            <m:r>
              <m:t>r</m:t>
            </m:r>
          </m:e>
          <m:sub>
            <m:r>
              <m:t>t</m:t>
            </m:r>
          </m:sub>
        </m:sSub>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examined for:</w:t>
      </w:r>
    </w:p>
    <w:p>
      <w:pPr>
        <w:pStyle w:val="Compact"/>
        <w:numPr>
          <w:ilvl w:val="0"/>
          <w:numId w:val="1028"/>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28"/>
        </w:numPr>
      </w:pPr>
      <w:r>
        <w:rPr>
          <w:b/>
          <w:bCs/>
        </w:rPr>
        <w:t xml:space="preserve">Outliers</w:t>
      </w:r>
      <w:r>
        <w:t xml:space="preserve">: Individual weeks with large residuals may indicate data quality issues or external shocks.</w:t>
      </w:r>
    </w:p>
    <w:p>
      <w:pPr>
        <w:pStyle w:val="Compact"/>
        <w:numPr>
          <w:ilvl w:val="0"/>
          <w:numId w:val="1028"/>
        </w:numPr>
      </w:pPr>
      <w:r>
        <w:rPr>
          <w:b/>
          <w:bCs/>
        </w:rPr>
        <w:t xml:space="preserve">Autocorrelation</w:t>
      </w:r>
      <w:r>
        <w:t xml:space="preserve">: Strong autocorrelation in residuals suggests the model is missing time-varying structure.</w:t>
      </w:r>
    </w:p>
    <w:bookmarkEnd w:id="129"/>
    <w:bookmarkStart w:id="130" w:name="c.3-parameter-stability-checks"/>
    <w:p>
      <w:pPr>
        <w:pStyle w:val="Heading4"/>
      </w:pPr>
      <w:r>
        <w:t xml:space="preserve">C.3 Parameter stability checks</w:t>
      </w:r>
    </w:p>
    <w:p>
      <w:pPr>
        <w:pStyle w:val="FirstParagraph"/>
      </w:pPr>
      <w:r>
        <w:t xml:space="preserve">Robustness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assessed by:</w:t>
      </w:r>
    </w:p>
    <w:p>
      <w:pPr>
        <w:pStyle w:val="Compact"/>
        <w:numPr>
          <w:ilvl w:val="0"/>
          <w:numId w:val="1029"/>
        </w:numPr>
      </w:pPr>
      <w:r>
        <w:rPr>
          <w:b/>
          <w:bCs/>
        </w:rPr>
        <w:t xml:space="preserve">Quiet-window perturbation</w:t>
      </w:r>
      <w:r>
        <w:t xml:space="preserve">: Shift the quiet-window start/end by ±4 weeks and re-fit. Stable parameters should vary by &lt; 10%.</w:t>
      </w:r>
    </w:p>
    <w:p>
      <w:pPr>
        <w:pStyle w:val="Compact"/>
        <w:numPr>
          <w:ilvl w:val="0"/>
          <w:numId w:val="1029"/>
        </w:numPr>
      </w:pPr>
      <w:r>
        <w:rPr>
          <w:b/>
          <w:bCs/>
        </w:rPr>
        <w:t xml:space="preserve">Skip-weeks sensitivity</w:t>
      </w:r>
      <w:r>
        <w:t xml:space="preserve">: Vary SKIP_WEEKS from 0 to 8 and verify KCOR trajectories remain qualitatively similar.</w:t>
      </w:r>
    </w:p>
    <w:p>
      <w:pPr>
        <w:pStyle w:val="Compact"/>
        <w:numPr>
          <w:ilvl w:val="0"/>
          <w:numId w:val="1029"/>
        </w:numPr>
      </w:pPr>
      <w:r>
        <w:rPr>
          <w:b/>
          <w:bCs/>
        </w:rPr>
        <w:t xml:space="preserve">Baseline-shape alternatives</w:t>
      </w:r>
      <w:r>
        <w:t xml:space="preserve">: Compare default</w:t>
      </w:r>
      <w:r>
        <w:t xml:space="preserve"> </w:t>
      </w:r>
      <m:oMath>
        <m:r>
          <m:t>g</m:t>
        </m:r>
        <m:r>
          <m:rPr>
            <m:sty m:val="p"/>
          </m:rPr>
          <m:t>(</m:t>
        </m:r>
        <m:r>
          <m:t>t</m:t>
        </m:r>
        <m:r>
          <m:rPr>
            <m:sty m:val="p"/>
          </m:rPr>
          <m:t>)</m:t>
        </m:r>
        <m:r>
          <m:rPr>
            <m:sty m:val="p"/>
          </m:rPr>
          <m:t>=</m:t>
        </m:r>
        <m:r>
          <m:t>1</m:t>
        </m:r>
      </m:oMath>
      <w:r>
        <w:t xml:space="preserve"> </w:t>
      </w:r>
      <w:r>
        <w:t xml:space="preserve">to mild linear trends and verify normalization is not sensitive to this choice.</w:t>
      </w:r>
    </w:p>
    <w:p>
      <w:pPr>
        <w:pStyle w:val="FirstParagraph"/>
      </w:pPr>
      <w:r>
        <w:t xml:space="preserve">The sensitivity analysis (§3.3 and Figure fig. 7) provides a systematic assessment of parameter stability.</w:t>
      </w:r>
    </w:p>
    <w:bookmarkEnd w:id="130"/>
    <w:bookmarkStart w:id="131"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30"/>
        </w:numPr>
      </w:pPr>
      <w:r>
        <w:t xml:space="preserve">Avoid major epidemic waves or external mortality shocks</w:t>
      </w:r>
    </w:p>
    <w:p>
      <w:pPr>
        <w:pStyle w:val="Compact"/>
        <w:numPr>
          <w:ilvl w:val="0"/>
          <w:numId w:val="1030"/>
        </w:numPr>
      </w:pPr>
      <w:r>
        <w:t xml:space="preserve">Contain sufficient event counts for stable estimation</w:t>
      </w:r>
    </w:p>
    <w:p>
      <w:pPr>
        <w:pStyle w:val="Compact"/>
        <w:numPr>
          <w:ilvl w:val="0"/>
          <w:numId w:val="1030"/>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p>
      <w:r>
        <w:pict>
          <v:rect style="width:0;height:1.5pt" o:hralign="center" o:hrstd="t" o:hr="t"/>
        </w:pict>
      </w:r>
    </w:p>
    <w:bookmarkEnd w:id="131"/>
    <w:bookmarkEnd w:id="132"/>
    <w:bookmarkEnd w:id="133"/>
    <w:bookmarkStart w:id="142" w:name="references"/>
    <w:p>
      <w:pPr>
        <w:pStyle w:val="Heading2"/>
      </w:pPr>
      <w:r>
        <w:t xml:space="preserve">References</w:t>
      </w:r>
    </w:p>
    <w:bookmarkStart w:id="141" w:name="refs"/>
    <w:bookmarkStart w:id="135" w:name="ref-obel2024"/>
    <w:p>
      <w:pPr>
        <w:pStyle w:val="Bibliography"/>
      </w:pPr>
      <w:r>
        <w:t xml:space="preserve">1.</w:t>
      </w:r>
      <w:r>
        <w:t xml:space="preserve"> </w:t>
      </w:r>
      <w:r>
        <w:t xml:space="preserve">	</w:t>
      </w:r>
      <w:r>
        <w:t xml:space="preserve">Obel N, Fox M, Tetens M, Pedersen L, Krause T, Ullum H,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 Clinical Epidemiology. 2024 July;Volume 16:501–12. doi:</w:t>
      </w:r>
      <w:hyperlink r:id="rId134">
        <w:r>
          <w:rPr>
            <w:rStyle w:val="Hyperlink"/>
          </w:rPr>
          <w:t xml:space="preserve">10.2147/CLEP.S468572</w:t>
        </w:r>
      </w:hyperlink>
    </w:p>
    <w:bookmarkEnd w:id="135"/>
    <w:bookmarkStart w:id="137" w:name="ref-chemaitelly2025"/>
    <w:p>
      <w:pPr>
        <w:pStyle w:val="Bibliography"/>
      </w:pPr>
      <w:r>
        <w:t xml:space="preserve">2.</w:t>
      </w:r>
      <w:r>
        <w:t xml:space="preserve"> </w:t>
      </w:r>
      <w:r>
        <w:t xml:space="preserve">	</w:t>
      </w:r>
      <w:r>
        <w:t xml:space="preserve">Chemaitelly H, Ayoub HH, Coyle P, Tang P, Hasan MR, Yassine HM,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editors. eLife. 2025 June;14:e103690. doi:</w:t>
      </w:r>
      <w:hyperlink r:id="rId136">
        <w:r>
          <w:rPr>
            <w:rStyle w:val="Hyperlink"/>
          </w:rPr>
          <w:t xml:space="preserve">10.7554/eLife.103690</w:t>
        </w:r>
      </w:hyperlink>
    </w:p>
    <w:bookmarkEnd w:id="137"/>
    <w:bookmarkStart w:id="139" w:name="ref-vaupel1979"/>
    <w:p>
      <w:pPr>
        <w:pStyle w:val="Bibliography"/>
      </w:pPr>
      <w:r>
        <w:t xml:space="preserve">3.</w:t>
      </w:r>
      <w:r>
        <w:t xml:space="preserve"> </w:t>
      </w:r>
      <w:r>
        <w:t xml:space="preserve">	</w:t>
      </w:r>
      <w:r>
        <w:t xml:space="preserve">Vaupel JW, Manton KG, Stallard E. The impact of heterogeneity in individual frailty on the dynamics of mortality. Demography. 1979 Aug;16(3):439–54. doi:</w:t>
      </w:r>
      <w:hyperlink r:id="rId138">
        <w:r>
          <w:rPr>
            <w:rStyle w:val="Hyperlink"/>
          </w:rPr>
          <w:t xml:space="preserve">10.2307/2061224</w:t>
        </w:r>
      </w:hyperlink>
    </w:p>
    <w:bookmarkEnd w:id="139"/>
    <w:bookmarkStart w:id="140" w:name="ref-sanca2024"/>
    <w:p>
      <w:pPr>
        <w:pStyle w:val="Bibliography"/>
      </w:pPr>
      <w:r>
        <w:t xml:space="preserve">4.</w:t>
      </w:r>
      <w:r>
        <w:t xml:space="preserve"> </w:t>
      </w:r>
      <w:r>
        <w:t xml:space="preserve">	</w:t>
      </w:r>
      <w:r>
        <w:t xml:space="preserve">Šanca O, Jarkovský J, Klimeš D, Zelinková H, Klika P, K. Benešová, et al. Vaccination, positivity, hospitalization for</w:t>
      </w:r>
      <w:r>
        <w:t xml:space="preserve"> </w:t>
      </w:r>
      <w:r>
        <w:t xml:space="preserve">COVID-19</w:t>
      </w:r>
      <w:r>
        <w:t xml:space="preserve">, deaths, long covid and comorbidities in people in the</w:t>
      </w:r>
      <w:r>
        <w:t xml:space="preserve"> </w:t>
      </w:r>
      <w:r>
        <w:t xml:space="preserve">Czech Republic</w:t>
      </w:r>
      <w:r>
        <w:t xml:space="preserve">. National Health Information Portal. 2024;</w:t>
      </w:r>
      <w:r>
        <w:t xml:space="preserve"> </w:t>
      </w:r>
    </w:p>
    <w:bookmarkEnd w:id="140"/>
    <w:bookmarkEnd w:id="141"/>
    <w:bookmarkEnd w:id="142"/>
    <w:bookmarkEnd w:id="1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53" Target="media/rId53.png" /><Relationship Type="http://schemas.openxmlformats.org/officeDocument/2006/relationships/image" Id="rId60" Target="media/rId60.png" /><Relationship Type="http://schemas.openxmlformats.org/officeDocument/2006/relationships/image" Id="rId78" Target="media/rId78.png" /><Relationship Type="http://schemas.openxmlformats.org/officeDocument/2006/relationships/image" Id="rId84" Target="media/rId84.png" /><Relationship Type="http://schemas.openxmlformats.org/officeDocument/2006/relationships/image" Id="rId93" Target="media/rId93.png" /><Relationship Type="http://schemas.openxmlformats.org/officeDocument/2006/relationships/image" Id="rId89" Target="media/rId89.png" /><Relationship Type="http://schemas.openxmlformats.org/officeDocument/2006/relationships/hyperlink" Id="rId134" Target="https://doi.org/10.2147/CLEP.S468572" TargetMode="External" /><Relationship Type="http://schemas.openxmlformats.org/officeDocument/2006/relationships/hyperlink" Id="rId138" Target="https://doi.org/10.2307/2061224" TargetMode="External" /><Relationship Type="http://schemas.openxmlformats.org/officeDocument/2006/relationships/hyperlink" Id="rId111" Target="https://doi.org/10.5281/zenodo.18050329" TargetMode="External" /><Relationship Type="http://schemas.openxmlformats.org/officeDocument/2006/relationships/hyperlink" Id="rId136" Target="https://doi.org/10.7554/eLife.103690" TargetMode="External" /><Relationship Type="http://schemas.openxmlformats.org/officeDocument/2006/relationships/hyperlink" Id="rId110"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34" Target="https://doi.org/10.2147/CLEP.S468572" TargetMode="External" /><Relationship Type="http://schemas.openxmlformats.org/officeDocument/2006/relationships/hyperlink" Id="rId138" Target="https://doi.org/10.2307/2061224" TargetMode="External" /><Relationship Type="http://schemas.openxmlformats.org/officeDocument/2006/relationships/hyperlink" Id="rId111" Target="https://doi.org/10.5281/zenodo.18050329" TargetMode="External" /><Relationship Type="http://schemas.openxmlformats.org/officeDocument/2006/relationships/hyperlink" Id="rId136" Target="https://doi.org/10.7554/eLife.103690" TargetMode="External" /><Relationship Type="http://schemas.openxmlformats.org/officeDocument/2006/relationships/hyperlink" Id="rId110"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2025-12-27T06:01:33Z</dcterms:created>
  <dcterms:modified xsi:type="dcterms:W3CDTF">2025-12-27T06:01:33Z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vancouver-superscript.csl</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