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95.png" ContentType="image/png"/>
  <Override PartName="/word/media/rId99.png" ContentType="image/png"/>
  <Override PartName="/word/media/rId73.png" ContentType="image/png"/>
  <Override PartName="/word/media/rId77.png" ContentType="image/png"/>
  <Override PartName="/word/media/rId67.png" ContentType="image/png"/>
  <Override PartName="/word/media/rId89.png" ContentType="image/png"/>
  <Override PartName="/word/media/rId107.png" ContentType="image/png"/>
  <Override PartName="/word/media/rId130.png" ContentType="image/png"/>
  <Override PartName="/word/media/rId126.png" ContentType="image/png"/>
  <Override PartName="/word/media/rId113.png" ContentType="image/png"/>
  <Override PartName="/word/media/rId122.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X7e352faca4f4abc41f11b7392747c843df7c7d0"/>
    <w:p>
      <w:pPr>
        <w:pStyle w:val="Heading1"/>
      </w:pPr>
      <w:r>
        <w:t xml:space="preserve">KCOR: Depletion-Neutralized Cohort Comparison via Gamma-Frailty Normalization Under Selection-Induced Hazard Curvature</w:t>
      </w:r>
    </w:p>
    <w:bookmarkStart w:id="9" w:name="manuscript-metadata"/>
    <w:p>
      <w:pPr>
        <w:pStyle w:val="Heading2"/>
      </w:pPr>
      <w:r>
        <w:t xml:space="preserve">Manuscript metadata</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w:t>
      </w:r>
      <w:r>
        <w:t xml:space="preserve">: Steven T. Kirsch</w:t>
      </w:r>
    </w:p>
    <w:p>
      <w:pPr>
        <w:pStyle w:val="Compact"/>
        <w:numPr>
          <w:ilvl w:val="0"/>
          <w:numId w:val="1001"/>
        </w:numPr>
      </w:pPr>
      <w:r>
        <w:rPr>
          <w:b/>
          <w:bCs/>
        </w:rPr>
        <w:t xml:space="preserve">Affiliations</w:t>
      </w:r>
      <w:r>
        <w:t xml:space="preserve">: Independent Researcher, United States</w:t>
      </w:r>
    </w:p>
    <w:p>
      <w:pPr>
        <w:pStyle w:val="Compact"/>
        <w:numPr>
          <w:ilvl w:val="0"/>
          <w:numId w:val="1001"/>
        </w:numPr>
      </w:pPr>
      <w:r>
        <w:rPr>
          <w:b/>
          <w:bCs/>
        </w:rPr>
        <w:t xml:space="preserve">Corresponding author</w:t>
      </w:r>
      <w:r>
        <w:t xml:space="preserve">: stk@alum.mit.edu</w:t>
      </w:r>
    </w:p>
    <w:p>
      <w:pPr>
        <w:pStyle w:val="Compact"/>
        <w:numPr>
          <w:ilvl w:val="0"/>
          <w:numId w:val="1001"/>
        </w:numPr>
      </w:pPr>
      <w:r>
        <w:rPr>
          <w:b/>
          <w:bCs/>
        </w:rPr>
        <w:t xml:space="preserve">Word count</w:t>
      </w:r>
      <w:r>
        <w:t xml:space="preserve">: 12,100 (excluding Abstract, References, and Supplementary material)</w:t>
      </w:r>
    </w:p>
    <w:p>
      <w:pPr>
        <w:pStyle w:val="Compact"/>
        <w:numPr>
          <w:ilvl w:val="0"/>
          <w:numId w:val="1001"/>
        </w:numPr>
      </w:pPr>
      <w:r>
        <w:rPr>
          <w:b/>
          <w:bCs/>
        </w:rPr>
        <w:t xml:space="preserve">Keywords</w:t>
      </w:r>
      <w:r>
        <w:t xml:space="preserve">: selection bias; healthy vaccinee effect; non-proportional hazards; frailty; gamma frailty; negative controls; causal inference; observational studies; mortality curvature</w:t>
      </w:r>
    </w:p>
    <w:bookmarkEnd w:id="9"/>
    <w:bookmarkStart w:id="10"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Selective uptake can induce systematic differences in mortality curvature—differences in the time-evolution of cohort hazards driven by frailty heterogeneity and depletion of susceptibles—violating the assumptions of Cox proportional hazards models, age-standardized mortality rates, and inverse-probability weighting. We introduce</w:t>
      </w:r>
      <w:r>
        <w:t xml:space="preserve"> </w:t>
      </w:r>
      <w:r>
        <w:rPr>
          <w:b/>
          <w:bCs/>
        </w:rPr>
        <w:t xml:space="preserve">KCOR (Kirsch Cumulative Outcomes Ratio)</w:t>
      </w:r>
      <w:r>
        <w:t xml:space="preserve">, a method that normalizes selection-induced curvature before cohort comparison by estimating and inverting a gamma-frailty mixture model in</w:t>
      </w:r>
      <w:r>
        <w:t xml:space="preserve"> </w:t>
      </w:r>
      <w:r>
        <w:rPr>
          <w:b/>
          <w:bCs/>
        </w:rPr>
        <w:t xml:space="preserve">cumulative-hazard space</w:t>
      </w:r>
      <w:r>
        <w:t xml:space="preserve">. This paper contributes a generalizable estimator for retrospective cohort comparisons under non-proportional hazards induced by selection-driven depletion of susceptibles. KCOR fits cohort-specific selection parameters during epidemiologically quiet periods. Observed cumulative hazards are then transformed to depletion-neutralized baseline cumulative hazards and compared cumulatively via ratios. Because selection and treatment can be confounded in observational data, KCOR is presented as an integrated normalization-and-comparison framework; causal interpretation requires additional assumptions and is evaluated via prespecified control tests and simulations. We describe the KCOR framework, its mathematical foundation, and its validation using prespecified negative and positive control tests designed to stress curvature. KCOR requires only event timing—dates of intervention (enrollment) and dates of death, with birth date or year for age stratification. This makes it applicable to minimal record-level mortality datasets. Empirically, KCOR frequently estimates negligible frailty variance for some cohorts while estimating substantial frailty-driven depletion for others, reflecting asymmetric selection at cohort entry. After frailty neutralization, the depletion-neutralized cumulative hazards are expected to be approximately linear during epidemiologically quiet periods; departures from linearity serve as a built-in diagnostic of assumption violation or quiet-window contamination. KCOR defines a unified cumulative comparison whose output is the cumulative hazard ratio. KCOR therefore enables interpretable cumulative cohort comparisons in settings where treated and untreated hazards are non-proportional because selection induces different depletion dynamics, while also providing explicit failure-mode signals when curvature cannot be explained by the depletion model. Simulation studies confirm that KCOR remains stable under selection-only regimes and reliably detects injected cumulative effects when present.</w:t>
      </w:r>
    </w:p>
    <w:bookmarkEnd w:id="10"/>
    <w:bookmarkStart w:id="11" w:name="key-messages"/>
    <w:p>
      <w:pPr>
        <w:pStyle w:val="Heading2"/>
      </w:pPr>
      <w:r>
        <w:t xml:space="preserve">Key messages</w:t>
      </w:r>
    </w:p>
    <w:p>
      <w:pPr>
        <w:pStyle w:val="FirstParagraph"/>
      </w:pPr>
      <w:r>
        <w:t xml:space="preserve">• Selection-induced depletion under latent frailty heterogeneity precludes reliable use of proportional hazards–based methods in many retrospective cohort studies.</w:t>
      </w:r>
    </w:p>
    <w:p>
      <w:pPr>
        <w:pStyle w:val="BodyText"/>
      </w:pPr>
      <w:r>
        <w:t xml:space="preserve">• KCOR enables depletion-neutralized cumulative outcome comparisons using only minimal event-time information (e.g., dates of birth, intervention, and death), without requiring covariate completeness or proportional hazards assumptions.</w:t>
      </w:r>
    </w:p>
    <w:p>
      <w:pPr>
        <w:pStyle w:val="BodyText"/>
      </w:pPr>
      <w:r>
        <w:t xml:space="preserve">• Simulation studies show that KCOR remains stable under selection-only regimes, while standard Cox regression can yield strongly non-null hazard ratios despite a true null effect.</w:t>
      </w:r>
    </w:p>
    <w:bookmarkEnd w:id="11"/>
    <w:bookmarkStart w:id="23" w:name="introduction"/>
    <w:p>
      <w:pPr>
        <w:pStyle w:val="Heading2"/>
      </w:pPr>
      <w:r>
        <w:t xml:space="preserve">1. Introduction</w:t>
      </w:r>
    </w:p>
    <w:bookmarkStart w:id="12"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12"/>
    <w:bookmarkStart w:id="13"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w:t>
      </w:r>
      <w:r>
        <w:t xml:space="preserve"> </w:t>
      </w:r>
      <w:r>
        <w:t xml:space="preserve">“curvature”</w:t>
      </w:r>
      <w:r>
        <w:t xml:space="preserve"> </w:t>
      </w:r>
      <w:r>
        <w:t xml:space="preserve">is in cumulative-hazard space: if the cumulative hazard</w:t>
      </w:r>
      <w:r>
        <w:t xml:space="preserve"> </w:t>
      </w:r>
      <m:oMath>
        <m:r>
          <m:t>H</m:t>
        </m:r>
        <m:r>
          <m:rPr>
            <m:sty m:val="p"/>
          </m:rPr>
          <m:t>(</m:t>
        </m:r>
        <m:r>
          <m:t>t</m:t>
        </m:r>
        <m:r>
          <m:rPr>
            <m:sty m:val="p"/>
          </m:rPr>
          <m:t>)</m:t>
        </m:r>
      </m:oMath>
      <w:r>
        <w:t xml:space="preserve"> </w:t>
      </w:r>
      <w:r>
        <w:t xml:space="preserve">were perfectly linear in time, then its second derivative would be zero, whereas selection-induced depletion generally produces negative concavity (downward curvature) in observed cumulative hazards during otherwise stable periods.</w:t>
      </w:r>
    </w:p>
    <w:p>
      <w:pPr>
        <w:pStyle w:val="BodyText"/>
      </w:pPr>
      <w:r>
        <w:t xml:space="preserve">This violates core assumptions of many standard tools:</w:t>
      </w:r>
    </w:p>
    <w:p>
      <w:pPr>
        <w:pStyle w:val="Compact"/>
        <w:numPr>
          <w:ilvl w:val="0"/>
          <w:numId w:val="1002"/>
        </w:numPr>
      </w:pPr>
      <w:r>
        <w:rPr>
          <w:b/>
          <w:bCs/>
        </w:rPr>
        <w:t xml:space="preserve">Cox PH</w:t>
      </w:r>
      <w:r>
        <w:t xml:space="preserve">: assumes hazards differ by a time-invariant multiplicative factor (proportional hazards).</w:t>
      </w:r>
    </w:p>
    <w:p>
      <w:pPr>
        <w:pStyle w:val="Compact"/>
        <w:numPr>
          <w:ilvl w:val="0"/>
          <w:numId w:val="1002"/>
        </w:numPr>
      </w:pPr>
      <w:r>
        <w:rPr>
          <w:b/>
          <w:bCs/>
        </w:rPr>
        <w:t xml:space="preserve">IPTW / matching</w:t>
      </w:r>
      <w:r>
        <w:t xml:space="preserve">: can balance measured covariates yet fail to balance unmeasured frailty and the resulting depletion dynamics.</w:t>
      </w:r>
    </w:p>
    <w:p>
      <w:pPr>
        <w:pStyle w:val="Compact"/>
        <w:numPr>
          <w:ilvl w:val="0"/>
          <w:numId w:val="1002"/>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r>
        <w:t xml:space="preserve"> </w:t>
      </w:r>
      <w:r>
        <w:t xml:space="preserve">Approximate linearity of cumulative hazard after adjustment is therefore not assumed, but serves as an internal diagnostic indicating that selection-induced depletion has been successfully removed.</w:t>
      </w:r>
    </w:p>
    <w:p>
      <w:pPr>
        <w:pStyle w:val="BodyText"/>
      </w:pPr>
      <w:r>
        <w:t xml:space="preserve">The methodological problem addressed here is general. The COVID-19 period provides a natural empirical regime characterized by strong selection heterogeneity and non-proportional hazards, serving as a useful illustration for the proposed framework. However, KCOR is not specific to COVID, vaccination, or infectious disease. The estimator applies to any retrospective cohort comparison in which selection induces differential depletion dynamics that violate proportional hazards assumptions.</w:t>
      </w:r>
    </w:p>
    <w:p>
      <w:pPr>
        <w:pStyle w:val="BodyText"/>
      </w:pPr>
      <w:r>
        <w:t xml:space="preserve">In this paper we distinguish two mechanisms often lumped as the</w:t>
      </w:r>
      <w:r>
        <w:t xml:space="preserve"> </w:t>
      </w:r>
      <w:r>
        <w:t xml:space="preserve">‘healthy vaccinee effect’</w:t>
      </w:r>
      <w:r>
        <w:t xml:space="preserve"> </w:t>
      </w:r>
      <w:r>
        <w:t xml:space="preserve">(HVE):</w:t>
      </w:r>
    </w:p>
    <w:p>
      <w:pPr>
        <w:numPr>
          <w:ilvl w:val="0"/>
          <w:numId w:val="1003"/>
        </w:numPr>
      </w:pPr>
      <w:r>
        <w:rPr>
          <w:b/>
          <w:bCs/>
        </w:rPr>
        <w:t xml:space="preserve">Static HVE:</w:t>
      </w:r>
      <w:r>
        <w:t xml:space="preserve"> </w:t>
      </w:r>
      <w:r>
        <w:t xml:space="preserve">baseline differences in latent frailty distributions at cohort entry (e.g., vaccinated cohorts are healthier on average). In the KCOR framework, this manifests as differing depletion curvature (different</w:t>
      </w:r>
      <w:r>
        <w:t xml:space="preserve"> </w:t>
      </w:r>
      <m:oMath>
        <m:sSub>
          <m:e>
            <m:r>
              <m:t>θ</m:t>
            </m:r>
          </m:e>
          <m:sub>
            <m:r>
              <m:t>d</m:t>
            </m:r>
          </m:sub>
        </m:sSub>
      </m:oMath>
      <w:r>
        <w:t xml:space="preserve">) and is the primary target of frailty normalization.</w:t>
      </w:r>
    </w:p>
    <w:p>
      <w:pPr>
        <w:numPr>
          <w:ilvl w:val="0"/>
          <w:numId w:val="1003"/>
        </w:numPr>
      </w:pPr>
      <w:r>
        <w:rPr>
          <w:b/>
          <w:bCs/>
        </w:rPr>
        <w:t xml:space="preserve">Dynamic HVE:</w:t>
      </w:r>
      <w:r>
        <w:t xml:space="preserve"> </w:t>
      </w:r>
      <w:r>
        <w:t xml:space="preserve">short-horizon, time-local selection processes around enrollment that create transient hazard suppression immediately after enrollment (e.g., deferral of vaccination during acute illness, administrative timing, or short-term behavioral/health-seeking changes). Dynamic HVE is operationally addressed by prespecifying a skip/stabilization window (§2.7) and can be evaluated empirically by comparing early-period signatures across related cohorts in multi-dose settings.</w:t>
      </w:r>
    </w:p>
    <w:bookmarkEnd w:id="13"/>
    <w:bookmarkStart w:id="14" w:name="X974696bf5bcaf66698b40c6142794e9a43502cb"/>
    <w:p>
      <w:pPr>
        <w:pStyle w:val="Heading3"/>
      </w:pPr>
      <w:r>
        <w:t xml:space="preserve">1.3 Related work: frailty, depletion of susceptibles, and selection-induced non-proportional hazards</w:t>
      </w:r>
    </w:p>
    <w:p>
      <w:pPr>
        <w:pStyle w:val="FirstParagraph"/>
      </w:pPr>
      <w:r>
        <w:t xml:space="preserve">KCOR builds on a long literature on unobserved heterogeneity (</w:t>
      </w:r>
      <w:r>
        <w:t xml:space="preserve">‘frailty’</w:t>
      </w:r>
      <w:r>
        <w:t xml:space="preserve">) and depletion of susceptibles, in which population-level hazards can decelerate over time even when individual hazards are simple. The gamma frailty model is widely used because its Laplace transform yields a closed-form relationship between baseline and observed survival/cumulative hazard, enabling tractable inference and interpretation.</w:t>
      </w:r>
      <w:r>
        <w:rPr>
          <w:vertAlign w:val="superscript"/>
        </w:rPr>
        <w:t xml:space="preserve">1</w:t>
      </w:r>
    </w:p>
    <w:p>
      <w:pPr>
        <w:pStyle w:val="BodyText"/>
      </w:pPr>
      <w:r>
        <w:t xml:space="preserve">A separate literature emphasizes that observational estimates of vaccine effectiveness can remain confounded despite extensive matching and adjustment, often revealed by negative control outcomes and time-varying non-COVID mortality differences.</w:t>
      </w:r>
      <w:r>
        <w:rPr>
          <w:vertAlign w:val="superscript"/>
        </w:rPr>
        <w:t xml:space="preserve">2,3</w:t>
      </w:r>
      <w:r>
        <w:t xml:space="preserve"> </w:t>
      </w:r>
      <w:r>
        <w:t xml:space="preserve">KCOR is complementary: rather than using negative controls only to detect confounding, it targets a specific confounding geometry—selection-induced depletion curvature—and then requires controls and simulations to validate that the intended curvature component has been removed.</w:t>
      </w:r>
    </w:p>
    <w:p>
      <w:pPr>
        <w:pStyle w:val="BodyText"/>
      </w:pPr>
      <w:r>
        <w:t xml:space="preserve">We do not claim that KCOR subsumes all approaches to confounding adjustment; rather, it provides a dedicated normalization and diagnostic toolkit for settings where non-proportional hazards arise primarily from selection-induced depletion dynamics.</w:t>
      </w:r>
    </w:p>
    <w:bookmarkEnd w:id="14"/>
    <w:bookmarkStart w:id="18" w:name="X3f76dee37168b4797631ddc9e3d31862803de93"/>
    <w:p>
      <w:pPr>
        <w:pStyle w:val="Heading3"/>
      </w:pPr>
      <w:r>
        <w:t xml:space="preserve">1.4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15" w:name="Xbfb6a4beb5729d82767d37d57edb58ba18bba27"/>
    <w:p>
      <w:pPr>
        <w:pStyle w:val="Heading4"/>
      </w:pPr>
      <w:r>
        <w:t xml:space="preserve">1.4.1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2</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15"/>
    <w:bookmarkStart w:id="17" w:name="X3c4376cf0533c6140ceba8f12ccdbb5b9c9efc8"/>
    <w:p>
      <w:pPr>
        <w:pStyle w:val="Heading4"/>
      </w:pPr>
      <w:r>
        <w:t xml:space="preserve">1.4.2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 (HVE)</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3</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 Table 1 summarizes these findings.</w:t>
      </w:r>
    </w:p>
    <w:bookmarkStart w:id="16" w:name="tbl:HVE_motivation"/>
    <w:p>
      <w:pPr>
        <w:pStyle w:val="TableCaption"/>
      </w:pPr>
      <w:r>
        <w:t xml:space="preserve">1</w:t>
      </w:r>
    </w:p>
    <w:tbl>
      <w:tblPr>
        <w:tblStyle w:val="Table"/>
        <w:tblW w:type="pct" w:w="5000"/>
        <w:tblLayout w:type="fixed"/>
        <w:tblLook w:firstRow="1" w:lastRow="0" w:firstColumn="0" w:lastColumn="0" w:noHBand="0" w:noVBand="0" w:val="0020"/>
        <w:tblCaption w:val="1"/>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2</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3</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16"/>
    <w:bookmarkEnd w:id="17"/>
    <w:bookmarkEnd w:id="18"/>
    <w:bookmarkStart w:id="21" w:name="contribution-of-this-work"/>
    <w:p>
      <w:pPr>
        <w:pStyle w:val="Heading3"/>
      </w:pPr>
      <w:r>
        <w:t xml:space="preserve">1.5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bookmarkStart w:id="19" w:name="tbl:cox_vs_kcor"/>
    <w:p>
      <w:pPr>
        <w:pStyle w:val="TableCaption"/>
      </w:pPr>
      <w:r>
        <w:t xml:space="preserve">2</w:t>
      </w:r>
    </w:p>
    <w:tbl>
      <w:tblPr>
        <w:tblStyle w:val="Table"/>
        <w:tblW w:type="pct" w:w="5000"/>
        <w:tblLayout w:type="fixed"/>
        <w:tblLook w:firstRow="1" w:lastRow="0" w:firstColumn="0" w:lastColumn="0" w:noHBand="0" w:noVBand="0" w:val="0020"/>
        <w:tblCaption w:val="2"/>
      </w:tblPr>
      <w:tblGrid>
        <w:gridCol w:w="3186"/>
        <w:gridCol w:w="1092"/>
        <w:gridCol w:w="1547"/>
        <w:gridCol w:w="2093"/>
      </w:tblGrid>
      <w:tr>
        <w:trPr>
          <w:tblHeader w:val="on"/>
        </w:trPr>
        <w:tc>
          <w:tcPr/>
          <w:p>
            <w:pPr>
              <w:pStyle w:val="Compact"/>
            </w:pPr>
            <w:r>
              <w:t xml:space="preserve">Feature</w:t>
            </w:r>
          </w:p>
        </w:tc>
        <w:tc>
          <w:tcPr/>
          <w:p>
            <w:pPr>
              <w:pStyle w:val="Compact"/>
            </w:pPr>
            <w:r>
              <w:t xml:space="preserve">Cox PH</w:t>
            </w:r>
          </w:p>
        </w:tc>
        <w:tc>
          <w:tcPr/>
          <w:p>
            <w:pPr>
              <w:pStyle w:val="Compact"/>
            </w:pPr>
            <w:r>
              <w:t xml:space="preserve">Cox + frailty</w:t>
            </w:r>
          </w:p>
        </w:tc>
        <w:tc>
          <w:tcPr/>
          <w:p>
            <w:pPr>
              <w:pStyle w:val="Compact"/>
            </w:pPr>
            <w:r>
              <w:t xml:space="preserve">KCOR</w:t>
            </w:r>
          </w:p>
        </w:tc>
      </w:tr>
      <w:tr>
        <w:tc>
          <w:tcPr/>
          <w:p>
            <w:pPr>
              <w:pStyle w:val="Compact"/>
            </w:pPr>
            <w:r>
              <w:t xml:space="preserve">Primary estimand</w:t>
            </w:r>
          </w:p>
        </w:tc>
        <w:tc>
          <w:tcPr/>
          <w:p>
            <w:pPr>
              <w:pStyle w:val="Compact"/>
            </w:pPr>
            <w:r>
              <w:t xml:space="preserve">Hazard ratio</w:t>
            </w:r>
          </w:p>
        </w:tc>
        <w:tc>
          <w:tcPr/>
          <w:p>
            <w:pPr>
              <w:pStyle w:val="Compact"/>
            </w:pPr>
            <w:r>
              <w:t xml:space="preserve">Hazard ratio</w:t>
            </w:r>
          </w:p>
        </w:tc>
        <w:tc>
          <w:tcPr/>
          <w:p>
            <w:pPr>
              <w:pStyle w:val="Compact"/>
            </w:pPr>
            <w:r>
              <w:t xml:space="preserve">Cumulative hazard ratio</w:t>
            </w:r>
          </w:p>
        </w:tc>
      </w:tr>
      <w:tr>
        <w:tc>
          <w:tcPr/>
          <w:p>
            <w:pPr>
              <w:pStyle w:val="Compact"/>
            </w:pPr>
            <w:r>
              <w:t xml:space="preserve">Conditions on survival</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Assumes PH</w:t>
            </w:r>
          </w:p>
        </w:tc>
        <w:tc>
          <w:tcPr/>
          <w:p>
            <w:pPr>
              <w:pStyle w:val="Compact"/>
            </w:pPr>
            <w:r>
              <w:t xml:space="preserve">Yes</w:t>
            </w:r>
          </w:p>
        </w:tc>
        <w:tc>
          <w:tcPr/>
          <w:p>
            <w:pPr>
              <w:pStyle w:val="Compact"/>
            </w:pPr>
            <w:r>
              <w:t xml:space="preserve">Yes (conditional)</w:t>
            </w:r>
          </w:p>
        </w:tc>
        <w:tc>
          <w:tcPr/>
          <w:p>
            <w:pPr>
              <w:pStyle w:val="Compact"/>
            </w:pPr>
            <w:r>
              <w:t xml:space="preserve">No</w:t>
            </w:r>
          </w:p>
        </w:tc>
      </w:tr>
      <w:tr>
        <w:tc>
          <w:tcPr/>
          <w:p>
            <w:pPr>
              <w:pStyle w:val="Compact"/>
            </w:pPr>
            <w:r>
              <w:t xml:space="preserve">Frailty role</w:t>
            </w:r>
          </w:p>
        </w:tc>
        <w:tc>
          <w:tcPr/>
          <w:p>
            <w:pPr>
              <w:pStyle w:val="Compact"/>
            </w:pPr>
            <w:r>
              <w:t xml:space="preserve">None</w:t>
            </w:r>
          </w:p>
        </w:tc>
        <w:tc>
          <w:tcPr/>
          <w:p>
            <w:pPr>
              <w:pStyle w:val="Compact"/>
            </w:pPr>
            <w:r>
              <w:t xml:space="preserve">Nuisance</w:t>
            </w:r>
          </w:p>
        </w:tc>
        <w:tc>
          <w:tcPr/>
          <w:p>
            <w:pPr>
              <w:pStyle w:val="Compact"/>
            </w:pPr>
            <w:r>
              <w:t xml:space="preserve">Object of inference</w:t>
            </w:r>
          </w:p>
        </w:tc>
      </w:tr>
      <w:tr>
        <w:tc>
          <w:tcPr/>
          <w:p>
            <w:pPr>
              <w:pStyle w:val="Compact"/>
            </w:pPr>
            <w:r>
              <w:t xml:space="preserve">Uses partial likelihood</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Handles selection-induced curvature</w:t>
            </w:r>
          </w:p>
        </w:tc>
        <w:tc>
          <w:tcPr/>
          <w:p>
            <w:pPr>
              <w:pStyle w:val="Compact"/>
            </w:pPr>
            <w:r>
              <w:t xml:space="preserve">No</w:t>
            </w:r>
          </w:p>
        </w:tc>
        <w:tc>
          <w:tcPr/>
          <w:p>
            <w:pPr>
              <w:pStyle w:val="Compact"/>
            </w:pPr>
            <w:r>
              <w:t xml:space="preserve">Partial</w:t>
            </w:r>
          </w:p>
        </w:tc>
        <w:tc>
          <w:tcPr/>
          <w:p>
            <w:pPr>
              <w:pStyle w:val="Compact"/>
            </w:pPr>
            <w:r>
              <w:t xml:space="preserve">Yes (targeted)</w:t>
            </w:r>
          </w:p>
        </w:tc>
      </w:tr>
      <w:tr>
        <w:tc>
          <w:tcPr/>
          <w:p>
            <w:pPr>
              <w:pStyle w:val="Compact"/>
            </w:pPr>
            <w:r>
              <w:t xml:space="preserve">Output interpretable under non-PH</w:t>
            </w:r>
          </w:p>
        </w:tc>
        <w:tc>
          <w:tcPr/>
          <w:p>
            <w:pPr>
              <w:pStyle w:val="Compact"/>
            </w:pPr>
            <w:r>
              <w:t xml:space="preserve">No</w:t>
            </w:r>
          </w:p>
        </w:tc>
        <w:tc>
          <w:tcPr/>
          <w:p>
            <w:pPr>
              <w:pStyle w:val="Compact"/>
            </w:pPr>
            <w:r>
              <w:t xml:space="preserve">No</w:t>
            </w:r>
          </w:p>
        </w:tc>
        <w:tc>
          <w:tcPr/>
          <w:p>
            <w:pPr>
              <w:pStyle w:val="Compact"/>
            </w:pPr>
            <w:r>
              <w:t xml:space="preserve">Yes (cumulative)</w:t>
            </w:r>
          </w:p>
        </w:tc>
      </w:tr>
    </w:tbl>
    <w:bookmarkEnd w:id="19"/>
    <w:p/>
    <w:bookmarkStart w:id="20" w:name="tbl:positioning"/>
    <w:p>
      <w:pPr>
        <w:pStyle w:val="TableCaption"/>
      </w:pPr>
      <w:r>
        <w:t xml:space="preserve">3</w:t>
      </w:r>
    </w:p>
    <w:tbl>
      <w:tblPr>
        <w:tblStyle w:val="Table"/>
        <w:tblW w:type="pct" w:w="5000"/>
        <w:tblLayout w:type="fixed"/>
        <w:tblLook w:firstRow="1" w:lastRow="0" w:firstColumn="0" w:lastColumn="0" w:noHBand="0" w:noVBand="0" w:val="0020"/>
        <w:tblCaption w:val="3"/>
      </w:tblPr>
      <w:tblGrid>
        <w:gridCol w:w="1485"/>
        <w:gridCol w:w="1485"/>
        <w:gridCol w:w="1980"/>
        <w:gridCol w:w="1485"/>
        <w:gridCol w:w="1485"/>
      </w:tblGrid>
      <w:tr>
        <w:trPr>
          <w:tblHeader w:val="on"/>
        </w:trPr>
        <w:tc>
          <w:tcPr/>
          <w:p>
            <w:pPr>
              <w:pStyle w:val="Compact"/>
            </w:pPr>
            <w:r>
              <w:t xml:space="preserve">Method family</w:t>
            </w:r>
          </w:p>
        </w:tc>
        <w:tc>
          <w:tcPr/>
          <w:p>
            <w:pPr>
              <w:pStyle w:val="Compact"/>
            </w:pPr>
            <w:r>
              <w:t xml:space="preserve">Primary estimand (typical output)</w:t>
            </w:r>
          </w:p>
        </w:tc>
        <w:tc>
          <w:tcPr/>
          <w:p>
            <w:pPr>
              <w:pStyle w:val="Compact"/>
              <w:jc w:val="right"/>
            </w:pPr>
            <w:r>
              <w:t xml:space="preserve">Handles selection-induced depletion curvature?</w:t>
            </w:r>
          </w:p>
        </w:tc>
        <w:tc>
          <w:tcPr/>
          <w:p>
            <w:pPr>
              <w:pStyle w:val="Compact"/>
            </w:pPr>
            <w:r>
              <w:t xml:space="preserve">What it requires</w:t>
            </w:r>
          </w:p>
        </w:tc>
        <w:tc>
          <w:tcPr/>
          <w:p>
            <w:pPr>
              <w:pStyle w:val="Compact"/>
            </w:pPr>
            <w:r>
              <w:t xml:space="preserve">Primary failure mode</w:t>
            </w:r>
          </w:p>
        </w:tc>
      </w:tr>
      <w:tr>
        <w:tc>
          <w:tcPr/>
          <w:p>
            <w:pPr>
              <w:pStyle w:val="Compact"/>
            </w:pPr>
            <w:r>
              <w:t xml:space="preserve">Kaplan–Meier / Cox PH</w:t>
            </w:r>
          </w:p>
        </w:tc>
        <w:tc>
          <w:tcPr/>
          <w:p>
            <w:pPr>
              <w:pStyle w:val="Compact"/>
            </w:pPr>
            <w:r>
              <w:t xml:space="preserve">Instantaneous HR; survival differences under PH</w:t>
            </w:r>
          </w:p>
        </w:tc>
        <w:tc>
          <w:tcPr/>
          <w:p>
            <w:pPr>
              <w:pStyle w:val="Compact"/>
              <w:jc w:val="right"/>
            </w:pPr>
            <w:r>
              <w:t xml:space="preserve">No</w:t>
            </w:r>
          </w:p>
        </w:tc>
        <w:tc>
          <w:tcPr/>
          <w:p>
            <w:pPr>
              <w:pStyle w:val="Compact"/>
            </w:pPr>
            <w:r>
              <w:t xml:space="preserve">Exchangeability; proportional hazards; adequate covariates</w:t>
            </w:r>
          </w:p>
        </w:tc>
        <w:tc>
          <w:tcPr/>
          <w:p>
            <w:pPr>
              <w:pStyle w:val="Compact"/>
            </w:pPr>
            <w:r>
              <w:t xml:space="preserve">Non-PH from latent selection yields misleading HRs</w:t>
            </w:r>
          </w:p>
        </w:tc>
      </w:tr>
      <w:tr>
        <w:tc>
          <w:tcPr/>
          <w:p>
            <w:pPr>
              <w:pStyle w:val="Compact"/>
            </w:pPr>
            <w:r>
              <w:t xml:space="preserve">Cox with frailty term</w:t>
            </w:r>
          </w:p>
        </w:tc>
        <w:tc>
          <w:tcPr/>
          <w:p>
            <w:pPr>
              <w:pStyle w:val="Compact"/>
            </w:pPr>
            <w:r>
              <w:t xml:space="preserve">HR with random-effect heterogeneity</w:t>
            </w:r>
          </w:p>
        </w:tc>
        <w:tc>
          <w:tcPr/>
          <w:p>
            <w:pPr>
              <w:pStyle w:val="Compact"/>
              <w:jc w:val="right"/>
            </w:pPr>
            <w:r>
              <w:t xml:space="preserve">Partial</w:t>
            </w:r>
          </w:p>
        </w:tc>
        <w:tc>
          <w:tcPr/>
          <w:p>
            <w:pPr>
              <w:pStyle w:val="Compact"/>
            </w:pPr>
            <w:r>
              <w:t xml:space="preserve">Correct frailty form; PH-centric interpretation</w:t>
            </w:r>
          </w:p>
        </w:tc>
        <w:tc>
          <w:tcPr/>
          <w:p>
            <w:pPr>
              <w:pStyle w:val="Compact"/>
            </w:pPr>
            <w:r>
              <w:t xml:space="preserve">Depletion geometry can remain; HR interpretation unstable</w:t>
            </w:r>
          </w:p>
        </w:tc>
      </w:tr>
      <w:tr>
        <w:tc>
          <w:tcPr/>
          <w:p>
            <w:pPr>
              <w:pStyle w:val="Compact"/>
            </w:pPr>
            <w:r>
              <w:t xml:space="preserve">Matching / IPTW / MSM</w:t>
            </w:r>
          </w:p>
        </w:tc>
        <w:tc>
          <w:tcPr/>
          <w:p>
            <w:pPr>
              <w:pStyle w:val="Compact"/>
            </w:pPr>
            <w:r>
              <w:t xml:space="preserve">Model-based contrasts (ATE/ATT)</w:t>
            </w:r>
          </w:p>
        </w:tc>
        <w:tc>
          <w:tcPr/>
          <w:p>
            <w:pPr>
              <w:pStyle w:val="Compact"/>
              <w:jc w:val="right"/>
            </w:pPr>
            <w:r>
              <w:t xml:space="preserve">Indirect (via measured proxies only)</w:t>
            </w:r>
          </w:p>
        </w:tc>
        <w:tc>
          <w:tcPr/>
          <w:p>
            <w:pPr>
              <w:pStyle w:val="Compact"/>
            </w:pPr>
            <w:r>
              <w:t xml:space="preserve">Correct models; rich covariates; positivity</w:t>
            </w:r>
          </w:p>
        </w:tc>
        <w:tc>
          <w:tcPr/>
          <w:p>
            <w:pPr>
              <w:pStyle w:val="Compact"/>
            </w:pPr>
            <w:r>
              <w:t xml:space="preserve">Latent frailty and depletion persist unaddressed</w:t>
            </w:r>
          </w:p>
        </w:tc>
      </w:tr>
      <w:tr>
        <w:tc>
          <w:tcPr/>
          <w:p>
            <w:pPr>
              <w:pStyle w:val="Compact"/>
            </w:pPr>
            <w:r>
              <w:t xml:space="preserve">Negative control methods</w:t>
            </w:r>
          </w:p>
        </w:tc>
        <w:tc>
          <w:tcPr/>
          <w:p>
            <w:pPr>
              <w:pStyle w:val="Compact"/>
            </w:pPr>
            <w:r>
              <w:t xml:space="preserve">Bias detection (diagnostic)</w:t>
            </w:r>
          </w:p>
        </w:tc>
        <w:tc>
          <w:tcPr/>
          <w:p>
            <w:pPr>
              <w:pStyle w:val="Compact"/>
              <w:jc w:val="right"/>
            </w:pPr>
            <w:r>
              <w:t xml:space="preserve">No</w:t>
            </w:r>
          </w:p>
        </w:tc>
        <w:tc>
          <w:tcPr/>
          <w:p>
            <w:pPr>
              <w:pStyle w:val="Compact"/>
            </w:pPr>
            <w:r>
              <w:t xml:space="preserve">Valid negative controls</w:t>
            </w:r>
          </w:p>
        </w:tc>
        <w:tc>
          <w:tcPr/>
          <w:p>
            <w:pPr>
              <w:pStyle w:val="Compact"/>
            </w:pPr>
            <w:r>
              <w:t xml:space="preserve">Detects bias but does not remove it</w:t>
            </w:r>
          </w:p>
        </w:tc>
      </w:tr>
      <w:tr>
        <w:tc>
          <w:tcPr/>
          <w:p>
            <w:pPr>
              <w:pStyle w:val="Compact"/>
            </w:pPr>
            <w:r>
              <w:rPr>
                <w:b/>
                <w:bCs/>
              </w:rPr>
              <w:t xml:space="preserve">KCOR (this work)</w:t>
            </w:r>
          </w:p>
        </w:tc>
        <w:tc>
          <w:tcPr/>
          <w:p>
            <w:pPr>
              <w:pStyle w:val="Compact"/>
            </w:pPr>
            <w:r>
              <w:rPr>
                <w:b/>
                <w:bCs/>
              </w:rPr>
              <w:t xml:space="preserve">KCOR(t): ratio of depletion-neutralized cumulative hazards</w:t>
            </w:r>
          </w:p>
        </w:tc>
        <w:tc>
          <w:tcPr/>
          <w:p>
            <w:pPr>
              <w:pStyle w:val="Compact"/>
              <w:jc w:val="right"/>
            </w:pPr>
            <w:r>
              <w:rPr>
                <w:b/>
                <w:bCs/>
              </w:rPr>
              <w:t xml:space="preserve">Yes (targeted)</w:t>
            </w:r>
          </w:p>
        </w:tc>
        <w:tc>
          <w:tcPr/>
          <w:p>
            <w:pPr>
              <w:pStyle w:val="Compact"/>
            </w:pPr>
            <w:r>
              <w:rPr>
                <w:b/>
                <w:bCs/>
              </w:rPr>
              <w:t xml:space="preserve">DOB/DOD/DOI; valid quiet window; identifiable curvature; prespecified diagnostics and controls</w:t>
            </w:r>
          </w:p>
        </w:tc>
        <w:tc>
          <w:tcPr/>
          <w:p>
            <w:pPr>
              <w:pStyle w:val="Compact"/>
            </w:pPr>
            <w:r>
              <w:rPr>
                <w:b/>
                <w:bCs/>
              </w:rPr>
              <w:t xml:space="preserve">If depletion model or quiet window fails, diagnostics flag nonlinearity or instability and comparison is not interpretable</w:t>
            </w:r>
          </w:p>
        </w:tc>
      </w:tr>
    </w:tbl>
    <w:bookmarkEnd w:id="20"/>
    <w:p>
      <w:pPr>
        <w:pStyle w:val="BodyText"/>
      </w:pPr>
      <w:r>
        <w:t xml:space="preserve">Most retrospective approaches either compare cohorts under proportional-hazards assumptions, balance measured confounding, or diagnose bias without removing it. KCOR occupies a distinct role: it</w:t>
      </w:r>
      <w:r>
        <w:t xml:space="preserve"> </w:t>
      </w:r>
      <w:r>
        <w:rPr>
          <w:b/>
          <w:bCs/>
        </w:rPr>
        <w:t xml:space="preserve">neutralizes selection-induced depletion dynamics</w:t>
      </w:r>
      <w:r>
        <w:t xml:space="preserve"> </w:t>
      </w:r>
      <w:r>
        <w:t xml:space="preserve">via gamma-frailty inversion and then</w:t>
      </w:r>
      <w:r>
        <w:t xml:space="preserve"> </w:t>
      </w:r>
      <w:r>
        <w:rPr>
          <w:b/>
          <w:bCs/>
        </w:rPr>
        <w:t xml:space="preserve">extracts the cohort contrast using a cumulative hazard ratio (KCOR), which is the estimand reported</w:t>
      </w:r>
      <w:r>
        <w:t xml:space="preserve">. Normalization alone does not yield an interpretable signal; the KCOR ratio is the estimand that answers whether one cohort experienced higher or lower cumulative event risk than another under the stated assumptions. KCOR’s estimand is cumulative by construction; instantaneous hazard ratios are not recovered even after normalization.</w:t>
      </w:r>
    </w:p>
    <w:p>
      <w:pPr>
        <w:pStyle w:val="BodyText"/>
      </w:pPr>
      <w:r>
        <w:t xml:space="preserve">KCOR is not merely a frailty-normalization method. While gamma-frailty inversion is a necessary step, the central contribution of KCOR is the end-to-end comparison system that follows normalization. KCOR transforms observed cumulative hazards into a depletion-neutralized space and then defines the correct comparison operator in that space—a cumulative hazard ratio—together with diagnostics that determine when such comparisons are interpretable. Normalization alone does not yield a signal; the signal emerges only through the KCOR comparison itself. In this sense, KCOR should be understood as a complete retrospective comparison framework rather than a preprocessing adjustment that can be substituted into standard estimators. The integrated nature of KCOR—normalization, comparison, and diagnostics as a single system—is illustrated schematically in Figure 2.</w:t>
      </w:r>
    </w:p>
    <w:p>
      <w:pPr>
        <w:pStyle w:val="BodyText"/>
      </w:pPr>
      <w:r>
        <w:t xml:space="preserve">This manuscript is</w:t>
      </w:r>
      <w:r>
        <w:t xml:space="preserve"> </w:t>
      </w:r>
      <w:r>
        <w:rPr>
          <w:b/>
          <w:bCs/>
        </w:rPr>
        <w:t xml:space="preserve">methods-only</w:t>
      </w:r>
      <w:r>
        <w:t xml:space="preserve">:</w:t>
      </w:r>
    </w:p>
    <w:p>
      <w:pPr>
        <w:pStyle w:val="Compact"/>
        <w:numPr>
          <w:ilvl w:val="0"/>
          <w:numId w:val="1004"/>
        </w:numPr>
      </w:pPr>
      <w:r>
        <w:t xml:space="preserve">We present the estimator, model assumptions, and uncertainty quantification.</w:t>
      </w:r>
    </w:p>
    <w:p>
      <w:pPr>
        <w:pStyle w:val="Compact"/>
        <w:numPr>
          <w:ilvl w:val="0"/>
          <w:numId w:val="1004"/>
        </w:numPr>
      </w:pPr>
      <w:r>
        <w:t xml:space="preserve">We validate the method using prespecified negative and positive controls designed to stress selection-induced curvature.</w:t>
      </w:r>
    </w:p>
    <w:p>
      <w:pPr>
        <w:pStyle w:val="Compact"/>
        <w:numPr>
          <w:ilvl w:val="0"/>
          <w:numId w:val="1004"/>
        </w:numPr>
      </w:pPr>
      <w:r>
        <w:t xml:space="preserve">We defer any applied real-world intervention conclusions to a separate, dedicated applied paper.</w:t>
      </w:r>
    </w:p>
    <w:p>
      <w:pPr>
        <w:pStyle w:val="FirstParagraph"/>
      </w:pPr>
      <w:r>
        <w:t xml:space="preserve">KCOR is proposed as a diagnostic and normalization estimator for selection-induced hazard curvature; causal interpretation requires additional assumptions beyond the scope of this methods paper.</w:t>
      </w:r>
    </w:p>
    <w:bookmarkEnd w:id="21"/>
    <w:bookmarkStart w:id="22" w:name="relation-to-causal-inference-frameworks"/>
    <w:p>
      <w:pPr>
        <w:pStyle w:val="Heading3"/>
      </w:pPr>
      <w:r>
        <w:t xml:space="preserve">1.6 Relation to causal inference frameworks</w:t>
      </w:r>
    </w:p>
    <w:p>
      <w:pPr>
        <w:pStyle w:val="FirstParagraph"/>
      </w:pPr>
      <w:r>
        <w:t xml:space="preserve">KCOR is not intended to replace established causal inference designs such as instrumental variables, regression discontinuity, difference-in-differences, or target trial emulation. Those frameworks address distinct identification problems and typically require either exogenous instruments, sharp intervention thresholds, rich covariate histories, or well-defined intervention regimes.</w:t>
      </w:r>
    </w:p>
    <w:p>
      <w:pPr>
        <w:pStyle w:val="BodyText"/>
      </w:pPr>
      <w:r>
        <w:t xml:space="preserve">KCOR is designed for a complementary setting in which such requirements are not met—specifically, retrospective cohort data where only dates of birth, death, and intervention are available, and where selection-induced depletion produces strong non-proportional hazards that invalidate hazard-ratio-based estimators. In this setting, KCOR targets a different failure mode: curvature in cumulative hazards arising from latent heterogeneity and selection rather than from time-varying treatment effects.</w:t>
      </w:r>
    </w:p>
    <w:p>
      <w:pPr>
        <w:pStyle w:val="BodyText"/>
      </w:pPr>
      <w:r>
        <w:t xml:space="preserve">By neutralizing depletion geometry and defining a cumulative comparison operator in the resulting space, KCOR enables interpretable cohort contrasts under minimal data constraints. When stronger causal designs are feasible, they should be preferred; when they are not, KCOR provides a principled way to assess whether observed cohort differences persist once selection-induced depletion is removed.</w:t>
      </w:r>
    </w:p>
    <w:p>
      <w:pPr>
        <w:pStyle w:val="BodyText"/>
      </w:pPr>
      <w:r>
        <w:rPr>
          <w:b/>
          <w:bCs/>
        </w:rPr>
        <w:t xml:space="preserve">Box 1: KCOR in one page</w:t>
      </w:r>
    </w:p>
    <w:p>
      <w:pPr>
        <w:pStyle w:val="BodyText"/>
      </w:pPr>
      <w:r>
        <w:t xml:space="preserve">KCOR (Kirsch Cumulative Outcomes Ratio) is a cumulative-hazard normalization and comparison framework for retrospective cohort studies affected by selection-induced non-proportional hazards. The method proceeds in six steps:</w:t>
      </w:r>
    </w:p>
    <w:p>
      <w:pPr>
        <w:numPr>
          <w:ilvl w:val="0"/>
          <w:numId w:val="1005"/>
        </w:numPr>
      </w:pPr>
      <w:r>
        <w:rPr>
          <w:b/>
          <w:bCs/>
        </w:rPr>
        <w:t xml:space="preserve">Fixed cohorts</w:t>
      </w:r>
      <w:r>
        <w:t xml:space="preserve">: Individuals are assigned to cohorts at enrollment based on intervention status; no switching or censoring is permitted in the primary estimand.</w:t>
      </w:r>
    </w:p>
    <w:p>
      <w:pPr>
        <w:numPr>
          <w:ilvl w:val="0"/>
          <w:numId w:val="1005"/>
        </w:numPr>
      </w:pPr>
      <w:r>
        <w:rPr>
          <w:b/>
          <w:bCs/>
        </w:rPr>
        <w:t xml:space="preserve">Cumulative hazard estimation</w:t>
      </w:r>
      <w:r>
        <w:t xml:space="preserve">: Discrete-time hazards are computed from event counts and risk sets, then accumulated into observed cumulative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after an optional stabilization skip period.</w:t>
      </w:r>
    </w:p>
    <w:p>
      <w:pPr>
        <w:numPr>
          <w:ilvl w:val="0"/>
          <w:numId w:val="1005"/>
        </w:numPr>
      </w:pPr>
      <w:r>
        <w:rPr>
          <w:b/>
          <w:bCs/>
        </w:rPr>
        <w:t xml:space="preserve">Quiet-window frailty fit</w:t>
      </w:r>
      <w:r>
        <w:t xml:space="preserve">: During epidemiologically quiet periods (free of external shocks), cohort-specific frailty variance parameters</w:t>
      </w:r>
      <w:r>
        <w:t xml:space="preserve"> </w:t>
      </w:r>
      <m:oMath>
        <m:sSub>
          <m:e>
            <m:r>
              <m:t>θ</m:t>
            </m:r>
          </m:e>
          <m:sub>
            <m:r>
              <m:t>d</m:t>
            </m:r>
          </m:sub>
        </m:sSub>
      </m:oMath>
      <w:r>
        <w:t xml:space="preserve"> </w:t>
      </w:r>
      <w:r>
        <w:t xml:space="preserve">and baseline hazard levels</w:t>
      </w:r>
      <w:r>
        <w:t xml:space="preserve"> </w:t>
      </w:r>
      <m:oMath>
        <m:sSub>
          <m:e>
            <m:r>
              <m:t>k</m:t>
            </m:r>
          </m:e>
          <m:sub>
            <m:r>
              <m:t>d</m:t>
            </m:r>
          </m:sub>
        </m:sSub>
      </m:oMath>
      <w:r>
        <w:t xml:space="preserve"> </w:t>
      </w:r>
      <w:r>
        <w:t xml:space="preserve">are estimated via nonlinear least squares by fitting the gamma-frailty identity</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rPr>
            <m:sty m:val="p"/>
          </m:rPr>
          <m:t>log</m:t>
        </m:r>
        <m:r>
          <m:rPr>
            <m:sty m:val="p"/>
          </m:rPr>
          <m:t>(</m:t>
        </m:r>
        <m:r>
          <m:t>1</m:t>
        </m:r>
        <m:r>
          <m:rPr>
            <m:sty m:val="p"/>
          </m:rPr>
          <m:t>+</m:t>
        </m:r>
        <m:sSub>
          <m:e>
            <m:r>
              <m:t>θ</m:t>
            </m:r>
          </m:e>
          <m:sub>
            <m:r>
              <m:t>d</m:t>
            </m:r>
          </m:sub>
        </m:sSub>
        <m:sSub>
          <m:e>
            <m:r>
              <m:t>k</m:t>
            </m:r>
          </m:e>
          <m:sub>
            <m:r>
              <m:t>d</m:t>
            </m:r>
          </m:sub>
        </m:sSub>
        <m:r>
          <m:t>t</m:t>
        </m:r>
        <m:r>
          <m:rPr>
            <m:sty m:val="p"/>
          </m:rPr>
          <m:t>)</m:t>
        </m:r>
      </m:oMath>
      <w:r>
        <w:t xml:space="preserve"> </w:t>
      </w:r>
      <w:r>
        <w:t xml:space="preserve">to observed cumulative hazards.</w:t>
      </w:r>
    </w:p>
    <w:p>
      <w:pPr>
        <w:numPr>
          <w:ilvl w:val="0"/>
          <w:numId w:val="1005"/>
        </w:numPr>
      </w:pPr>
      <w:r>
        <w:rPr>
          <w:b/>
          <w:bCs/>
        </w:rPr>
        <w:t xml:space="preserve">Gamma inversion</w:t>
      </w:r>
      <w:r>
        <w:t xml:space="preserve">: The fitted frailty parameters are used to invert the gamma-frailty identity, transforming observed cumulative hazards into depletion-neutralized baseline cumulative hazards</w:t>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oMath>
      <w:r>
        <w:t xml:space="preserve">.</w:t>
      </w:r>
    </w:p>
    <w:p>
      <w:pPr>
        <w:numPr>
          <w:ilvl w:val="0"/>
          <w:numId w:val="1005"/>
        </w:numPr>
      </w:pPr>
      <w:r>
        <w:rPr>
          <w:b/>
          <w:bCs/>
        </w:rPr>
        <w:t xml:space="preserve">KCOR ratio</w:t>
      </w:r>
      <w:r>
        <w:t xml:space="preserve">: Cohorts are compared via the ratio of depletion-neutralized cumulative hazards:</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oMath>
      <w:r>
        <w:t xml:space="preserve">.</w:t>
      </w:r>
    </w:p>
    <w:p>
      <w:pPr>
        <w:numPr>
          <w:ilvl w:val="0"/>
          <w:numId w:val="1005"/>
        </w:numPr>
      </w:pPr>
      <w:r>
        <w:rPr>
          <w:b/>
          <w:bCs/>
        </w:rPr>
        <w:t xml:space="preserve">Diagnostics</w:t>
      </w:r>
      <w:r>
        <w:t xml:space="preserve">: Post-normalization linearity in quiet periods, fit residuals, and parameter stability under window perturbations serve as internal checks that depletion normalization is valid and assumptions are met.</w:t>
      </w:r>
    </w:p>
    <w:bookmarkEnd w:id="22"/>
    <w:bookmarkEnd w:id="23"/>
    <w:bookmarkStart w:id="84" w:name="methods"/>
    <w:p>
      <w:pPr>
        <w:pStyle w:val="Heading2"/>
      </w:pPr>
      <w:r>
        <w:t xml:space="preserve">2. Methods</w:t>
      </w:r>
    </w:p>
    <w:p>
      <w:pPr>
        <w:pStyle w:val="FirstParagraph"/>
      </w:pPr>
      <w:r>
        <w:t xml:space="preserve">Table 4 defines the notation used throughout this section.</w:t>
      </w:r>
    </w:p>
    <w:bookmarkStart w:id="24" w:name="tbl:notation"/>
    <w:p>
      <w:pPr>
        <w:pStyle w:val="TableCaption"/>
      </w:pPr>
      <w:r>
        <w:t xml:space="preserve">4</w:t>
      </w:r>
    </w:p>
    <w:tbl>
      <w:tblPr>
        <w:tblStyle w:val="Table"/>
        <w:tblW w:type="pct" w:w="5000"/>
        <w:tblLayout w:type="fixed"/>
        <w:tblLook w:firstRow="1" w:lastRow="0" w:firstColumn="0" w:lastColumn="0" w:noHBand="0" w:noVBand="0" w:val="0020"/>
        <w:tblCaption w:val="4"/>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d</m:t>
              </m:r>
            </m:oMath>
          </w:p>
        </w:tc>
        <w:tc>
          <w:tcPr/>
          <w:p>
            <w:pPr>
              <w:pStyle w:val="Compact"/>
            </w:pPr>
            <w:r>
              <w:t xml:space="preserve">cohort index (enrollment definition × age group × intervention count (discrete exposure index))</w:t>
            </w:r>
          </w:p>
        </w:tc>
      </w:tr>
      <w:tr>
        <w:tc>
          <w:tcPr/>
          <w:p>
            <w:pPr>
              <w:pStyle w:val="Compact"/>
            </w:pPr>
            <m:oMath>
              <m:r>
                <m:t>t</m:t>
              </m:r>
            </m:oMath>
          </w:p>
        </w:tc>
        <w:tc>
          <w:tcPr/>
          <w:p>
            <w:pPr>
              <w:pStyle w:val="Compact"/>
            </w:pPr>
            <w:r>
              <w:t xml:space="preserve">event time since enrollment (discrete bins, e.g., weeks)</w:t>
            </w:r>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cohort hazard at time</w:t>
            </w:r>
            <w:r>
              <w:t xml:space="preserve"> </w:t>
            </w:r>
            <m:oMath>
              <m:r>
                <m:t>t</m:t>
              </m:r>
            </m:oMath>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 (after skip/stabilization)</w:t>
            </w:r>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hazard for cohort</w:t>
            </w:r>
            <w:r>
              <w:t xml:space="preserve"> </w:t>
            </w:r>
            <m:oMath>
              <m:r>
                <m:t>d</m:t>
              </m:r>
            </m:oMath>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cumulative hazard</w:t>
            </w:r>
          </w:p>
        </w:tc>
      </w:tr>
      <w:tr>
        <w:tc>
          <w:tcPr/>
          <w:p>
            <w:pPr>
              <w:pStyle w:val="Compact"/>
            </w:pPr>
            <m:oMath>
              <m:sSub>
                <m:e>
                  <m:r>
                    <m:t>θ</m:t>
                  </m:r>
                </m:e>
                <m:sub>
                  <m:r>
                    <m:t>d</m:t>
                  </m:r>
                </m:sub>
              </m:sSub>
            </m:oMath>
          </w:p>
        </w:tc>
        <w:tc>
          <w:tcPr/>
          <w:p>
            <w:pPr>
              <w:pStyle w:val="Compact"/>
            </w:pPr>
            <w:r>
              <w:t xml:space="preserve">frailty variance (selection strength) for cohort</w:t>
            </w:r>
            <w:r>
              <w:t xml:space="preserve"> </w:t>
            </w:r>
            <m:oMath>
              <m:r>
                <m:t>d</m:t>
              </m:r>
            </m:oMath>
          </w:p>
        </w:tc>
      </w:tr>
      <w:tr>
        <w:tc>
          <w:tcPr/>
          <w:p>
            <w:pPr>
              <w:pStyle w:val="Compact"/>
            </w:pPr>
            <m:oMath>
              <m:sSub>
                <m:e>
                  <m:r>
                    <m:t>k</m:t>
                  </m:r>
                </m:e>
                <m:sub>
                  <m:r>
                    <m:t>d</m:t>
                  </m:r>
                </m:sub>
              </m:sSub>
            </m:oMath>
          </w:p>
        </w:tc>
        <w:tc>
          <w:tcPr/>
          <w:p>
            <w:pPr>
              <w:pStyle w:val="Compact"/>
            </w:pPr>
            <w:r>
              <w:t xml:space="preserve">baseline hazard level for cohort</w:t>
            </w:r>
            <w:r>
              <w:t xml:space="preserve"> </w:t>
            </w:r>
            <m:oMath>
              <m:r>
                <m:t>d</m:t>
              </m:r>
            </m:oMath>
            <w:r>
              <w:t xml:space="preserve"> </w:t>
            </w:r>
            <w:r>
              <w:t xml:space="preserve">under default baseline shape</w:t>
            </w:r>
          </w:p>
        </w:tc>
      </w:tr>
    </w:tbl>
    <w:bookmarkEnd w:id="24"/>
    <w:p>
      <w:pPr>
        <w:pStyle w:val="BodyText"/>
      </w:pPr>
      <w:r>
        <w:t xml:space="preserve">For COVID-19 vaccination analyses, intervention count corresponds to the number of vaccine doses received; more generally, this can index any discrete exposure level.</w:t>
      </w:r>
    </w:p>
    <w:bookmarkStart w:id="31"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pStyle w:val="Compact"/>
        <w:numPr>
          <w:ilvl w:val="0"/>
          <w:numId w:val="1006"/>
        </w:numPr>
      </w:pPr>
      <w:r>
        <w:rPr>
          <w:b/>
          <w:bCs/>
        </w:rPr>
        <w:t xml:space="preserve">Level effects</w:t>
      </w:r>
      <w:r>
        <w:t xml:space="preserve">: multiplicative shifts in hazard that are constant over time.</w:t>
      </w:r>
    </w:p>
    <w:p>
      <w:pPr>
        <w:pStyle w:val="Compact"/>
        <w:numPr>
          <w:ilvl w:val="0"/>
          <w:numId w:val="1006"/>
        </w:numPr>
      </w:pPr>
      <w:r>
        <w:rPr>
          <w:b/>
          <w:bCs/>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
          <w:bCs/>
        </w:rPr>
        <w:t xml:space="preserve">estimate and remove the selection-induced depletion component</w:t>
      </w:r>
      <w:r>
        <w:t xml:space="preserve">, then compare cohorts on a cumulative scale.</w:t>
      </w:r>
    </w:p>
    <w:p>
      <w:pPr>
        <w:pStyle w:val="BodyText"/>
      </w:pPr>
      <w:r>
        <w:t xml:space="preserve">Figure 2 provides a schematic overview of the KCOR workflow.</w:t>
      </w:r>
    </w:p>
    <w:bookmarkStart w:id="25" w:name="kcor-assumptions-and-identifiability"/>
    <w:p>
      <w:pPr>
        <w:pStyle w:val="Heading4"/>
      </w:pPr>
      <w:r>
        <w:t xml:space="preserve">2.1.1 KCOR assumptions and identifiability</w:t>
      </w:r>
    </w:p>
    <w:p>
      <w:pPr>
        <w:pStyle w:val="FirstParagraph"/>
      </w:pPr>
      <w:r>
        <w:t xml:space="preserve">KCOR relies on</w:t>
      </w:r>
      <w:r>
        <w:t xml:space="preserve"> </w:t>
      </w:r>
      <w:r>
        <w:rPr>
          <w:b/>
          <w:bCs/>
        </w:rPr>
        <w:t xml:space="preserve">five explicit assumptions (A1–A5)</w:t>
      </w:r>
      <w:r>
        <w:t xml:space="preserve">. These assumptions are stated exhaustively here;</w:t>
      </w:r>
      <w:r>
        <w:t xml:space="preserve"> </w:t>
      </w:r>
      <w:r>
        <w:rPr>
          <w:b/>
          <w:bCs/>
        </w:rPr>
        <w:t xml:space="preserve">no additional assumptions are introduced elsewhere in the manuscript</w:t>
      </w:r>
      <w:r>
        <w:t xml:space="preserve">. Each assumption is either enforced by study design or empirically testable via prespecified diagnostics. When an assumption is violated, KCOR does not silently produce misleading estimates; instead, the violation manifests through identifiable diagnostic failures described in Appendix D.</w:t>
      </w:r>
    </w:p>
    <w:p>
      <w:pPr>
        <w:pStyle w:val="BodyText"/>
      </w:pPr>
      <w:r>
        <w:rPr>
          <w:b/>
          <w:bCs/>
        </w:rPr>
        <w:t xml:space="preserve">A1. Fixed cohorts at enrollment.</w:t>
      </w:r>
      <w:r>
        <w:t xml:space="preserve"> </w:t>
      </w:r>
      <w:r>
        <w:t xml:space="preserve">Individuals are assigned to cohorts at enrollment and remain in those cohorts for the duration of follow-up. No post-enrollment switching or censoring is permitted in the primary estimand.</w:t>
      </w:r>
    </w:p>
    <w:p>
      <w:pPr>
        <w:pStyle w:val="BodyText"/>
      </w:pPr>
      <w:r>
        <w:rPr>
          <w:b/>
          <w:bCs/>
        </w:rPr>
        <w:t xml:space="preserve">A2. Shared external hazard environment.</w:t>
      </w:r>
      <w:r>
        <w:t xml:space="preserve"> </w:t>
      </w:r>
      <w:r>
        <w:t xml:space="preserve">All cohorts are exposed to the same calendar-time external mortality environment (e.g., seasonality, epidemic waves, reporting artifacts). External shocks may occur but must affect cohorts symmetrically.</w:t>
      </w:r>
    </w:p>
    <w:p>
      <w:pPr>
        <w:pStyle w:val="BodyText"/>
      </w:pPr>
      <w:r>
        <w:rPr>
          <w:b/>
          <w:bCs/>
        </w:rPr>
        <w:t xml:space="preserve">A3. Selection operates through time-invariant latent frailty.</w:t>
      </w:r>
      <w:r>
        <w:t xml:space="preserve"> </w:t>
      </w:r>
      <w:r>
        <w:t xml:space="preserve">Differences between cohorts at enrollment arise primarily through selection on latent, multiplicative frailty that remains constant over follow-up and induces depletion of susceptibles.</w:t>
      </w:r>
    </w:p>
    <w:p>
      <w:pPr>
        <w:pStyle w:val="BodyText"/>
      </w:pPr>
      <w:r>
        <w:rPr>
          <w:b/>
          <w:bCs/>
        </w:rPr>
        <w:t xml:space="preserve">A4. Gamma frailty adequately approximates depletion geometry.</w:t>
      </w:r>
      <w:r>
        <w:t xml:space="preserve"> </w:t>
      </w:r>
      <w:r>
        <w:t xml:space="preserve">Gamma frailty provides a sufficient approximation to the cumulative-hazard curvature induced by frailty-driven depletion over the estimation window. This assumption is not asserted a priori and is evaluated empirically.</w:t>
      </w:r>
    </w:p>
    <w:p>
      <w:pPr>
        <w:pStyle w:val="BodyText"/>
      </w:pPr>
      <w:r>
        <w:rPr>
          <w:b/>
          <w:bCs/>
        </w:rPr>
        <w:t xml:space="preserve">A5. Existence of a valid quiet window for frailty identification.</w:t>
      </w:r>
      <w:r>
        <w:t xml:space="preserve"> </w:t>
      </w:r>
      <w:r>
        <w:t xml:space="preserve">There exists a prespecified period during which selection-induced depletion dominates other sources of curvature, permitting identification of frailty parameters. This assumption is assessed empirically and is the primary dataset-specific requirement for KCOR applicability.</w:t>
      </w:r>
    </w:p>
    <w:p>
      <w:pPr>
        <w:pStyle w:val="BodyText"/>
      </w:pPr>
      <w:r>
        <w:t xml:space="preserve">Of these five assumptions,</w:t>
      </w:r>
      <w:r>
        <w:t xml:space="preserve"> </w:t>
      </w:r>
      <w:r>
        <w:rPr>
          <w:b/>
          <w:bCs/>
        </w:rPr>
        <w:t xml:space="preserve">A1–A3 are structural and are typically satisfied by cohort construction in national mortality datasets</w:t>
      </w:r>
      <w:r>
        <w:t xml:space="preserve">, while</w:t>
      </w:r>
      <w:r>
        <w:t xml:space="preserve"> </w:t>
      </w:r>
      <w:r>
        <w:rPr>
          <w:b/>
          <w:bCs/>
        </w:rPr>
        <w:t xml:space="preserve">A4–A5 are empirically evaluated using diagnostics</w:t>
      </w:r>
      <w:r>
        <w:t xml:space="preserve">. Failure of any assumption limits interpretability and is explicitly signaled by KCOR’s diagnostic outputs (Appendix D). Sanity checks on frailty estimates—including magnitude, stability, and coherence with observed cumulative-hazard curvature—are treated diagnostically rather than as assumptions (Appendix D; see also diagnostic coherence in §2.1.2). KCOR does not assume causal separability of selection and treatment effects; rather, it identifies cumulative outcome differences under explicit normalization of selection-induced depletion, making departures from the null of no net harm or benefit interpretable when diagnostic and interpretability conditions are satisfied.</w:t>
      </w:r>
    </w:p>
    <w:p>
      <w:pPr>
        <w:pStyle w:val="BodyText"/>
      </w:pPr>
      <w:r>
        <w:t xml:space="preserve">KCOR is designed for settings in which selection-induced depletion of susceptibles is the dominant source of non-proportionality in cohort hazards; regimes in which timing misalignment or denominator redefinition dominate are typically identifiable through early instability, lack of a valid quiet window, or failure of post-normalization linearity and therefore fall outside the intended scope of the method.</w:t>
      </w:r>
    </w:p>
    <w:bookmarkEnd w:id="25"/>
    <w:bookmarkStart w:id="26" w:name="Xb392e4b688f4a0f1d9b42015876f69bb1b92dbe"/>
    <w:p>
      <w:pPr>
        <w:pStyle w:val="Heading4"/>
      </w:pPr>
      <w:r>
        <w:t xml:space="preserve">2.1.2 Interpretability checklist for KCOR results</w:t>
      </w:r>
    </w:p>
    <w:p>
      <w:pPr>
        <w:pStyle w:val="FirstParagraph"/>
      </w:pPr>
      <w:r>
        <w:t xml:space="preserve">The assumptions in §2.1.1 specify the conditions under which KCOR is a valid and diagnostically enforceable estimator. Interpretation of a specific KCOR result—particularly as evidence of harm or benefit—requires additional prespecified checks. These checks do not constitute assumptions of the method, but determine what inferential question a given KCOR trajectory answers.</w:t>
      </w:r>
    </w:p>
    <w:p>
      <w:pPr>
        <w:pStyle w:val="BodyText"/>
      </w:pPr>
      <w:r>
        <w:rPr>
          <w:b/>
          <w:bCs/>
        </w:rPr>
        <w:t xml:space="preserve">Before interpreting a KCOR result as evidence of cumulative harm or benefit, the following interpretability checks should be verified:</w:t>
      </w:r>
    </w:p>
    <w:p>
      <w:pPr>
        <w:numPr>
          <w:ilvl w:val="0"/>
          <w:numId w:val="1007"/>
        </w:numPr>
      </w:pPr>
      <w:r>
        <w:rPr>
          <w:b/>
          <w:bCs/>
        </w:rPr>
        <w:t xml:space="preserve">Dynamic selection handling.</w:t>
      </w:r>
      <w:r>
        <w:t xml:space="preserve"> </w:t>
      </w:r>
      <w:r>
        <w:t xml:space="preserve">Early post-enrollment periods subject to short-horizon dynamic selection (e.g., deferral effects) are excluded from frailty identification via prespecified skip weeks.</w:t>
      </w:r>
    </w:p>
    <w:p>
      <w:pPr>
        <w:numPr>
          <w:ilvl w:val="0"/>
          <w:numId w:val="1007"/>
        </w:numPr>
      </w:pPr>
      <w:r>
        <w:rPr>
          <w:b/>
          <w:bCs/>
        </w:rPr>
        <w:t xml:space="preserve">Quiet baseline anchoring.</w:t>
      </w:r>
      <w:r>
        <w:t xml:space="preserve"> </w:t>
      </w:r>
      <w:r>
        <w:t xml:space="preserve">The baseline anchoring period used for comparison lies within an epidemiologically quiet window, free of major external shocks, and exhibits approximate post-normalization linearity.</w:t>
      </w:r>
    </w:p>
    <w:p>
      <w:pPr>
        <w:numPr>
          <w:ilvl w:val="0"/>
          <w:numId w:val="1007"/>
        </w:numPr>
      </w:pPr>
      <w:r>
        <w:rPr>
          <w:b/>
          <w:bCs/>
        </w:rPr>
        <w:t xml:space="preserve">Temporal alignment with hypothesized effects.</w:t>
      </w:r>
      <w:r>
        <w:t xml:space="preserve"> </w:t>
      </w:r>
      <w:r>
        <w:t xml:space="preserve">The follow-up window used for interpretation overlaps the period during which a substantive effect is hypothesized to occur; KCOR does not recover effects outside the analyzed window.</w:t>
      </w:r>
    </w:p>
    <w:p>
      <w:pPr>
        <w:numPr>
          <w:ilvl w:val="0"/>
          <w:numId w:val="1007"/>
        </w:numPr>
      </w:pPr>
      <w:r>
        <w:rPr>
          <w:b/>
          <w:bCs/>
        </w:rPr>
        <w:t xml:space="preserve">Post-normalization stability.</w:t>
      </w:r>
      <w:r>
        <w:t xml:space="preserve"> </w:t>
      </w:r>
      <w:r>
        <w:t xml:space="preserve">KCOR(t) trajectories stabilize rather than drift following normalization and anchoring, consistent with successful removal of selection-induced depletion curvature.</w:t>
      </w:r>
    </w:p>
    <w:p>
      <w:pPr>
        <w:numPr>
          <w:ilvl w:val="0"/>
          <w:numId w:val="1007"/>
        </w:numPr>
      </w:pPr>
      <w:r>
        <w:rPr>
          <w:b/>
          <w:bCs/>
        </w:rPr>
        <w:t xml:space="preserve">Diagnostic coherence.</w:t>
      </w:r>
      <w:r>
        <w:t xml:space="preserve"> </w:t>
      </w:r>
      <w:r>
        <w:t xml:space="preserve">Fitted frailty parameters and residual diagnostics are stable under reasonable perturbations of skip weeks and quiet-window boundaries.</w:t>
      </w:r>
    </w:p>
    <w:p>
      <w:pPr>
        <w:pStyle w:val="FirstParagraph"/>
      </w:pPr>
      <w:r>
        <w:t xml:space="preserve">Failure of any interpretability check narrows what can be inferred, but does not invalidate the KCOR estimator itself. Formal diagnostics underlying these checks, including frailty-parameter coherence and stability, are detailed in Appendix D.</w:t>
      </w:r>
    </w:p>
    <w:bookmarkEnd w:id="26"/>
    <w:bookmarkStart w:id="27" w:name="Xc1b0e04e56855481db261cf53694dff2f44b845"/>
    <w:p>
      <w:pPr>
        <w:pStyle w:val="Heading4"/>
      </w:pPr>
      <w:r>
        <w:t xml:space="preserve">2.1.2a Multiplicity and ensemble interpretation</w:t>
      </w:r>
    </w:p>
    <w:p>
      <w:pPr>
        <w:pStyle w:val="FirstParagraph"/>
      </w:pPr>
      <w:r>
        <w:t xml:space="preserve">KCOR is not intended as a mass univariate hypothesis-testing framework. When applied across multiple age strata, enrollment periods, or dose comparisons, resulting KCOR trajectories should be interpreted as correlated views of a shared underlying process rather than as independent statistical tests. Accordingly, inference emphasizes diagnostic coherence, temporal stability, and consistency of cumulative-outcome patterns across strata, rather than reliance on nominal significance thresholds or formal multiple-comparison corrections.</w:t>
      </w:r>
    </w:p>
    <w:bookmarkEnd w:id="27"/>
    <w:bookmarkStart w:id="28" w:name="identifiability-and-scope-of-inference"/>
    <w:p>
      <w:pPr>
        <w:pStyle w:val="Heading4"/>
      </w:pPr>
      <w:r>
        <w:t xml:space="preserve">2.1.3 Identifiability and scope of inference</w:t>
      </w:r>
    </w:p>
    <w:p>
      <w:pPr>
        <w:pStyle w:val="FirstParagraph"/>
      </w:pPr>
      <w:r>
        <w:t xml:space="preserve">Identifiability in the KCOR framework concerns whether cumulative outcome differences can be meaningfully interpreted after explicit normalization of selection-induced depletion. KCOR does not seek to decompose selection and treatment effects into separate causal components; instead, it tests whether observed cumulative outcomes depart from the null hypothesis of no net harm or benefit under shared external hazards and diagnosed frailty structure. When diagnostic and interpretability conditions are satisfied, persistent departures of KCOR(t) from unity reflect differences in cumulative outcomes that cannot be attributed to selection alone. When those conditions are not met, KCOR explicitly signals loss of identifiability rather than producing misleading estimates.</w:t>
      </w:r>
    </w:p>
    <w:bookmarkEnd w:id="28"/>
    <w:bookmarkStart w:id="29" w:name="X2ff639dda5c76ee12c1be373d6ab806d9726741"/>
    <w:p>
      <w:pPr>
        <w:pStyle w:val="Heading4"/>
      </w:pPr>
      <w:r>
        <w:t xml:space="preserve">2.1.4 What KCOR is not: distinction from Cox and frailty regression</w:t>
      </w:r>
    </w:p>
    <w:p>
      <w:pPr>
        <w:pStyle w:val="FirstParagraph"/>
      </w:pPr>
      <w:r>
        <w:t xml:space="preserve">KCOR is</w:t>
      </w:r>
      <w:r>
        <w:t xml:space="preserve"> </w:t>
      </w:r>
      <w:r>
        <w:rPr>
          <w:b/>
          <w:bCs/>
        </w:rPr>
        <w:t xml:space="preserve">not</w:t>
      </w:r>
      <w:r>
        <w:t xml:space="preserve"> </w:t>
      </w:r>
      <w:r>
        <w:t xml:space="preserve">a Cox proportional hazards model, with or without frailty. Cox models—whether standard or augmented with gamma frailty—are regression models whose primary estimand is a coefficient vector</w:t>
      </w:r>
      <w:r>
        <w:t xml:space="preserve"> </w:t>
      </w:r>
      <m:oMath>
        <m:r>
          <m:t>β</m:t>
        </m:r>
      </m:oMath>
      <w:r>
        <w:t xml:space="preserve">, typically interpreted through hazard ratios. Estimation proceeds by (penalized) partial likelihood based on risk sets, and interpretation relies on proportional hazards (at least conditional on frailty in frailty-augmented Cox models).</w:t>
      </w:r>
    </w:p>
    <w:p>
      <w:pPr>
        <w:pStyle w:val="BodyText"/>
      </w:pPr>
      <w:r>
        <w:t xml:space="preserve">In contrast, KCOR does not estimate regression coefficients, does not condition on risk sets, and does not assume proportional hazards. KCOR treats cohort heterogeneity (frailty-driven selection and depletion) as the primary object of inference rather than as a nuisance random effect. Specifically, KCOR estimates cohort-specific frailty parameters from curvature in observed cumulative hazards during epidemiologically quiet periods and uses these parameters to compute</w:t>
      </w:r>
      <w:r>
        <w:t xml:space="preserve"> </w:t>
      </w:r>
      <w:r>
        <w:rPr>
          <w:b/>
          <w:bCs/>
        </w:rPr>
        <w:t xml:space="preserve">depletion-neutralized baseline cumulative hazards</w:t>
      </w:r>
      <w:r>
        <w:t xml:space="preserve">. KCOR then compares cohorts cumulatively using ratios of these depletion-neutralized quantities.</w:t>
      </w:r>
    </w:p>
    <w:p>
      <w:pPr>
        <w:pStyle w:val="BodyText"/>
      </w:pPr>
      <w:r>
        <w:t xml:space="preserve">Because KCOR neither targets</w:t>
      </w:r>
      <w:r>
        <w:t xml:space="preserve"> </w:t>
      </w:r>
      <m:oMath>
        <m:r>
          <m:t>β</m:t>
        </m:r>
      </m:oMath>
      <w:r>
        <w:t xml:space="preserve"> </w:t>
      </w:r>
      <w:r>
        <w:t xml:space="preserve">nor uses partial likelihood, it is not a special case of Cox frailty models and does not generalize them. KCOR addresses a different inferential problem: normalization of selection-induced hazard curvature and cumulative comparison after that normalization. Cox-type models remain appropriate when the scientific target is an instantaneous hazard ratio and proportional hazards is defensible; KCOR is designed for settings where non-proportional hazards from selection and depletion dominate and cumulative comparisons are the target.</w:t>
      </w:r>
    </w:p>
    <w:bookmarkEnd w:id="29"/>
    <w:bookmarkStart w:id="30" w:name="X19be1cc8b4f22674f4fa31b60c80ceca3407093"/>
    <w:p>
      <w:pPr>
        <w:pStyle w:val="Heading4"/>
      </w:pPr>
      <w:r>
        <w:t xml:space="preserve">2.1.5 Model diagnostics and falsification criteria</w:t>
      </w:r>
    </w:p>
    <w:p>
      <w:pPr>
        <w:pStyle w:val="FirstParagraph"/>
      </w:pPr>
      <w:r>
        <w:t xml:space="preserve">KCOR is not validated by goodness-of-fit alone. Instead, it implies a set of independent structural diagnostics that must be satisfied simultaneously. These diagnostics are defined ex ante and provide explicit failure modes: violation of any one constitutes evidence against model adequacy rather than a need for reinterpretation.</w:t>
      </w:r>
    </w:p>
    <w:p>
      <w:pPr>
        <w:pStyle w:val="BodyText"/>
      </w:pPr>
      <w:r>
        <w:t xml:space="preserve">Specifically, KCOR implies that (i) unvaccinated cohorts drawn from heterogeneous populations exhibit non-zero gamma frailty with visible curvature in cumulative hazard; (ii) cohorts subject to strong selective uptake exhibit near-zero estimated frailty (</w:t>
      </w:r>
      <m:oMath>
        <m:acc>
          <m:accPr>
            <m:chr m:val="̂"/>
          </m:accPr>
          <m:e>
            <m:r>
              <m:t>θ</m:t>
            </m:r>
          </m:e>
        </m:acc>
        <m:r>
          <m:rPr>
            <m:sty m:val="p"/>
          </m:rPr>
          <m:t>≈</m:t>
        </m:r>
        <m:r>
          <m:t>0</m:t>
        </m:r>
      </m:oMath>
      <w:r>
        <w:t xml:space="preserve">) and approximately linear cumulative hazards during epidemiologically quiet windows; (iii) fitted frailty parameters vary coherently with age, reflecting the interaction between baseline hazard and heterogeneity rather than enforcing monotonicity; and (iv) cumulative hazard ratios converge to stable asymptotes following KCOR normalization.</w:t>
      </w:r>
    </w:p>
    <w:p>
      <w:pPr>
        <w:pStyle w:val="BodyText"/>
      </w:pPr>
      <w:r>
        <w:t xml:space="preserve">Importantly, none of these properties are imposed as constraints or priors. All emerge from the data. In low-information regimes (e.g., sparse events or highly selected cohorts), KCOR is expected to degrade toward instability or attenuation rather than producing spurious effects. These behaviors provide a falsifiable diagnostic framework rather than a model-tuning mechanism.</w:t>
      </w:r>
    </w:p>
    <w:bookmarkEnd w:id="30"/>
    <w:bookmarkEnd w:id="31"/>
    <w:bookmarkStart w:id="33" w:name="cohort-construction-and-estimand"/>
    <w:p>
      <w:pPr>
        <w:pStyle w:val="Heading3"/>
      </w:pPr>
      <w:r>
        <w:t xml:space="preserve">2.2 Cohort construction and estimand</w:t>
      </w:r>
    </w:p>
    <w:p>
      <w:pPr>
        <w:pStyle w:val="FirstParagraph"/>
      </w:pPr>
      <w:r>
        <w:t xml:space="preserve">KCOR is defined for</w:t>
      </w:r>
      <w:r>
        <w:t xml:space="preserve"> </w:t>
      </w:r>
      <w:r>
        <w:rPr>
          <w:b/>
          <w:bCs/>
        </w:rPr>
        <w:t xml:space="preserve">fixed cohorts</w:t>
      </w:r>
      <w:r>
        <w:t xml:space="preserve"> </w:t>
      </w:r>
      <w:r>
        <w:t xml:space="preserve">at enrollment. Required inputs are minimal: for each individual, the intervention or enrollment date(s) and the</w:t>
      </w:r>
      <w:r>
        <w:t xml:space="preserve"> </w:t>
      </w:r>
      <w:r>
        <w:rPr>
          <w:b/>
          <w:bCs/>
        </w:rPr>
        <w:t xml:space="preserve">event date</w:t>
      </w:r>
      <w:r>
        <w:t xml:space="preserve"> </w:t>
      </w:r>
      <w:r>
        <w:t xml:space="preserve">(e.g., death for mortality analyses), with birth date or year included only if age stratification is performed. Throughout, we use</w:t>
      </w:r>
      <w:r>
        <w:t xml:space="preserve"> </w:t>
      </w:r>
      <w:r>
        <w:t xml:space="preserve">“event”</w:t>
      </w:r>
      <w:r>
        <w:t xml:space="preserve"> </w:t>
      </w:r>
      <w:r>
        <w:t xml:space="preserve">to denote the outcome of interest, with event timing recorded relative to cohort enrollment.</w:t>
      </w:r>
    </w:p>
    <w:p>
      <w:pPr>
        <w:pStyle w:val="Compact"/>
        <w:numPr>
          <w:ilvl w:val="0"/>
          <w:numId w:val="1008"/>
        </w:numPr>
      </w:pPr>
      <w:r>
        <w:t xml:space="preserve">Cohorts are fixed at enrollment and defined by intervention status at the start of the enrollment week; doses administered during the enrollment week do not affect cohort assignment (i.e., dose status is determined by doses received</w:t>
      </w:r>
      <w:r>
        <w:t xml:space="preserve"> </w:t>
      </w:r>
      <w:r>
        <w:rPr>
          <w:b/>
          <w:bCs/>
        </w:rPr>
        <w:t xml:space="preserve">strictly before</w:t>
      </w:r>
      <w:r>
        <w:t xml:space="preserve"> </w:t>
      </w:r>
      <w:r>
        <w:t xml:space="preserve">the enrollment week start).</w:t>
      </w:r>
    </w:p>
    <w:p>
      <w:pPr>
        <w:pStyle w:val="Compact"/>
        <w:numPr>
          <w:ilvl w:val="0"/>
          <w:numId w:val="1008"/>
        </w:numPr>
      </w:pPr>
      <w:r>
        <w:t xml:space="preserve">No censoring or cohort switching is permitted in the primary estimand.</w:t>
      </w:r>
    </w:p>
    <w:p>
      <w:pPr>
        <w:pStyle w:val="Compact"/>
        <w:numPr>
          <w:ilvl w:val="0"/>
          <w:numId w:val="1008"/>
        </w:numPr>
      </w:pPr>
      <w:r>
        <w:t xml:space="preserve">Analysis proceeds in</w:t>
      </w:r>
      <w:r>
        <w:t xml:space="preserve"> </w:t>
      </w:r>
      <w:r>
        <w:rPr>
          <w:b/>
          <w:bCs/>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w:t>
      </w:r>
      <w:r>
        <w:t xml:space="preserve"> </w:t>
      </w:r>
      <w:r>
        <w:t xml:space="preserve">“as-treated”</w:t>
      </w:r>
      <w:r>
        <w:t xml:space="preserve"> </w:t>
      </w:r>
      <w:r>
        <w:t xml:space="preserve">formulations are treated as sensitivity analyses rather than primary estimands.</w:t>
      </w:r>
    </w:p>
    <w:p>
      <w:pPr>
        <w:pStyle w:val="BodyText"/>
      </w:pPr>
      <w:r>
        <w:rPr>
          <w:b/>
          <w:bCs/>
        </w:rPr>
        <w:t xml:space="preserve">Failure event.</w:t>
      </w:r>
      <w:r>
        <w:t xml:space="preserve"> </w:t>
      </w:r>
      <w:r>
        <w:t xml:space="preserve">The failure event analyzed in this manuscript is</w:t>
      </w:r>
      <w:r>
        <w:t xml:space="preserve"> </w:t>
      </w:r>
      <w:r>
        <w:rPr>
          <w:b/>
          <w:bCs/>
        </w:rPr>
        <w:t xml:space="preserve">all-cause mortality</w:t>
      </w:r>
      <w:r>
        <w:t xml:space="preserve">, defined as death from any cause occurring after cohort enrollment. KCOR therefore does not target a cause-specific hazard and is not framed as a competing risks analysis. This choice is deliberate: selection-induced depletion operates on overall mortality risk regardless of cause, and restricting to cause-specific outcomes requires additional assumptions and introduces sensitivity to misclassification and post-treatment information. Extensions of KCOR to cause-specific outcomes are possible but are outside the scope of this methods paper.</w:t>
      </w:r>
    </w:p>
    <w:bookmarkStart w:id="32" w:name="Xcc9d8eae92928ff9c0042d8fe45a8a74421cd30"/>
    <w:p>
      <w:pPr>
        <w:pStyle w:val="Heading4"/>
      </w:pPr>
      <w:r>
        <w:t xml:space="preserve">2.2.1 KCOR data representation and reproducibility</w:t>
      </w:r>
    </w:p>
    <w:p>
      <w:pPr>
        <w:pStyle w:val="FirstParagraph"/>
      </w:pPr>
      <w:r>
        <w:t xml:space="preserve">All analyses were performed using the KCOR (Kirsch Cumulative Outcomes Ratio) framework, which operates on fixed-cohort, time-indexed observational data under explicitly defined enrollment and outcome semantics.</w:t>
      </w:r>
    </w:p>
    <w:p>
      <w:pPr>
        <w:pStyle w:val="BodyText"/>
      </w:pPr>
      <w:r>
        <w:t xml:space="preserve">To ensure reproducibility across jurisdictions with differing privacy and disclosure-control regimes, KCOR supports three formally defined data representations:</w:t>
      </w:r>
    </w:p>
    <w:p>
      <w:pPr>
        <w:pStyle w:val="Compact"/>
        <w:numPr>
          <w:ilvl w:val="0"/>
          <w:numId w:val="1009"/>
        </w:numPr>
      </w:pPr>
      <w:r>
        <w:t xml:space="preserve">Record-level data</w:t>
      </w:r>
      <w:r>
        <w:br/>
      </w:r>
    </w:p>
    <w:p>
      <w:pPr>
        <w:pStyle w:val="Compact"/>
        <w:numPr>
          <w:ilvl w:val="0"/>
          <w:numId w:val="1009"/>
        </w:numPr>
      </w:pPr>
      <w:r>
        <w:t xml:space="preserve">Aggregated outcome summary data</w:t>
      </w:r>
      <w:r>
        <w:br/>
      </w:r>
    </w:p>
    <w:p>
      <w:pPr>
        <w:pStyle w:val="Compact"/>
        <w:numPr>
          <w:ilvl w:val="0"/>
          <w:numId w:val="1009"/>
        </w:numPr>
      </w:pPr>
      <w:r>
        <w:t xml:space="preserve">Hazard summary data</w:t>
      </w:r>
    </w:p>
    <w:p>
      <w:pPr>
        <w:pStyle w:val="FirstParagraph"/>
      </w:pPr>
      <w:r>
        <w:t xml:space="preserve">These formats differ only in disclosure surface; they are analytically equivalent under the KCOR methodology.</w:t>
      </w:r>
    </w:p>
    <w:p>
      <w:pPr>
        <w:pStyle w:val="BodyText"/>
      </w:pPr>
      <w:r>
        <w:t xml:space="preserve">The precise definitions of enrollment, cohort freezing, time indexing, risk sets, outcomes, stratifiers, and disclosure-control constraints are specified in the</w:t>
      </w:r>
      <w:r>
        <w:t xml:space="preserve"> </w:t>
      </w:r>
      <w:r>
        <w:rPr>
          <w:b/>
          <w:bCs/>
        </w:rPr>
        <w:t xml:space="preserve">KCOR data format specification</w:t>
      </w:r>
      <w:r>
        <w:t xml:space="preserve">, which is versioned and publicly available:</w:t>
      </w:r>
    </w:p>
    <w:p>
      <w:pPr>
        <w:pStyle w:val="BlockText"/>
      </w:pPr>
      <w:r>
        <w:rPr>
          <w:i/>
          <w:iCs/>
        </w:rPr>
        <w:t xml:space="preserve">KCOR File Format Specification</w:t>
      </w:r>
      <w:r>
        <w:br/>
      </w:r>
      <w:r>
        <w:rPr>
          <w:rStyle w:val="VerbatimChar"/>
        </w:rPr>
        <w:t xml:space="preserve">documentation/specs/KCOR_file_format.md</w:t>
      </w:r>
    </w:p>
    <w:p>
      <w:pPr>
        <w:pStyle w:val="FirstParagraph"/>
      </w:pPr>
      <w:r>
        <w:t xml:space="preserve">All KCOR results presented in this paper can be reproduced from any data representation that conforms to this specification.</w:t>
      </w:r>
    </w:p>
    <w:bookmarkEnd w:id="32"/>
    <w:bookmarkEnd w:id="33"/>
    <w:bookmarkStart w:id="37"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r>
          <m:rPr>
            <m:sty m:val="p"/>
          </m:rPr>
          <m:t>(</m:t>
        </m:r>
        <m:r>
          <m:t>t</m:t>
        </m:r>
        <m:r>
          <m:rPr>
            <m:sty m:val="p"/>
          </m:rPr>
          <m:t>)</m:t>
        </m:r>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r>
          <m:rPr>
            <m:sty m:val="p"/>
          </m:rPr>
          <m:t>(</m:t>
        </m:r>
        <m:r>
          <m:t>t</m:t>
        </m:r>
        <m:r>
          <m:rPr>
            <m:sty m:val="p"/>
          </m:rPr>
          <m:t>)</m:t>
        </m:r>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bookmarkStart w:id="34" w:name="eq:hazard-discrete"/>
    <w:p>
      <w:pPr>
        <w:pStyle w:val="BodyText"/>
      </w:pPr>
      <w:pPr>
        <w:tabs>
          <w:tab w:val="center" w:leader="none" w:pos="4680"/>
          <w:tab w:val="right" w:leader="none" w:pos="9360"/>
        </w:tabs>
      </w:pPr>
      <w:r>
        <w:tab/>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ln</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oMath>
      <w:r>
        <w:t xml:space="preserve"> </w:t>
      </w:r>
      <w:r>
        <w:tab/>
      </w:r>
      <w:r>
        <w:t xml:space="preserve"> </w:t>
      </w:r>
      <m:oMath>
        <m:r>
          <m:rPr>
            <m:sty m:val="p"/>
          </m:rPr>
          <m:t>(</m:t>
        </m:r>
        <m:r>
          <m:t>1</m:t>
        </m:r>
        <m:r>
          <m:rPr>
            <m:sty m:val="p"/>
          </m:rPr>
          <m:t>)</m:t>
        </m:r>
      </m:oMath>
    </w:p>
    <w:bookmarkEnd w:id="34"/>
    <w:p>
      <w:pPr>
        <w:pStyle w:val="BodyText"/>
      </w:pPr>
      <w:r>
        <w:t xml:space="preserve">We work primarily in</w:t>
      </w:r>
      <w:r>
        <w:t xml:space="preserve"> </w:t>
      </w:r>
      <w:r>
        <w:rPr>
          <w:b/>
          <w:bCs/>
        </w:rPr>
        <w:t xml:space="preserve">cumulative-hazard space</w:t>
      </w:r>
      <w:r>
        <w:t xml:space="preserve">, accumulating observed hazards after an optional stabilization skip (see §2.7):</w:t>
      </w:r>
    </w:p>
    <w:bookmarkStart w:id="35" w:name="eq:cumhazard-observed"/>
    <w:p>
      <w:pPr>
        <w:pStyle w:val="BodyText"/>
      </w:pPr>
      <w:pPr>
        <w:tabs>
          <w:tab w:val="center" w:leader="none" w:pos="4680"/>
          <w:tab w:val="right" w:leader="none" w:pos="9360"/>
        </w:tabs>
      </w:pPr>
      <w:r>
        <w:tab/>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t> </m:t>
        </m:r>
        <m:r>
          <m:rPr>
            <m:sty m:val="p"/>
          </m:rPr>
          <m:t>Δ</m:t>
        </m:r>
        <m:r>
          <m:t>t</m:t>
        </m:r>
        <m:r>
          <m:rPr>
            <m:sty m:val="p"/>
          </m:rPr>
          <m:t>,</m:t>
        </m:r>
        <m:r>
          <m:t>  </m:t>
        </m:r>
        <m:r>
          <m:rPr>
            <m:sty m:val="p"/>
          </m:rPr>
          <m:t>Δ</m:t>
        </m:r>
        <m:r>
          <m:t>t</m:t>
        </m:r>
        <m:r>
          <m:rPr>
            <m:sty m:val="p"/>
          </m:rPr>
          <m:t>=</m:t>
        </m:r>
        <m:r>
          <m:t>1</m:t>
        </m:r>
        <m:r>
          <m:rPr>
            <m:nor/>
            <m:sty m:val="p"/>
          </m:rPr>
          <m:t> (one time bin)</m:t>
        </m:r>
        <m:r>
          <m:rPr>
            <m:sty m:val="p"/>
          </m:rPr>
          <m:t>.</m:t>
        </m:r>
      </m:oMath>
      <w:r>
        <w:t xml:space="preserve"> </w:t>
      </w:r>
      <w:r>
        <w:tab/>
      </w:r>
      <w:r>
        <w:t xml:space="preserve"> </w:t>
      </w:r>
      <m:oMath>
        <m:r>
          <m:rPr>
            <m:sty m:val="p"/>
          </m:rPr>
          <m:t>(</m:t>
        </m:r>
        <m:r>
          <m:t>2</m:t>
        </m:r>
        <m:r>
          <m:rPr>
            <m:sty m:val="p"/>
          </m:rPr>
          <m:t>)</m:t>
        </m:r>
      </m:oMath>
    </w:p>
    <w:bookmarkEnd w:id="35"/>
    <w:bookmarkStart w:id="36" w:name="discrete-time-and-tied-events"/>
    <w:p>
      <w:pPr>
        <w:pStyle w:val="Heading4"/>
      </w:pPr>
      <w:r>
        <w:t xml:space="preserve">2.3.1 Discrete time and tied events</w:t>
      </w:r>
    </w:p>
    <w:p>
      <w:pPr>
        <w:pStyle w:val="FirstParagraph"/>
      </w:pPr>
      <w:r>
        <w:t xml:space="preserve">KCOR is formulated in discrete time using aggregated event counts and therefore naturally accommodates tied event times. For population registry data, weekly or similarly coarse time bins are generally appropriate and reduce noise without sacrificing identifiability. Finer binning does not improve depletion normalization and may destabilize frailty estimation when event counts per bin are small. Bin width should be guided by diagnostic stability rather than temporal resolution alone.</w:t>
      </w:r>
    </w:p>
    <w:bookmarkEnd w:id="36"/>
    <w:bookmarkEnd w:id="37"/>
    <w:bookmarkStart w:id="50" w:name="Xe033a348c5bd6b05b57c8d9f7299f5850ccd667"/>
    <w:p>
      <w:pPr>
        <w:pStyle w:val="Heading3"/>
      </w:pPr>
      <w:r>
        <w:t xml:space="preserve">2.4 Selection model: gamma frailty and the cumulative-hazard identity</w:t>
      </w:r>
    </w:p>
    <w:bookmarkStart w:id="39"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bookmarkStart w:id="38" w:name="eq:individual-hazard-frailty"/>
    <w:p>
      <w:pPr>
        <w:pStyle w:val="BodyText"/>
      </w:pPr>
      <w:pPr>
        <w:tabs>
          <w:tab w:val="center" w:leader="none" w:pos="4680"/>
          <w:tab w:val="right" w:leader="none" w:pos="9360"/>
        </w:tabs>
      </w:pPr>
      <w:r>
        <w:tab/>
      </w:r>
      <w:r>
        <w:t xml:space="preserve"> </w:t>
      </w: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oMath>
      <w:r>
        <w:t xml:space="preserve"> </w:t>
      </w:r>
      <w:r>
        <w:tab/>
      </w:r>
      <w:r>
        <w:t xml:space="preserve"> </w:t>
      </w:r>
      <m:oMath>
        <m:r>
          <m:rPr>
            <m:sty m:val="p"/>
          </m:rPr>
          <m:t>(</m:t>
        </m:r>
        <m:r>
          <m:t>3</m:t>
        </m:r>
        <m:r>
          <m:rPr>
            <m:sty m:val="p"/>
          </m:rPr>
          <m:t>)</m:t>
        </m:r>
      </m:oMath>
    </w:p>
    <w:bookmarkEnd w:id="38"/>
    <w:p>
      <w:pPr>
        <w:pStyle w:val="BodyText"/>
      </w:pPr>
      <w:r>
        <w:t xml:space="preserve">Gamma frailty is used not as a claim of biological truth, but as a mathematically minimal and widely used model for unobserved heterogeneity whose Laplace transform yields a closed-form relationship between observed and baseline cumulative hazards.</w:t>
      </w:r>
      <w:r>
        <w:rPr>
          <w:vertAlign w:val="superscript"/>
        </w:rPr>
        <w:t xml:space="preserve">1</w:t>
      </w:r>
      <w:r>
        <w:t xml:space="preserve"> </w:t>
      </w:r>
      <w:r>
        <w:t xml:space="preserve">In KCOR, gamma frailty therefore serves as a</w:t>
      </w:r>
      <w:r>
        <w:t xml:space="preserve"> </w:t>
      </w:r>
      <w:r>
        <w:rPr>
          <w:b/>
          <w:bCs/>
        </w:rPr>
        <w:t xml:space="preserve">geometric approximation for depletion normalization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even when</w:t>
      </w:r>
      <w:r>
        <w:t xml:space="preserve"> </w:t>
      </w:r>
      <m:oMath>
        <m:sSub>
          <m:e>
            <m:r>
              <m:t>h</m:t>
            </m:r>
          </m:e>
          <m:sub>
            <m:r>
              <m:t>0</m:t>
            </m:r>
            <m:r>
              <m:rPr>
                <m:sty m:val="p"/>
              </m:rPr>
              <m:t>,</m:t>
            </m:r>
            <m:r>
              <m:t>d</m:t>
            </m:r>
          </m:sub>
        </m:sSub>
        <m:r>
          <m:rPr>
            <m:sty m:val="p"/>
          </m:rPr>
          <m:t>(</m:t>
        </m:r>
        <m:r>
          <m:t>t</m:t>
        </m:r>
        <m:r>
          <m:rPr>
            <m:sty m:val="p"/>
          </m:rPr>
          <m:t>)</m:t>
        </m:r>
      </m:oMath>
      <w:r>
        <w:t xml:space="preserve"> </w:t>
      </w:r>
      <w:r>
        <w:t xml:space="preserve">is simple.</w:t>
      </w:r>
    </w:p>
    <w:p>
      <w:pPr>
        <w:pStyle w:val="BodyText"/>
      </w:pPr>
      <w:r>
        <w:rPr>
          <w:b/>
          <w:bCs/>
        </w:rPr>
        <w:t xml:space="preserve">Interpretation of frailty in this work.</w:t>
      </w:r>
      <w:r>
        <w:t xml:space="preserve"> </w:t>
      </w:r>
      <w:r>
        <w:t xml:space="preserve">Here</w:t>
      </w:r>
      <w:r>
        <w:t xml:space="preserve"> </w:t>
      </w:r>
      <w:r>
        <w:t xml:space="preserve">“frailty”</w:t>
      </w:r>
      <w:r>
        <w:t xml:space="preserve"> </w:t>
      </w:r>
      <w:r>
        <w:t xml:space="preserve">denotes unobserved, time-invariant multiplicative heterogeneity in baseline mortality risk at cohort entry. It is not interpreted as a specific biological attribute and is not treated as a causal mediator of vaccination. Rather, it is a statistical construct capturing latent heterogeneity that produces selective depletion over time and induces curvature in cohort-level hazards and cumulative hazards. KCOR uses frailty as a geometric device to model and remove selection-induced curvature prior to cohort comparison. Frailty in KCOR is not interpreted as a causal variable or mediator of the intervention; it is a statistical construct used to model and remove selection-induced depletion geometry prior to cohort comparison.</w:t>
      </w:r>
    </w:p>
    <w:bookmarkEnd w:id="39"/>
    <w:bookmarkStart w:id="47" w:name="gamma-frailty-identity-core-mathematics"/>
    <w:p>
      <w:pPr>
        <w:pStyle w:val="Heading4"/>
      </w:pPr>
      <w:r>
        <w:t xml:space="preserve">2.4.2 Gamma-frailty identity (core mathematics)</w:t>
      </w:r>
    </w:p>
    <w:p>
      <w:pPr>
        <w:pStyle w:val="FirstParagraph"/>
      </w:pPr>
      <w:r>
        <w:t xml:space="preserve">Let the baseline cumulative hazard be</w:t>
      </w:r>
    </w:p>
    <w:bookmarkStart w:id="40" w:name="eq:baseline-cumhazard"/>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oMath>
      <w:r>
        <w:t xml:space="preserve"> </w:t>
      </w:r>
      <w:r>
        <w:tab/>
      </w:r>
      <w:r>
        <w:t xml:space="preserve"> </w:t>
      </w:r>
      <m:oMath>
        <m:r>
          <m:rPr>
            <m:sty m:val="p"/>
          </m:rPr>
          <m:t>(</m:t>
        </m:r>
        <m:r>
          <m:t>4</m:t>
        </m:r>
        <m:r>
          <m:rPr>
            <m:sty m:val="p"/>
          </m:rPr>
          <m:t>)</m:t>
        </m:r>
      </m:oMath>
    </w:p>
    <w:bookmarkEnd w:id="40"/>
    <w:p>
      <w:pPr>
        <w:pStyle w:val="BodyText"/>
      </w:pPr>
      <w:r>
        <w:t xml:space="preserve">Integrating over gamma frailty yields a closed-form relationship between the observed cohort cumulative hazard and the baseline cumulative hazard:</w:t>
      </w:r>
    </w:p>
    <w:bookmarkStart w:id="41" w:name="eq:gamma-frailty-identity"/>
    <w:p>
      <w:pPr>
        <w:pStyle w:val="BodyText"/>
      </w:pPr>
      <w:pPr>
        <w:tabs>
          <w:tab w:val="center" w:leader="none" w:pos="4680"/>
          <w:tab w:val="right" w:leader="none" w:pos="9360"/>
        </w:tabs>
      </w:pPr>
      <w:r>
        <w:tab/>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oMath>
      <w:r>
        <w:t xml:space="preserve"> </w:t>
      </w:r>
      <w:r>
        <w:tab/>
      </w:r>
      <w:r>
        <w:t xml:space="preserve"> </w:t>
      </w:r>
      <m:oMath>
        <m:r>
          <m:rPr>
            <m:sty m:val="p"/>
          </m:rPr>
          <m:t>(</m:t>
        </m:r>
        <m:r>
          <m:t>5</m:t>
        </m:r>
        <m:r>
          <m:rPr>
            <m:sty m:val="p"/>
          </m:rPr>
          <m:t>)</m:t>
        </m:r>
      </m:oMath>
    </w:p>
    <w:bookmarkEnd w:id="41"/>
    <w:p>
      <w:pPr>
        <w:pStyle w:val="BodyText"/>
      </w:pPr>
      <w:r>
        <w:t xml:space="preserve">This identity can be inverted exactly:</w:t>
      </w:r>
    </w:p>
    <w:bookmarkStart w:id="42" w:name="eq:gamma-frailty-inversion"/>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r>
                  <m:t>θ</m:t>
                </m:r>
              </m:e>
              <m:sub>
                <m:r>
                  <m:t>d</m:t>
                </m:r>
              </m:sub>
            </m:sSub>
          </m:den>
        </m:f>
        <m:r>
          <m:rPr>
            <m:sty m:val="p"/>
          </m:rPr>
          <m:t>.</m:t>
        </m:r>
      </m:oMath>
      <w:r>
        <w:t xml:space="preserve"> </w:t>
      </w:r>
      <w:r>
        <w:tab/>
      </w:r>
      <w:r>
        <w:t xml:space="preserve"> </w:t>
      </w:r>
      <m:oMath>
        <m:r>
          <m:rPr>
            <m:sty m:val="p"/>
          </m:rPr>
          <m:t>(</m:t>
        </m:r>
        <m:r>
          <m:t>6</m:t>
        </m:r>
        <m:r>
          <m:rPr>
            <m:sty m:val="p"/>
          </m:rPr>
          <m:t>)</m:t>
        </m:r>
      </m:oMath>
    </w:p>
    <w:bookmarkEnd w:id="42"/>
    <w:p>
      <w:pPr>
        <w:pStyle w:val="BodyText"/>
      </w:pPr>
      <w:r>
        <w:t xml:space="preserve">This inversion is the</w:t>
      </w:r>
      <w:r>
        <w:t xml:space="preserve"> </w:t>
      </w:r>
      <w:r>
        <w:rPr>
          <w:b/>
          <w:bCs/>
        </w:rPr>
        <w:t xml:space="preserve">KCOR normalization step</w:t>
      </w:r>
      <w:r>
        <w:t xml:space="preserve">: it transforms the observed cumulative hazard into a depletion-neutralized baseline cumulative hazard for each cohort. Figure 1 illustrates this logic schematically.</w:t>
      </w:r>
    </w:p>
    <w:bookmarkStart w:id="46" w:name="fig:kcor_v6_schematic"/>
    <w:p>
      <w:pPr>
        <w:pStyle w:val="CaptionedFigure"/>
      </w:pPr>
      <w:r>
        <w:drawing>
          <wp:inline>
            <wp:extent cx="5334000" cy="1417316"/>
            <wp:effectExtent b="0" l="0" r="0" t="0"/>
            <wp:docPr descr="1" title="" id="44" name="Picture"/>
            <a:graphic>
              <a:graphicData uri="http://schemas.openxmlformats.org/drawingml/2006/picture">
                <pic:pic>
                  <pic:nvPicPr>
                    <pic:cNvPr descr="figures/fig1_kcor_v6_schematic.png" id="45" name="Picture"/>
                    <pic:cNvPicPr>
                      <a:picLocks noChangeArrowheads="1" noChangeAspect="1"/>
                    </pic:cNvPicPr>
                  </pic:nvPicPr>
                  <pic:blipFill>
                    <a:blip r:embed="rId43"/>
                    <a:stretch>
                      <a:fillRect/>
                    </a:stretch>
                  </pic:blipFill>
                  <pic:spPr bwMode="auto">
                    <a:xfrm>
                      <a:off x="0" y="0"/>
                      <a:ext cx="5334000" cy="1417316"/>
                    </a:xfrm>
                    <a:prstGeom prst="rect">
                      <a:avLst/>
                    </a:prstGeom>
                    <a:noFill/>
                    <a:ln w="9525">
                      <a:noFill/>
                      <a:headEnd/>
                      <a:tailEnd/>
                    </a:ln>
                  </pic:spPr>
                </pic:pic>
              </a:graphicData>
            </a:graphic>
          </wp:inline>
        </w:drawing>
      </w:r>
    </w:p>
    <w:p>
      <w:pPr>
        <w:pStyle w:val="ImageCaption"/>
      </w:pPr>
      <w:r>
        <w:t xml:space="preserve">1</w:t>
      </w:r>
    </w:p>
    <w:bookmarkEnd w:id="46"/>
    <w:bookmarkEnd w:id="47"/>
    <w:bookmarkStart w:id="49"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bookmarkStart w:id="48" w:name="eq:baseline-shape-default"/>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g</m:t>
        </m:r>
        <m:r>
          <m:rPr>
            <m:sty m:val="p"/>
          </m:rPr>
          <m:t>(</m:t>
        </m:r>
        <m:r>
          <m:t>t</m:t>
        </m:r>
        <m:r>
          <m:rPr>
            <m:sty m:val="p"/>
          </m:rPr>
          <m:t>)</m:t>
        </m:r>
        <m:r>
          <m:rPr>
            <m:sty m:val="p"/>
          </m:rPr>
          <m:t>,</m:t>
        </m:r>
        <m:r>
          <m:t>  </m:t>
        </m:r>
        <m:r>
          <m:t>g</m:t>
        </m:r>
        <m:r>
          <m:rPr>
            <m:sty m:val="p"/>
          </m:rPr>
          <m:t>(</m:t>
        </m:r>
        <m:r>
          <m:t>t</m:t>
        </m:r>
        <m:r>
          <m:rPr>
            <m:sty m:val="p"/>
          </m:rPr>
          <m:t>)</m:t>
        </m:r>
        <m:r>
          <m:rPr>
            <m:sty m:val="p"/>
          </m:rPr>
          <m:t>=</m:t>
        </m:r>
        <m:r>
          <m:t>1</m:t>
        </m:r>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t</m:t>
        </m:r>
        <m:r>
          <m:rPr>
            <m:sty m:val="p"/>
          </m:rPr>
          <m:t>.</m:t>
        </m:r>
      </m:oMath>
      <w:r>
        <w:t xml:space="preserve"> </w:t>
      </w:r>
      <w:r>
        <w:tab/>
      </w:r>
      <w:r>
        <w:t xml:space="preserve"> </w:t>
      </w:r>
      <m:oMath>
        <m:r>
          <m:rPr>
            <m:sty m:val="p"/>
          </m:rPr>
          <m:t>(</m:t>
        </m:r>
        <m:r>
          <m:t>7</m:t>
        </m:r>
        <m:r>
          <m:rPr>
            <m:sty m:val="p"/>
          </m:rPr>
          <m:t>)</m:t>
        </m:r>
      </m:oMath>
    </w:p>
    <w:bookmarkEnd w:id="48"/>
    <w:p>
      <w:pPr>
        <w:pStyle w:val="BodyText"/>
      </w:pPr>
      <w:r>
        <w:t xml:space="preserve">This choice minimizes degrees of freedom and forces curvature during quiet periods to be explained by selection (frailty) rather than by an explicit time-varying baseline.</w:t>
      </w:r>
    </w:p>
    <w:bookmarkEnd w:id="49"/>
    <w:bookmarkEnd w:id="50"/>
    <w:bookmarkStart w:id="55"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Quiet periods are identified diagnostically via stability of observed cumulative hazards and absence of external shocks, rather than by a fixed universal numeric threshold.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bookmarkStart w:id="51" w:name="eq:hobs-model"/>
    <w:p>
      <w:pPr>
        <w:pStyle w:val="BodyText"/>
      </w:pPr>
      <w:pPr>
        <w:tabs>
          <w:tab w:val="center" w:leader="none" w:pos="4680"/>
          <w:tab w:val="right" w:leader="none" w:pos="9360"/>
        </w:tabs>
      </w:pPr>
      <w:r>
        <w:tab/>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oMath>
      <w:r>
        <w:t xml:space="preserve"> </w:t>
      </w:r>
      <w:r>
        <w:tab/>
      </w:r>
      <w:r>
        <w:t xml:space="preserve"> </w:t>
      </w:r>
      <m:oMath>
        <m:r>
          <m:rPr>
            <m:sty m:val="p"/>
          </m:rPr>
          <m:t>(</m:t>
        </m:r>
        <m:r>
          <m:t>8</m:t>
        </m:r>
        <m:r>
          <m:rPr>
            <m:sty m:val="p"/>
          </m:rPr>
          <m:t>)</m:t>
        </m:r>
      </m:oMath>
    </w:p>
    <w:bookmarkEnd w:id="51"/>
    <w:p>
      <w:pPr>
        <w:pStyle w:val="BodyText"/>
      </w:pPr>
      <w:r>
        <w:t xml:space="preserve">Identifiability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 In practice, lack of identifiable curvature naturally manifests as</w:t>
      </w:r>
      <w:r>
        <w:t xml:space="preserve"> </w:t>
      </w:r>
      <m:oMath>
        <m:acc>
          <m:accPr>
            <m:chr m:val="̂"/>
          </m:accPr>
          <m:e>
            <m:r>
              <m:t>θ</m:t>
            </m:r>
          </m:e>
        </m:acc>
        <m:r>
          <m:rPr>
            <m:sty m:val="p"/>
          </m:rPr>
          <m:t>→</m:t>
        </m:r>
        <m:r>
          <m:t>0</m:t>
        </m:r>
      </m:oMath>
      <w:r>
        <w:t xml:space="preserve">, providing an internal diagnostic for non-identifiability over short or sparse follow-up.</w:t>
      </w:r>
    </w:p>
    <w:p>
      <w:pPr>
        <w:pStyle w:val="BodyText"/>
      </w:pPr>
      <w:r>
        <w:t xml:space="preserve">In applied analyses, this behavior is most commonly observed in vaccinated cohorts, whose cumulative hazards during quiet periods are often close to linear. In such cases, the gamma-frailty fit collapses naturally to</w:t>
      </w:r>
      <w:r>
        <w:t xml:space="preserve"> </w:t>
      </w:r>
      <m:oMath>
        <m:sSub>
          <m:e>
            <m:acc>
              <m:accPr>
                <m:chr m:val="̂"/>
              </m:accPr>
              <m:e>
                <m:r>
                  <m:t>θ</m:t>
                </m:r>
              </m:e>
            </m:acc>
          </m:e>
          <m:sub>
            <m:r>
              <m:t>d</m:t>
            </m:r>
          </m:sub>
        </m:sSub>
        <m:r>
          <m:rPr>
            <m:sty m:val="p"/>
          </m:rPr>
          <m:t>≈</m:t>
        </m:r>
        <m:r>
          <m:t>0</m:t>
        </m:r>
      </m:oMath>
      <w:r>
        <w:t xml:space="preserve">, indicating minimal detectable depletion. This outcome is data-driven and reflects the absence of observable selection-induced curvature rather than a modeling assumption. When residual time-varying risk contaminates a nominally quiet window,</w:t>
      </w:r>
      <w:r>
        <w:t xml:space="preserve"> </w:t>
      </w:r>
      <m:oMath>
        <m:acc>
          <m:accPr>
            <m:chr m:val="̂"/>
          </m:accPr>
          <m:e>
            <m:r>
              <m:t>θ</m:t>
            </m:r>
          </m:e>
        </m:acc>
      </m:oMath>
      <w:r>
        <w:t xml:space="preserve"> </w:t>
      </w:r>
      <w:r>
        <w:t xml:space="preserve">estimates naturally shrink toward zero, signaling limited identifiability rather than inducing spurious correction.</w:t>
      </w:r>
    </w:p>
    <w:p>
      <w:pPr>
        <w:pStyle w:val="BodyText"/>
      </w:pPr>
      <w:r>
        <w:t xml:space="preserve">Parameters are estimated by constrained nonlinear least squares:</w:t>
      </w:r>
    </w:p>
    <w:bookmarkStart w:id="52" w:name="eq:nls-objective"/>
    <w:p>
      <w:pPr>
        <w:pStyle w:val="BodyText"/>
      </w:pPr>
      <w:pPr>
        <w:tabs>
          <w:tab w:val="center" w:leader="none" w:pos="4680"/>
          <w:tab w:val="right" w:leader="none" w:pos="9360"/>
        </w:tabs>
      </w:pPr>
      <w:r>
        <w:tab/>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sSub>
          <m:e>
            <m:r>
              <m:rPr>
                <m:sty m:val="p"/>
              </m:rPr>
              <m:t>min</m:t>
            </m:r>
          </m:e>
          <m:sub>
            <m:sSub>
              <m:e>
                <m:r>
                  <m:t>k</m:t>
                </m:r>
              </m:e>
              <m:sub>
                <m:r>
                  <m:t>d</m:t>
                </m:r>
              </m:sub>
            </m:sSub>
            <m:r>
              <m:rPr>
                <m:sty m:val="p"/>
              </m:rPr>
              <m:t>&gt;</m:t>
            </m:r>
            <m:r>
              <m:t>0</m:t>
            </m:r>
            <m:r>
              <m:rPr>
                <m:sty m:val="p"/>
              </m:rPr>
              <m:t>,</m:t>
            </m:r>
            <m:r>
              <m:t> </m:t>
            </m:r>
            <m:sSub>
              <m:e>
                <m:r>
                  <m:t>θ</m:t>
                </m:r>
              </m:e>
              <m:sub>
                <m:r>
                  <m:t>d</m:t>
                </m:r>
              </m:sub>
            </m:sSub>
            <m:r>
              <m:rPr>
                <m:sty m:val="p"/>
              </m:rPr>
              <m:t>≥</m:t>
            </m:r>
            <m:r>
              <m:t>0</m:t>
            </m:r>
          </m:sub>
        </m:sSub>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oMath>
      <w:r>
        <w:t xml:space="preserve"> </w:t>
      </w:r>
      <w:r>
        <w:tab/>
      </w:r>
      <w:r>
        <w:t xml:space="preserve"> </w:t>
      </w:r>
      <m:oMath>
        <m:r>
          <m:rPr>
            <m:sty m:val="p"/>
          </m:rPr>
          <m:t>(</m:t>
        </m:r>
        <m:r>
          <m:t>9</m:t>
        </m:r>
        <m:r>
          <m:rPr>
            <m:sty m:val="p"/>
          </m:rPr>
          <m:t>)</m:t>
        </m:r>
      </m:oMath>
    </w:p>
    <w:bookmarkEnd w:id="52"/>
    <w:p>
      <w:pPr>
        <w:pStyle w:val="BodyText"/>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54"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defaults are:</w:t>
      </w:r>
    </w:p>
    <w:p>
      <w:pPr>
        <w:pStyle w:val="Compact"/>
        <w:numPr>
          <w:ilvl w:val="0"/>
          <w:numId w:val="1010"/>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10"/>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10"/>
        </w:numPr>
      </w:pPr>
      <w:r>
        <w:rPr>
          <w:b/>
          <w:bCs/>
        </w:rPr>
        <w:t xml:space="preserve">Observed hazard transform used to build</w:t>
      </w:r>
      <w:r>
        <w:rPr>
          <w:b/>
          <w:bCs/>
        </w:rPr>
        <w:t xml:space="preserve"> </w:t>
      </w:r>
      <m:oMath>
        <m:sSubSup>
          <m:e>
            <m:r>
              <m:t>H</m:t>
            </m:r>
          </m:e>
          <m:sub>
            <m:r>
              <m:t>d</m:t>
            </m:r>
          </m:sub>
          <m:sup>
            <m:r>
              <m:rPr>
                <m:sty m:val="p"/>
              </m:rPr>
              <m:t>o</m:t>
            </m:r>
            <m:r>
              <m:rPr>
                <m:sty m:val="p"/>
              </m:rPr>
              <m:t>b</m:t>
            </m:r>
            <m:r>
              <m:rPr>
                <m:sty m:val="p"/>
              </m:rPr>
              <m:t>s</m:t>
            </m:r>
          </m:sup>
        </m:sSubSup>
      </m:oMath>
      <w:r>
        <w:rPr>
          <w:b/>
          <w:bCs/>
        </w:rPr>
        <w:t xml:space="preserve"> </w:t>
      </w:r>
      <w:r>
        <w:rPr>
          <w:b/>
          <w:bCs/>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bookmarkStart w:id="53" w:name="eq:hazard-from-mr-improved"/>
    <w:p>
      <w:pPr>
        <w:pStyle w:val="FirstParagraph"/>
      </w:pPr>
      <w:pPr>
        <w:tabs>
          <w:tab w:val="center" w:leader="none" w:pos="4680"/>
          <w:tab w:val="right" w:leader="none" w:pos="9360"/>
        </w:tabs>
      </w:pPr>
      <w:r>
        <w:tab/>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oMath>
      <w:r>
        <w:t xml:space="preserve"> </w:t>
      </w:r>
      <w:r>
        <w:tab/>
      </w:r>
      <w:r>
        <w:t xml:space="preserve"> </w:t>
      </w:r>
      <m:oMath>
        <m:r>
          <m:rPr>
            <m:sty m:val="p"/>
          </m:rPr>
          <m:t>(</m:t>
        </m:r>
        <m:r>
          <m:t>10</m:t>
        </m:r>
        <m:r>
          <m:rPr>
            <m:sty m:val="p"/>
          </m:rPr>
          <m:t>)</m:t>
        </m:r>
      </m:oMath>
    </w:p>
    <w:bookmarkEnd w:id="53"/>
    <w:p>
      <w:pPr>
        <w:pStyle w:val="BodyText"/>
      </w:pPr>
      <w:r>
        <w:t xml:space="preserve">This form provides a second-order accurate approximation to the continuous-time hazard while remaining numerically stable for small mortality-rate (MR) values.</w:t>
      </w:r>
    </w:p>
    <w:p>
      <w:pPr>
        <w:pStyle w:val="Compact"/>
        <w:numPr>
          <w:ilvl w:val="0"/>
          <w:numId w:val="1011"/>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11"/>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54"/>
    <w:bookmarkEnd w:id="55"/>
    <w:bookmarkStart w:id="60"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bookmarkStart w:id="56" w:name="eq:normalized-cumhazard"/>
    <w:p>
      <w:pPr>
        <w:pStyle w:val="BodyText"/>
      </w:pPr>
      <w:pPr>
        <w:tabs>
          <w:tab w:val="center" w:leader="none" w:pos="4680"/>
          <w:tab w:val="right" w:leader="none" w:pos="9360"/>
        </w:tabs>
      </w:pPr>
      <w:r>
        <w:tab/>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r>
          <m:rPr>
            <m:sty m:val="p"/>
          </m:rPr>
          <m:t>.</m:t>
        </m:r>
      </m:oMath>
      <w:r>
        <w:t xml:space="preserve"> </w:t>
      </w:r>
      <w:r>
        <w:tab/>
      </w:r>
      <w:r>
        <w:t xml:space="preserve"> </w:t>
      </w:r>
      <m:oMath>
        <m:r>
          <m:rPr>
            <m:sty m:val="p"/>
          </m:rPr>
          <m:t>(</m:t>
        </m:r>
        <m:r>
          <m:t>11</m:t>
        </m:r>
        <m:r>
          <m:rPr>
            <m:sty m:val="p"/>
          </m:rPr>
          <m:t>)</m:t>
        </m:r>
      </m:oMath>
    </w:p>
    <w:bookmarkEnd w:id="56"/>
    <w:p>
      <w:pPr>
        <w:pStyle w:val="BodyText"/>
      </w:pPr>
      <w:r>
        <w:t xml:space="preserve">This normalization maps each cohort into a depletion-neutralized baseline-hazard space in which the contribution of gamma frailty parameters</w:t>
      </w:r>
      <w:r>
        <w:t xml:space="preserve"> </w:t>
      </w:r>
      <m:oMath>
        <m:r>
          <m:rPr>
            <m:sty m:val="p"/>
          </m:rPr>
          <m:t>(</m:t>
        </m:r>
        <m:sSub>
          <m:e>
            <m:r>
              <m:t>θ</m:t>
            </m:r>
          </m:e>
          <m:sub>
            <m:r>
              <m:t>d</m:t>
            </m:r>
          </m:sub>
        </m:sSub>
        <m:r>
          <m:rPr>
            <m:sty m:val="p"/>
          </m:rPr>
          <m:t>,</m:t>
        </m:r>
        <m:sSub>
          <m:e>
            <m:r>
              <m:t>k</m:t>
            </m:r>
          </m:e>
          <m:sub>
            <m:r>
              <m:t>d</m:t>
            </m:r>
          </m:sub>
        </m:sSub>
        <m:r>
          <m:rPr>
            <m:sty m:val="p"/>
          </m:rPr>
          <m:t>)</m:t>
        </m:r>
      </m:oMath>
      <w:r>
        <w:t xml:space="preserve"> </w:t>
      </w:r>
      <w:r>
        <w:t xml:space="preserve">to hazard curvature has been factored out.</w:t>
      </w:r>
      <w:r>
        <w:t xml:space="preserve"> </w:t>
      </w:r>
      <w:r>
        <w:rPr>
          <w:i/>
          <w:iCs/>
        </w:rPr>
        <w:t xml:space="preserve">(Conceptually, this places all cohorts into an equivalent θ-factored comparison space.)</w:t>
      </w:r>
      <w:r>
        <w:t xml:space="preserve"> </w:t>
      </w:r>
      <w:r>
        <w:t xml:space="preserve">In this space, cumulative hazards are directly comparable across cohorts, and remaining differences reflect real differences in baseline risk rather than selection-induced depletion.</w:t>
      </w:r>
    </w:p>
    <w:p>
      <w:pPr>
        <w:pStyle w:val="BodyText"/>
      </w:pPr>
      <w:r>
        <w:t xml:space="preserve">When</w:t>
      </w:r>
      <w:r>
        <w:t xml:space="preserve"> </w:t>
      </w:r>
      <m:oMath>
        <m:sSub>
          <m:e>
            <m:acc>
              <m:accPr>
                <m:chr m:val="̂"/>
              </m:accPr>
              <m:e>
                <m:r>
                  <m:t>θ</m:t>
                </m:r>
              </m:e>
            </m:acc>
          </m:e>
          <m:sub>
            <m:r>
              <m:t>d</m:t>
            </m:r>
          </m:sub>
        </m:sSub>
        <m:r>
          <m:rPr>
            <m:sty m:val="p"/>
          </m:rPr>
          <m:t>≈</m:t>
        </m:r>
        <m:r>
          <m:t>0</m:t>
        </m:r>
      </m:oMath>
      <w:r>
        <w:t xml:space="preserve">, this mapping leaves the observed cumulative hazard essentially unchanged, whereas cohorts with measurable depletion undergo an upward correction.</w:t>
      </w:r>
    </w:p>
    <w:p>
      <w:pPr>
        <w:pStyle w:val="BodyText"/>
      </w:pPr>
      <w:r>
        <w:t xml:space="preserve">An adjusted hazard may be recovered by differencing:</w:t>
      </w:r>
    </w:p>
    <w:bookmarkStart w:id="57" w:name="eq:normalized-hazard-diff"/>
    <w:p>
      <w:pPr>
        <w:pStyle w:val="BodyText"/>
      </w:pPr>
      <w:pPr>
        <w:tabs>
          <w:tab w:val="center" w:leader="none" w:pos="4680"/>
          <w:tab w:val="right" w:leader="none" w:pos="9360"/>
        </w:tabs>
      </w:pPr>
      <w:r>
        <w:tab/>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oMath>
      <w:r>
        <w:t xml:space="preserve"> </w:t>
      </w:r>
      <w:r>
        <w:tab/>
      </w:r>
      <w:r>
        <w:t xml:space="preserve"> </w:t>
      </w:r>
      <m:oMath>
        <m:r>
          <m:rPr>
            <m:sty m:val="p"/>
          </m:rPr>
          <m:t>(</m:t>
        </m:r>
        <m:r>
          <m:t>12</m:t>
        </m:r>
        <m:r>
          <m:rPr>
            <m:sty m:val="p"/>
          </m:rPr>
          <m:t>)</m:t>
        </m:r>
      </m:oMath>
    </w:p>
    <w:bookmarkEnd w:id="57"/>
    <w:p>
      <w:pPr>
        <w:pStyle w:val="BodyText"/>
      </w:pPr>
      <w:r>
        <w:t xml:space="preserve">The key object for KCOR is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differenced hazards are optional diagnostics.</w:t>
      </w:r>
    </w:p>
    <w:p>
      <w:pPr>
        <w:pStyle w:val="BodyText"/>
      </w:pPr>
      <w:r>
        <w:t xml:space="preserve">Normalization is necessary but not sufficient. The depletion-neutralized cumulative hazard</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is not itself the estimand of interest. Its role is to place cohorts into a common comparison space in which selection-induced depletion dynamics have been removed. The substantive comparison—and therefore the inferential signal—arises only when these normalized cumulative hazards are compared across cohorts via the KCOR estimator (§2.8). Because normalization operates in cumulative-hazard space and removes time-varying curvature rather than rescaling instantaneous hazards, applying Cox regression to normalized outputs generally re-introduces misspecification. Applying standard proportional-hazards or regression-based estimators after normalization is generally inappropriate, because the comparison is cumulative by construction and because residual non-proportionality is precisely what KCOR is designed to reveal. KCOR therefore integrates normalization and comparison into a single, internally consistent system.</w:t>
      </w:r>
    </w:p>
    <w:p>
      <w:pPr>
        <w:pStyle w:val="BodyText"/>
      </w:pPr>
      <w:r>
        <w:t xml:space="preserve">In KCOR, the parametric model is used solely to estimate and invert selection-induced curvature in cumulative-hazard space; treatment comparisons are then made directly on the adjusted data. In contrast, Cox regression fits a hazard model to the observed data and derives treatment effects from model coefficients, implicitly attributing all systematic hazard divergence—including selection effects—to the exposure.</w:t>
      </w:r>
    </w:p>
    <w:bookmarkStart w:id="58" w:name="computational-considerations"/>
    <w:p>
      <w:pPr>
        <w:pStyle w:val="Heading4"/>
      </w:pPr>
      <w:r>
        <w:t xml:space="preserve">2.6.1 Computational considerations</w:t>
      </w:r>
    </w:p>
    <w:p>
      <w:pPr>
        <w:pStyle w:val="FirstParagraph"/>
      </w:pPr>
      <w:r>
        <w:t xml:space="preserve">KCOR operates on aggregated event counts in discrete time and cumulative-hazard space. Computational complexity scales linearly with the number of time bins and strata rather than the number of individuals, making the method feasible for very large population registries. In practice, KCOR analyses on national-scale datasets (millions of individuals) are memory-bound rather than CPU-bound and can be implemented efficiently using standard vectorized numerical libraries. No iterative optimization over individual-level records is required.</w:t>
      </w:r>
    </w:p>
    <w:bookmarkEnd w:id="58"/>
    <w:bookmarkStart w:id="59" w:name="Xc1f19c71d062175674bff138482e70845d20a7b"/>
    <w:p>
      <w:pPr>
        <w:pStyle w:val="Heading4"/>
      </w:pPr>
      <w:r>
        <w:t xml:space="preserve">2.6.2 Internal diagnostics and</w:t>
      </w:r>
      <w:r>
        <w:t xml:space="preserve"> </w:t>
      </w:r>
      <w:r>
        <w:t xml:space="preserve">‘self-check’</w:t>
      </w:r>
      <w:r>
        <w:t xml:space="preserve"> </w:t>
      </w:r>
      <w:r>
        <w:t xml:space="preserve">behavior</w:t>
      </w:r>
    </w:p>
    <w:p>
      <w:pPr>
        <w:pStyle w:val="FirstParagraph"/>
      </w:pPr>
      <w:r>
        <w:t xml:space="preserve">KCOR includes internal diagnostics intended to make model stress visible rather than hidden.</w:t>
      </w:r>
    </w:p>
    <w:p>
      <w:pPr>
        <w:numPr>
          <w:ilvl w:val="0"/>
          <w:numId w:val="1012"/>
        </w:numPr>
      </w:pPr>
      <w:r>
        <w:rPr>
          <w:b/>
          <w:bCs/>
        </w:rPr>
        <w:t xml:space="preserve">Post-normalization linearity in quiet periods.</w:t>
      </w:r>
      <w:r>
        <w:t xml:space="preserve"> </w:t>
      </w:r>
      <w:r>
        <w:t xml:space="preserve">During a prespecified quiet window, the working model assumes that curvature in observed cumulative hazard is primarily driven by depletion under heterogeneity. After inversion, the depletion-neutralized cumulative hazard</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should be approximately linear in event time over the same quiet window. Systematic residual curvature (e.g., sustained concavity/convexity) indicates that the quiet-window assumption is violated (external shocks, secular trends) or that the depletion geometry is misspecified for that cohort.</w:t>
      </w:r>
    </w:p>
    <w:p>
      <w:pPr>
        <w:numPr>
          <w:ilvl w:val="0"/>
          <w:numId w:val="1012"/>
        </w:numPr>
      </w:pPr>
      <w:r>
        <w:rPr>
          <w:b/>
          <w:bCs/>
        </w:rPr>
        <w:t xml:space="preserve">Fit residual structure in cumulative-hazard space.</w:t>
      </w:r>
      <w:r>
        <w:t xml:space="preserve"> </w:t>
      </w:r>
      <w:r>
        <w:t xml:space="preserve">Define residuals</w:t>
      </w:r>
      <w:r>
        <w:t xml:space="preserve"> </w:t>
      </w:r>
      <m:oMath>
        <m:sSub>
          <m:e>
            <m:r>
              <m:t>r</m:t>
            </m:r>
          </m:e>
          <m:sub>
            <m:r>
              <m:t>d</m:t>
            </m:r>
          </m:sub>
        </m:sSub>
        <m:r>
          <m:rPr>
            <m:sty m:val="p"/>
          </m:rPr>
          <m:t>(</m:t>
        </m:r>
        <m:r>
          <m:t>t</m:t>
        </m:r>
        <m:r>
          <m:rPr>
            <m:sty m:val="p"/>
          </m:rPr>
          <m: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over the fit set</w:t>
      </w:r>
      <w:r>
        <w:t xml:space="preserve"> </w:t>
      </w:r>
      <m:oMath>
        <m:sSub>
          <m:e>
            <m:r>
              <m:rPr>
                <m:scr m:val="script"/>
                <m:sty m:val="p"/>
              </m:rPr>
              <m:t>T</m:t>
            </m:r>
          </m:e>
          <m:sub>
            <m:r>
              <m:t>d</m:t>
            </m:r>
          </m:sub>
        </m:sSub>
      </m:oMath>
      <w:r>
        <w:t xml:space="preserve">. KCOR expects residuals to be small and not systematically time-structured. Strongly patterned residuals indicate that the curvature attributed to depletion is instead being driven by unmodeled time-varying hazards.</w:t>
      </w:r>
    </w:p>
    <w:p>
      <w:pPr>
        <w:numPr>
          <w:ilvl w:val="0"/>
          <w:numId w:val="1012"/>
        </w:numPr>
      </w:pPr>
      <w:r>
        <w:rPr>
          <w:b/>
          <w:bCs/>
        </w:rPr>
        <w:t xml:space="preserve">Parameter stability to window perturbations.</w:t>
      </w:r>
      <w:r>
        <w:t xml:space="preserve"> </w:t>
      </w:r>
      <w:r>
        <w:t xml:space="preserve">Under valid quiet-window selection,</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stable to small perturbations of the quiet-window boundaries (e.g., ±4 weeks). Large changes in</w:t>
      </w:r>
      <w:r>
        <w:t xml:space="preserve"> </w:t>
      </w:r>
      <m:oMath>
        <m:sSub>
          <m:e>
            <m:acc>
              <m:accPr>
                <m:chr m:val="̂"/>
              </m:accPr>
              <m:e>
                <m:r>
                  <m:t>θ</m:t>
                </m:r>
              </m:e>
            </m:acc>
          </m:e>
          <m:sub>
            <m:r>
              <m:t>d</m:t>
            </m:r>
          </m:sub>
        </m:sSub>
      </m:oMath>
      <w:r>
        <w:t xml:space="preserve"> </w:t>
      </w:r>
      <w:r>
        <w:t xml:space="preserve">under small boundary shifts signal that the fitted curvature is sensitive to transient dynamics rather than stable depletion.</w:t>
      </w:r>
    </w:p>
    <w:p>
      <w:pPr>
        <w:numPr>
          <w:ilvl w:val="0"/>
          <w:numId w:val="1012"/>
        </w:numPr>
      </w:pPr>
      <w:r>
        <w:rPr>
          <w:b/>
          <w:bCs/>
        </w:rPr>
        <w:t xml:space="preserve">Non-identifiability manifests as</w:t>
      </w:r>
      <w:r>
        <w:rPr>
          <w:b/>
          <w:bCs/>
        </w:rPr>
        <w:t xml:space="preserve"> </w:t>
      </w:r>
      <m:oMath>
        <m:acc>
          <m:accPr>
            <m:chr m:val="̂"/>
          </m:accPr>
          <m:e>
            <m:r>
              <m:t>θ</m:t>
            </m:r>
          </m:e>
        </m:acc>
        <m:r>
          <m:rPr>
            <m:sty m:val="p"/>
          </m:rPr>
          <m:t>→</m:t>
        </m:r>
        <m:r>
          <m:t>0</m:t>
        </m:r>
      </m:oMath>
      <w:r>
        <w:rPr>
          <w:b/>
          <w:bCs/>
        </w:rPr>
        <w:t xml:space="preserve">.</w:t>
      </w:r>
      <w:r>
        <w:t xml:space="preserve"> </w:t>
      </w:r>
      <w:r>
        <w:t xml:space="preserve">When the observed cumulative hazard is near-linear (weak curvature) or events are sparse,</w:t>
      </w:r>
      <w:r>
        <w:t xml:space="preserve"> </w:t>
      </w:r>
      <m:oMath>
        <m:r>
          <m:t>θ</m:t>
        </m:r>
      </m:oMath>
      <w:r>
        <w:t xml:space="preserve"> </w:t>
      </w:r>
      <w:r>
        <w:t xml:space="preserve">is weakly identified. In such cases, KCOR should be interpreted primarily as a diagnostic (limited evidence of detectable depletion curvature) rather than a strong correction.</w:t>
      </w:r>
    </w:p>
    <w:p>
      <w:pPr>
        <w:pStyle w:val="FirstParagraph"/>
      </w:pPr>
      <w:r>
        <w:t xml:space="preserve">These diagnostics are reported alongside KCOR curves. Importantly, the goal is not to assert that a single parametric form is always correct, but to ensure that when the form is incorrect or the window is contaminated, the method signals this explicitly rather than silently producing a misleading</w:t>
      </w:r>
      <w:r>
        <w:t xml:space="preserve"> </w:t>
      </w:r>
      <w:r>
        <w:t xml:space="preserve">‘corrected’</w:t>
      </w:r>
      <w:r>
        <w:t xml:space="preserve"> </w:t>
      </w:r>
      <w:r>
        <w:t xml:space="preserve">estimate.</w:t>
      </w:r>
    </w:p>
    <w:bookmarkEnd w:id="59"/>
    <w:bookmarkEnd w:id="60"/>
    <w:bookmarkStart w:id="62"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 The skip-weeks parameter is prespecified and evaluated via sensitivity analysis to exclude early enrollment instability rather than to tune estimates.</w:t>
      </w:r>
    </w:p>
    <w:p>
      <w:pPr>
        <w:pStyle w:val="BodyText"/>
      </w:pPr>
      <w:r>
        <w:t xml:space="preserve">In discrete time, define an effective hazard for accumulation:</w:t>
      </w:r>
    </w:p>
    <w:bookmarkStart w:id="61" w:name="eq:effective-hazard-skip"/>
    <w:p>
      <w:pPr>
        <w:pStyle w:val="BodyText"/>
      </w:pPr>
      <w:pPr>
        <w:tabs>
          <w:tab w:val="center" w:leader="none" w:pos="4680"/>
          <w:tab w:val="right" w:leader="none" w:pos="9360"/>
        </w:tabs>
      </w:pPr>
      <w:r>
        <w:tab/>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oMath>
      <w:r>
        <w:t xml:space="preserve"> </w:t>
      </w:r>
      <w:r>
        <w:tab/>
      </w:r>
      <w:r>
        <w:t xml:space="preserve"> </w:t>
      </w:r>
      <m:oMath>
        <m:r>
          <m:rPr>
            <m:sty m:val="p"/>
          </m:rPr>
          <m:t>(</m:t>
        </m:r>
        <m:r>
          <m:t>13</m:t>
        </m:r>
        <m:r>
          <m:rPr>
            <m:sty m:val="p"/>
          </m:rPr>
          <m:t>)</m:t>
        </m:r>
      </m:oMath>
    </w:p>
    <w:bookmarkEnd w:id="61"/>
    <w:p>
      <w:pPr>
        <w:pStyle w:val="BodyText"/>
      </w:pPr>
      <w:r>
        <w:t xml:space="preserve">Then compute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bookmarkEnd w:id="62"/>
    <w:bookmarkStart w:id="64" w:name="kcor-estimator"/>
    <w:p>
      <w:pPr>
        <w:pStyle w:val="Heading3"/>
      </w:pPr>
      <w:r>
        <w:t xml:space="preserve">2.8 KCOR estimator</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bookmarkStart w:id="63" w:name="eq:kcor-estimator"/>
    <w:p>
      <w:pPr>
        <w:pStyle w:val="BodyText"/>
      </w:pPr>
      <w:pPr>
        <w:tabs>
          <w:tab w:val="center" w:leader="none" w:pos="4680"/>
          <w:tab w:val="right" w:leader="none" w:pos="9360"/>
        </w:tabs>
      </w:pPr>
      <w:r>
        <w:tab/>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w:r>
        <w:t xml:space="preserve"> </w:t>
      </w:r>
      <w:r>
        <w:tab/>
      </w:r>
      <w:r>
        <w:t xml:space="preserve"> </w:t>
      </w:r>
      <m:oMath>
        <m:r>
          <m:rPr>
            <m:sty m:val="p"/>
          </m:rPr>
          <m:t>(</m:t>
        </m:r>
        <m:r>
          <m:t>14</m:t>
        </m:r>
        <m:r>
          <m:rPr>
            <m:sty m:val="p"/>
          </m:rPr>
          <m:t>)</m:t>
        </m:r>
      </m:oMath>
    </w:p>
    <w:bookmarkEnd w:id="63"/>
    <w:p>
      <w:pPr>
        <w:pStyle w:val="BodyText"/>
      </w:pPr>
      <w:r>
        <w:t xml:space="preserve">This is a cumulative comparison in hazard space after removing cohort-specific selection-induced depletion dynamics estimated during quiet periods.</w:t>
      </w:r>
    </w:p>
    <w:bookmarkEnd w:id="64"/>
    <w:bookmarkStart w:id="65" w:name="uncertainty-quantification"/>
    <w:p>
      <w:pPr>
        <w:pStyle w:val="Heading3"/>
      </w:pPr>
      <w:r>
        <w:t xml:space="preserve">2.9 Uncertainty quantification</w:t>
      </w:r>
    </w:p>
    <w:p>
      <w:pPr>
        <w:pStyle w:val="FirstParagraph"/>
      </w:pPr>
      <w:r>
        <w:t xml:space="preserve">KCOR can be equipped with uncertainty intervals via:</w:t>
      </w:r>
    </w:p>
    <w:p>
      <w:pPr>
        <w:pStyle w:val="Compact"/>
        <w:numPr>
          <w:ilvl w:val="0"/>
          <w:numId w:val="1013"/>
        </w:numPr>
      </w:pPr>
      <w:r>
        <w:rPr>
          <w:b/>
          <w:bCs/>
        </w:rPr>
        <w:t xml:space="preserve">Analytic variance propagation</w:t>
      </w:r>
      <w:r>
        <w:t xml:space="preserve"> </w:t>
      </w:r>
      <w:r>
        <w:t xml:space="preserve">for cumulative hazards combined with delta-method approximations for the ratio, and/or</w:t>
      </w:r>
    </w:p>
    <w:p>
      <w:pPr>
        <w:pStyle w:val="Compact"/>
        <w:numPr>
          <w:ilvl w:val="0"/>
          <w:numId w:val="1013"/>
        </w:numPr>
      </w:pPr>
      <w:r>
        <w:rPr>
          <w:b/>
          <w:bCs/>
        </w:rPr>
        <w:t xml:space="preserve">Monte Carlo resampling</w:t>
      </w:r>
      <w:r>
        <w:t xml:space="preserve"> </w:t>
      </w:r>
      <w:r>
        <w:t xml:space="preserve">to capture uncertainty from event realization and from estimation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65"/>
    <w:bookmarkStart w:id="71" w:name="Xf552aaad3b83b889e2d08c64d65c17176bae771"/>
    <w:p>
      <w:pPr>
        <w:pStyle w:val="Heading3"/>
      </w:pPr>
      <w:r>
        <w:t xml:space="preserve">2.10 Algorithm summary and reproducibility checklist</w:t>
      </w:r>
    </w:p>
    <w:p>
      <w:pPr>
        <w:pStyle w:val="FirstParagraph"/>
      </w:pPr>
      <w:r>
        <w:t xml:space="preserve">Table 5 summarizes the complete KCOR pipeline.</w:t>
      </w:r>
    </w:p>
    <w:bookmarkStart w:id="66" w:name="tbl:KCOR_algorithm"/>
    <w:p>
      <w:pPr>
        <w:pStyle w:val="TableCaption"/>
      </w:pPr>
      <w:r>
        <w:t xml:space="preserve">5</w:t>
      </w:r>
    </w:p>
    <w:tbl>
      <w:tblPr>
        <w:tblStyle w:val="Table"/>
        <w:tblW w:type="pct" w:w="5000"/>
        <w:tblLayout w:type="fixed"/>
        <w:tblLook w:firstRow="1" w:lastRow="0" w:firstColumn="0" w:lastColumn="0" w:noHBand="0" w:noVBand="0" w:val="0020"/>
        <w:tblCaption w:val="5"/>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hazards</w:t>
            </w:r>
          </w:p>
        </w:tc>
        <w:tc>
          <w:tcPr/>
          <w:p>
            <w:pPr>
              <w:pStyle w:val="Compact"/>
            </w:pPr>
            <w:r>
              <w:t xml:space="preserve">Yes (skip rule)</w:t>
            </w:r>
          </w:p>
        </w:tc>
        <w:tc>
          <w:tcPr/>
          <w:p>
            <w:pPr>
              <w:pStyle w:val="Compact"/>
            </w:pPr>
            <w:r>
              <w:t xml:space="preserve">Plot</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via cumulative-hazard least squares</w:t>
            </w:r>
          </w:p>
        </w:tc>
        <w:tc>
          <w:tcPr/>
          <w:p>
            <w:pPr>
              <w:pStyle w:val="Compac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w:t>
            </w:r>
            <w:r>
              <w:t xml:space="preserve"> </w:t>
            </w:r>
            <m:oMath>
              <m:sSub>
                <m:e>
                  <m:acc>
                    <m:accPr>
                      <m:chr m:val="̃"/>
                    </m:accPr>
                    <m:e>
                      <m:r>
                        <m:t>H</m:t>
                      </m:r>
                    </m:e>
                  </m:acc>
                </m:e>
                <m:sub>
                  <m:r>
                    <m:t>0</m:t>
                  </m:r>
                  <m:r>
                    <m:rPr>
                      <m:sty m:val="p"/>
                    </m:rPr>
                    <m:t>,</m:t>
                  </m:r>
                  <m:r>
                    <m:t>d</m:t>
                  </m:r>
                </m:sub>
              </m:sSub>
              <m:r>
                <m:rPr>
                  <m:sty m:val="p"/>
                </m:rPr>
                <m:t>(</m:t>
              </m:r>
              <m:r>
                <m:t>t</m:t>
              </m:r>
              <m:r>
                <m:rPr>
                  <m:sty m:val="p"/>
                </m:rPr>
                <m:t>)</m:t>
              </m:r>
            </m:oMath>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KCOR</w:t>
            </w:r>
            <m:oMath>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66"/>
    <w:bookmarkStart w:id="70" w:name="fig:kcor_workflow"/>
    <w:p>
      <w:pPr>
        <w:pStyle w:val="CaptionedFigure"/>
      </w:pPr>
      <w:r>
        <w:drawing>
          <wp:inline>
            <wp:extent cx="5334000" cy="4287328"/>
            <wp:effectExtent b="0" l="0" r="0" t="0"/>
            <wp:docPr descr="2" title="" id="68" name="Picture"/>
            <a:graphic>
              <a:graphicData uri="http://schemas.openxmlformats.org/drawingml/2006/picture">
                <pic:pic>
                  <pic:nvPicPr>
                    <pic:cNvPr descr="figures/fig_kcor_workflow.png" id="69" name="Picture"/>
                    <pic:cNvPicPr>
                      <a:picLocks noChangeArrowheads="1" noChangeAspect="1"/>
                    </pic:cNvPicPr>
                  </pic:nvPicPr>
                  <pic:blipFill>
                    <a:blip r:embed="rId67"/>
                    <a:stretch>
                      <a:fillRect/>
                    </a:stretch>
                  </pic:blipFill>
                  <pic:spPr bwMode="auto">
                    <a:xfrm>
                      <a:off x="0" y="0"/>
                      <a:ext cx="5334000" cy="4287328"/>
                    </a:xfrm>
                    <a:prstGeom prst="rect">
                      <a:avLst/>
                    </a:prstGeom>
                    <a:noFill/>
                    <a:ln w="9525">
                      <a:noFill/>
                      <a:headEnd/>
                      <a:tailEnd/>
                    </a:ln>
                  </pic:spPr>
                </pic:pic>
              </a:graphicData>
            </a:graphic>
          </wp:inline>
        </w:drawing>
      </w:r>
    </w:p>
    <w:p>
      <w:pPr>
        <w:pStyle w:val="ImageCaption"/>
      </w:pPr>
      <w:r>
        <w:t xml:space="preserve">2</w:t>
      </w:r>
    </w:p>
    <w:bookmarkEnd w:id="70"/>
    <w:bookmarkEnd w:id="71"/>
    <w:bookmarkStart w:id="83" w:name="relationship-to-cox-proportional-hazards"/>
    <w:p>
      <w:pPr>
        <w:pStyle w:val="Heading3"/>
      </w:pPr>
      <w:r>
        <w:t xml:space="preserve">2.11 Relationship to Cox proportional hazards</w:t>
      </w:r>
    </w:p>
    <w:p>
      <w:pPr>
        <w:pStyle w:val="FirstParagraph"/>
      </w:pPr>
      <w:r>
        <w:t xml:space="preserve">Cox proportional hazards models estimate an instantaneous hazard ratio under the assumption that hazards differ by a time-invariant multiplicative factor. Under selective uptake with latent frailty heterogeneity, this assumption is typically violated, yielding time-varying hazard ratios induced purely by depletion dynamics. Accordingly, Cox results are presented here only as a diagnostic demonstration of assumption failure, not as a competing causal estimator.</w:t>
      </w:r>
    </w:p>
    <w:p>
      <w:pPr>
        <w:pStyle w:val="BodyText"/>
      </w:pPr>
      <w:r>
        <w:t xml:space="preserve">Conceptually, Cox regression estimates a treatment effect by fitting a hazard model to the observed data and reading the effect from the fitted coefficients, whereas KCOR uses a parametric model only to adjust the observed data for selection-induced depletion and then computes cohort contrasts directly from the adjusted cumulative hazards themselves.</w:t>
      </w:r>
    </w:p>
    <w:bookmarkStart w:id="81" w:name="X3af45993d90b0829bcc5fa36f447ebd1f6c3bc8"/>
    <w:p>
      <w:pPr>
        <w:pStyle w:val="Heading4"/>
      </w:pPr>
      <w:r>
        <w:t xml:space="preserve">2.11.1 Demonstration: Cox bias under frailty heterogeneity with no treatment effect</w:t>
      </w:r>
    </w:p>
    <w:p>
      <w:pPr>
        <w:pStyle w:val="FirstParagraph"/>
      </w:pPr>
      <w:r>
        <w:t xml:space="preserve">We conducted a controlled synthetic experiment in which the</w:t>
      </w:r>
      <w:r>
        <w:t xml:space="preserve"> </w:t>
      </w:r>
      <w:r>
        <w:rPr>
          <w:b/>
          <w:bCs/>
        </w:rPr>
        <w:t xml:space="preserve">true causal effect is known to be zero by construction</w:t>
      </w:r>
      <w:r>
        <w:t xml:space="preserve">, isolating latent frailty heterogeneity as the sole driver of depletion-induced non-proportional hazards. Cox and KCOR were applied to the same simulated datasets under identical information constraints.</w:t>
      </w:r>
    </w:p>
    <w:p>
      <w:pPr>
        <w:pStyle w:val="BodyText"/>
      </w:pPr>
      <w:r>
        <w:rPr>
          <w:b/>
          <w:bCs/>
        </w:rPr>
        <w:t xml:space="preserve">Data-generating process.</w:t>
      </w:r>
    </w:p>
    <w:p>
      <w:pPr>
        <w:pStyle w:val="BodyText"/>
      </w:pPr>
      <w:r>
        <w:t xml:space="preserve">Two cohorts of equal size were simulated under the same baseline hazard</w:t>
      </w:r>
      <w:r>
        <w:t xml:space="preserve"> </w:t>
      </w:r>
      <m:oMath>
        <m:sSub>
          <m:e>
            <m:r>
              <m:t>h</m:t>
            </m:r>
          </m:e>
          <m:sub>
            <m:r>
              <m:t>0</m:t>
            </m:r>
          </m:sub>
        </m:sSub>
        <m:r>
          <m:rPr>
            <m:sty m:val="p"/>
          </m:rPr>
          <m:t>(</m:t>
        </m:r>
        <m:r>
          <m:t>t</m:t>
        </m:r>
        <m:r>
          <m:rPr>
            <m:sty m:val="p"/>
          </m:rPr>
          <m:t>)</m:t>
        </m:r>
      </m:oMath>
      <w:r>
        <w:t xml:space="preserve"> </w:t>
      </w:r>
      <w:r>
        <w:t xml:space="preserve">over time (constant or Gompertz). Individual hazards were generated as</w:t>
      </w:r>
      <w:r>
        <w:t xml:space="preserve"> </w:t>
      </w:r>
      <m:oMath>
        <m:r>
          <m:t>z</m:t>
        </m:r>
        <m:r>
          <m:t> </m:t>
        </m:r>
        <m:sSub>
          <m:e>
            <m:r>
              <m:t>h</m:t>
            </m:r>
          </m:e>
          <m:sub>
            <m:r>
              <m:t>0</m:t>
            </m:r>
          </m:sub>
        </m:sSub>
        <m:r>
          <m:rPr>
            <m:sty m:val="p"/>
          </m:rPr>
          <m:t>(</m:t>
        </m:r>
        <m:r>
          <m:t>t</m:t>
        </m:r>
        <m:r>
          <m:rPr>
            <m:sty m:val="p"/>
          </m:rPr>
          <m:t>)</m:t>
        </m:r>
      </m:oMath>
      <w:r>
        <w:t xml:space="preserve">, with frailty</w:t>
      </w:r>
    </w:p>
    <w:p>
      <w:pPr>
        <w:pStyle w:val="BodyText"/>
      </w:pPr>
      <m:oMathPara>
        <m:oMathParaPr>
          <m:jc m:val="center"/>
        </m:oMathParaPr>
        <m:oMath>
          <m:r>
            <m:t>z</m:t>
          </m:r>
          <m:r>
            <m:rPr>
              <m:sty m:val="p"/>
            </m:rPr>
            <m:t>∼</m:t>
          </m:r>
          <m:r>
            <m:rPr>
              <m:nor/>
              <m:sty m:val="p"/>
            </m:rPr>
            <m:t>Gamma</m:t>
          </m:r>
          <m:r>
            <m:rPr>
              <m:sty m:val="p"/>
            </m:rPr>
            <m:t>(</m:t>
          </m:r>
          <m:sSup>
            <m:e>
              <m:r>
                <m:t>θ</m:t>
              </m:r>
            </m:e>
            <m:sup>
              <m:r>
                <m:rPr>
                  <m:sty m:val="p"/>
                </m:rPr>
                <m:t>−</m:t>
              </m:r>
              <m:r>
                <m:t>1</m:t>
              </m:r>
            </m:sup>
          </m:sSup>
          <m:r>
            <m:rPr>
              <m:sty m:val="p"/>
            </m:rPr>
            <m:t>,</m:t>
          </m:r>
          <m:sSup>
            <m:e>
              <m:r>
                <m:t>θ</m:t>
              </m:r>
            </m:e>
            <m:sup>
              <m:r>
                <m:rPr>
                  <m:sty m:val="p"/>
                </m:rPr>
                <m:t>−</m:t>
              </m:r>
              <m:r>
                <m:t>1</m:t>
              </m:r>
            </m:sup>
          </m:sSup>
          <m:r>
            <m:rPr>
              <m:sty m:val="p"/>
            </m:rPr>
            <m:t>)</m:t>
          </m:r>
          <m:r>
            <m:rPr>
              <m:sty m:val="p"/>
            </m:rPr>
            <m:t>,</m:t>
          </m:r>
        </m:oMath>
      </m:oMathPara>
    </w:p>
    <w:p>
      <w:pPr>
        <w:pStyle w:val="FirstParagraph"/>
      </w:pPr>
      <w:r>
        <w:t xml:space="preserve">with mean 1 and variance</w:t>
      </w:r>
      <w:r>
        <w:t xml:space="preserve"> </w:t>
      </w:r>
      <m:oMath>
        <m:r>
          <m:t>θ</m:t>
        </m:r>
      </m:oMath>
      <w:r>
        <w:t xml:space="preserve">.</w:t>
      </w:r>
    </w:p>
    <w:p>
      <w:pPr>
        <w:pStyle w:val="BodyText"/>
      </w:pPr>
      <w:r>
        <w:t xml:space="preserve">Cohort A was generated with</w:t>
      </w:r>
      <w:r>
        <w:t xml:space="preserve"> </w:t>
      </w:r>
      <m:oMath>
        <m:r>
          <m:t>θ</m:t>
        </m:r>
        <m:r>
          <m:rPr>
            <m:sty m:val="p"/>
          </m:rPr>
          <m:t>=</m:t>
        </m:r>
        <m:r>
          <m:t>0</m:t>
        </m:r>
      </m:oMath>
      <w:r>
        <w:t xml:space="preserve"> </w:t>
      </w:r>
      <w:r>
        <w:t xml:space="preserve">(no frailty heterogeneity), while Cohort B was generated with</w:t>
      </w:r>
      <w:r>
        <w:t xml:space="preserve"> </w:t>
      </w:r>
      <m:oMath>
        <m:r>
          <m:t>θ</m:t>
        </m:r>
        <m:r>
          <m:rPr>
            <m:sty m:val="p"/>
          </m:rPr>
          <m:t>&gt;</m:t>
        </m:r>
        <m:r>
          <m:t>0</m:t>
        </m:r>
      </m:oMath>
      <w:r>
        <w:t xml:space="preserve">.</w:t>
      </w:r>
      <w:r>
        <w:t xml:space="preserve"> </w:t>
      </w:r>
      <w:r>
        <w:rPr>
          <w:b/>
          <w:bCs/>
        </w:rPr>
        <w:t xml:space="preserve">No treatment or intervention effect was applied</w:t>
      </w:r>
      <w:r>
        <w:t xml:space="preserve">: conditional on frailty, the two cohorts have identical hazards at all times. Thus, the true causal hazard ratio between cohorts is exactly 1 for all</w:t>
      </w:r>
      <w:r>
        <w:t xml:space="preserve"> </w:t>
      </w:r>
      <m:oMath>
        <m:r>
          <m:t>t</m:t>
        </m:r>
      </m:oMath>
      <w:r>
        <w:t xml:space="preserve">.</w:t>
      </w:r>
    </w:p>
    <w:p>
      <w:pPr>
        <w:pStyle w:val="BodyText"/>
      </w:pPr>
      <w:r>
        <w:t xml:space="preserve">Simulations were repeated over a grid of frailty variances</w:t>
      </w:r>
      <w:r>
        <w:t xml:space="preserve"> </w:t>
      </w:r>
      <m:oMath>
        <m:r>
          <m:t>θ</m:t>
        </m:r>
        <m:r>
          <m:rPr>
            <m:sty m:val="p"/>
          </m:rPr>
          <m:t>∈</m:t>
        </m:r>
        <m:r>
          <m:rPr>
            <m:sty m:val="p"/>
          </m:rPr>
          <m:t>{</m:t>
        </m:r>
        <m:r>
          <m:t>0</m:t>
        </m:r>
        <m:r>
          <m:rPr>
            <m:sty m:val="p"/>
          </m:rPr>
          <m:t>,</m:t>
        </m:r>
        <m:r>
          <m:t>0.5</m:t>
        </m:r>
        <m:r>
          <m:rPr>
            <m:sty m:val="p"/>
          </m:rPr>
          <m:t>,</m:t>
        </m:r>
        <m:r>
          <m:t>1</m:t>
        </m:r>
        <m:r>
          <m:rPr>
            <m:sty m:val="p"/>
          </m:rPr>
          <m:t>,</m:t>
        </m:r>
        <m:r>
          <m:t>2</m:t>
        </m:r>
        <m:r>
          <m:rPr>
            <m:sty m:val="p"/>
          </m:rPr>
          <m:t>,</m:t>
        </m:r>
        <m:r>
          <m:t>5</m:t>
        </m:r>
        <m:r>
          <m:rPr>
            <m:sty m:val="p"/>
          </m:rPr>
          <m:t>,</m:t>
        </m:r>
        <m:r>
          <m:t>10</m:t>
        </m:r>
        <m:r>
          <m:rPr>
            <m:sty m:val="p"/>
          </m:rPr>
          <m:t>,</m:t>
        </m:r>
        <m:r>
          <m:t>20</m:t>
        </m:r>
        <m:r>
          <m:rPr>
            <m:sty m:val="p"/>
          </m:rPr>
          <m:t>}</m:t>
        </m:r>
      </m:oMath>
      <w:r>
        <w:t xml:space="preserve">.</w:t>
      </w:r>
    </w:p>
    <w:p>
      <w:pPr>
        <w:pStyle w:val="BodyText"/>
      </w:pPr>
      <w:r>
        <w:rPr>
          <w:b/>
          <w:bCs/>
        </w:rPr>
        <w:t xml:space="preserve">Cox analysis.</w:t>
      </w:r>
    </w:p>
    <w:p>
      <w:pPr>
        <w:pStyle w:val="BodyText"/>
      </w:pPr>
      <w:r>
        <w:t xml:space="preserve">For each simulated dataset, we fitted a standard Cox proportional hazards model using partial likelihood (statsmodels</w:t>
      </w:r>
      <w:r>
        <w:t xml:space="preserve"> </w:t>
      </w:r>
      <w:r>
        <w:rPr>
          <w:rStyle w:val="VerbatimChar"/>
        </w:rPr>
        <w:t xml:space="preserve">PHReg</w:t>
      </w:r>
      <w:r>
        <w:t xml:space="preserve">), with cohort membership as the sole covariate (no time-varying covariates or interactions). The resulting hazard ratio estimates and confidence intervals therefore reflect</w:t>
      </w:r>
      <w:r>
        <w:t xml:space="preserve"> </w:t>
      </w:r>
      <w:r>
        <w:rPr>
          <w:b/>
          <w:bCs/>
        </w:rPr>
        <w:t xml:space="preserve">only differences induced by frailty-driven depletion</w:t>
      </w:r>
      <w:r>
        <w:t xml:space="preserve">, not any causal effect.</w:t>
      </w:r>
    </w:p>
    <w:p>
      <w:pPr>
        <w:pStyle w:val="BodyText"/>
      </w:pPr>
      <w:r>
        <w:rPr>
          <w:b/>
          <w:bCs/>
        </w:rPr>
        <w:t xml:space="preserve">KCOR analysis.</w:t>
      </w:r>
    </w:p>
    <w:p>
      <w:pPr>
        <w:pStyle w:val="BodyText"/>
      </w:pPr>
      <w:r>
        <w:t xml:space="preserve">The same simulated datasets were analyzed using KCOR. For the synthetic datasets, cohort-specific observed cumulative hazards</w:t>
      </w:r>
      <w:r>
        <w:t xml:space="preserve"> </w:t>
      </w:r>
      <m:oMath>
        <m:acc>
          <m:accPr>
            <m:chr m:val="̂"/>
          </m:accPr>
          <m:e>
            <m:r>
              <m:t>H</m:t>
            </m:r>
          </m:e>
        </m:acc>
        <m:r>
          <m:rPr>
            <m:sty m:val="p"/>
          </m:rPr>
          <m:t>(</m:t>
        </m:r>
        <m:r>
          <m:t>t</m:t>
        </m:r>
        <m:r>
          <m:rPr>
            <m:sty m:val="p"/>
          </m:rPr>
          <m:t>)</m:t>
        </m:r>
      </m:oMath>
      <w:r>
        <w:t xml:space="preserve"> </w:t>
      </w:r>
      <w:r>
        <w:t xml:space="preserve">were estimated nonparametrically using the Nelson–Aalen estimator, then mapped to depletion-neutralized baseline cumulative hazards via the gamma-frailty inversion prior to computing KCOR</w:t>
      </w:r>
      <m:oMath>
        <m:r>
          <m:rPr>
            <m:sty m:val="p"/>
          </m:rPr>
          <m:t>(</m:t>
        </m:r>
        <m:r>
          <m:t>t</m:t>
        </m:r>
        <m:r>
          <m:rPr>
            <m:sty m:val="p"/>
          </m:rPr>
          <m:t>)</m:t>
        </m:r>
      </m:oMath>
      <w:r>
        <w:t xml:space="preserve">. Although the data-generating process specifies individual hazards, cumulative hazards were estimated from simulated event-time data using Nelson–Aalen to mirror the information available in observational registry studies, rather than exploiting simulator-only knowledge. Frailty parameters were estimated during a prespecified quiet window, followed by cumulative-hazard normalization and computation of KCOR</w:t>
      </w:r>
      <m:oMath>
        <m:r>
          <m:rPr>
            <m:sty m:val="p"/>
          </m:rPr>
          <m:t>(</m:t>
        </m:r>
        <m:r>
          <m:t>t</m:t>
        </m:r>
        <m:r>
          <m:rPr>
            <m:sty m:val="p"/>
          </m:rPr>
          <m:t>)</m:t>
        </m:r>
      </m:oMath>
      <w:r>
        <w:t xml:space="preserve">. Post-normalization slope and asymptotic KCOR values were examined to assess departure from the null.</w:t>
      </w:r>
    </w:p>
    <w:p>
      <w:pPr>
        <w:pStyle w:val="BodyText"/>
      </w:pPr>
      <w:r>
        <w:rPr>
          <w:b/>
          <w:bCs/>
        </w:rPr>
        <w:t xml:space="preserve">Expected behavior under the null.</w:t>
      </w:r>
    </w:p>
    <w:p>
      <w:pPr>
        <w:pStyle w:val="BodyText"/>
      </w:pPr>
      <w:r>
        <w:t xml:space="preserve">Because the data-generating process includes</w:t>
      </w:r>
      <w:r>
        <w:t xml:space="preserve"> </w:t>
      </w:r>
      <w:r>
        <w:rPr>
          <w:b/>
          <w:bCs/>
        </w:rPr>
        <w:t xml:space="preserve">no treatment effect</w:t>
      </w:r>
      <w:r>
        <w:t xml:space="preserve">, any valid estimator should return a null result. In this setting:</w:t>
      </w:r>
    </w:p>
    <w:p>
      <w:pPr>
        <w:pStyle w:val="Compact"/>
        <w:numPr>
          <w:ilvl w:val="0"/>
          <w:numId w:val="1014"/>
        </w:numPr>
      </w:pPr>
      <w:r>
        <w:rPr>
          <w:b/>
          <w:bCs/>
        </w:rPr>
        <w:t xml:space="preserve">Cox regression</w:t>
      </w:r>
      <w:r>
        <w:t xml:space="preserve"> </w:t>
      </w:r>
      <w:r>
        <w:t xml:space="preserve">is expected to produce apparent non-null hazard ratios as</w:t>
      </w:r>
      <w:r>
        <w:t xml:space="preserve"> </w:t>
      </w:r>
      <m:oMath>
        <m:r>
          <m:t>θ</m:t>
        </m:r>
      </m:oMath>
      <w:r>
        <w:t xml:space="preserve"> </w:t>
      </w:r>
      <w:r>
        <w:t xml:space="preserve">increases, reflecting differential depletion of susceptibles and violation of proportional hazards induced by frailty heterogeneity.</w:t>
      </w:r>
    </w:p>
    <w:p>
      <w:pPr>
        <w:pStyle w:val="Compact"/>
        <w:numPr>
          <w:ilvl w:val="0"/>
          <w:numId w:val="1014"/>
        </w:numPr>
      </w:pPr>
      <w:r>
        <w:rPr>
          <w:b/>
          <w:bCs/>
        </w:rPr>
        <w:t xml:space="preserve">KCOR</w:t>
      </w:r>
      <w:r>
        <w:t xml:space="preserve"> </w:t>
      </w:r>
      <w:r>
        <w:t xml:space="preserve">is expected to remain centered near unity with negligible post-normalization slope across all</w:t>
      </w:r>
      <w:r>
        <w:t xml:space="preserve"> </w:t>
      </w:r>
      <m:oMath>
        <m:r>
          <m:t>θ</m:t>
        </m:r>
      </m:oMath>
      <w:r>
        <w:t xml:space="preserve">, consistent with correct null behavior after depletion normalization.</w:t>
      </w:r>
    </w:p>
    <w:p>
      <w:pPr>
        <w:pStyle w:val="FirstParagraph"/>
      </w:pPr>
      <w:r>
        <w:rPr>
          <w:b/>
          <w:bCs/>
        </w:rPr>
        <w:t xml:space="preserve">Summary of findings.</w:t>
      </w:r>
    </w:p>
    <w:p>
      <w:pPr>
        <w:pStyle w:val="BodyText"/>
      </w:pPr>
      <w:r>
        <w:t xml:space="preserve">Across increasing values of</w:t>
      </w:r>
      <w:r>
        <w:t xml:space="preserve"> </w:t>
      </w:r>
      <m:oMath>
        <m:r>
          <m:t>θ</m:t>
        </m:r>
      </m:oMath>
      <w:r>
        <w:t xml:space="preserve">, Cox regression produced progressively larger apparent deviations from a hazard ratio of 1. The direction and magnitude of the apparent effect depended on the follow-up horizon and degree of frailty heterogeneity. In contrast, KCOR trajectories remained stable and centered near unity, with post-normalization slopes approximately zero across all simulated conditions.</w:t>
      </w:r>
    </w:p>
    <w:p>
      <w:pPr>
        <w:pStyle w:val="BodyText"/>
      </w:pPr>
      <w:r>
        <w:t xml:space="preserve">These results demonstrate that</w:t>
      </w:r>
      <w:r>
        <w:t xml:space="preserve"> </w:t>
      </w:r>
      <w:r>
        <w:rPr>
          <w:b/>
          <w:bCs/>
        </w:rPr>
        <w:t xml:space="preserve">frailty heterogeneity alone is sufficient to induce spurious hazard ratios in Cox regression</w:t>
      </w:r>
      <w:r>
        <w:t xml:space="preserve">, while KCOR correctly returns a null result under the same conditions.</w:t>
      </w:r>
    </w:p>
    <w:bookmarkStart w:id="72" w:name="tbl:cox_bias_demo"/>
    <w:p>
      <w:pPr>
        <w:pStyle w:val="TableCaption"/>
      </w:pPr>
      <w:r>
        <w:t xml:space="preserve">6</w:t>
      </w:r>
    </w:p>
    <w:tbl>
      <w:tblPr>
        <w:tblStyle w:val="Table"/>
        <w:tblW w:type="pct" w:w="5000"/>
        <w:tblLayout w:type="fixed"/>
        <w:tblLook w:firstRow="1" w:lastRow="0" w:firstColumn="0" w:lastColumn="0" w:noHBand="0" w:noVBand="0" w:val="0020"/>
        <w:tblCaption w:val="6"/>
      </w:tblPr>
      <w:tblGrid>
        <w:gridCol w:w="2545"/>
        <w:gridCol w:w="565"/>
        <w:gridCol w:w="565"/>
        <w:gridCol w:w="1037"/>
        <w:gridCol w:w="1320"/>
        <w:gridCol w:w="1885"/>
      </w:tblGrid>
      <w:tr>
        <w:trPr>
          <w:tblHeader w:val="on"/>
        </w:trPr>
        <w:tc>
          <w:tcPr/>
          <w:p>
            <w:pPr>
              <w:pStyle w:val="Compact"/>
              <w:jc w:val="right"/>
            </w:pPr>
            <w:r>
              <w:t xml:space="preserve">Frailty variance (</w:t>
            </w:r>
            <m:oMath>
              <m:r>
                <m:t>θ</m:t>
              </m:r>
            </m:oMath>
            <w:r>
              <w:t xml:space="preserve">)</w:t>
            </w:r>
          </w:p>
        </w:tc>
        <w:tc>
          <w:tcPr/>
          <w:p>
            <w:pPr>
              <w:pStyle w:val="Compact"/>
              <w:jc w:val="right"/>
            </w:pPr>
            <w:r>
              <w:t xml:space="preserve">Cox HR</w:t>
            </w:r>
          </w:p>
        </w:tc>
        <w:tc>
          <w:tcPr/>
          <w:p>
            <w:pPr>
              <w:pStyle w:val="Compact"/>
              <w:jc w:val="right"/>
            </w:pPr>
            <w:r>
              <w:t xml:space="preserve">95% CI</w:t>
            </w:r>
          </w:p>
        </w:tc>
        <w:tc>
          <w:tcPr/>
          <w:p>
            <w:pPr>
              <w:pStyle w:val="Compact"/>
              <w:jc w:val="right"/>
            </w:pPr>
            <w:r>
              <w:t xml:space="preserve">Cox p-value</w:t>
            </w:r>
          </w:p>
        </w:tc>
        <w:tc>
          <w:tcPr/>
          <w:p>
            <w:pPr>
              <w:pStyle w:val="Compact"/>
              <w:jc w:val="right"/>
            </w:pPr>
            <w:r>
              <w:t xml:space="preserve">KCOR asymptote</w:t>
            </w:r>
          </w:p>
        </w:tc>
        <w:tc>
          <w:tcPr/>
          <w:p>
            <w:pPr>
              <w:pStyle w:val="Compact"/>
              <w:jc w:val="right"/>
            </w:pPr>
            <w:r>
              <w:t xml:space="preserve">KCOR post-norm slope</w:t>
            </w:r>
          </w:p>
        </w:tc>
      </w:tr>
      <w:tr>
        <w:tc>
          <w:tcPr/>
          <w:p>
            <w:pPr>
              <w:pStyle w:val="Compact"/>
              <w:jc w:val="right"/>
            </w:pPr>
            <w:r>
              <w:t xml:space="preserve">0.0</w:t>
            </w:r>
          </w:p>
        </w:tc>
        <w:tc>
          <w:tcPr/>
          <w:p>
            <w:pPr>
              <w:pStyle w:val="Compact"/>
              <w:jc w:val="right"/>
            </w:pPr>
            <w:r>
              <w:t xml:space="preserve">0.988</w:t>
            </w:r>
          </w:p>
        </w:tc>
        <w:tc>
          <w:tcPr/>
          <w:p>
            <w:pPr>
              <w:pStyle w:val="Compact"/>
              <w:jc w:val="right"/>
            </w:pPr>
            <w:r>
              <w:t xml:space="preserve">[0.969, 1.008]</w:t>
            </w:r>
          </w:p>
        </w:tc>
        <w:tc>
          <w:tcPr/>
          <w:p>
            <w:pPr>
              <w:pStyle w:val="Compact"/>
              <w:jc w:val="right"/>
            </w:pPr>
            <w:r>
              <w:t xml:space="preserve">0.234</w:t>
            </w:r>
          </w:p>
        </w:tc>
        <w:tc>
          <w:tcPr/>
          <w:p>
            <w:pPr>
              <w:pStyle w:val="Compact"/>
              <w:jc w:val="right"/>
            </w:pPr>
            <w:r>
              <w:t xml:space="preserve">0.988</w:t>
            </w:r>
          </w:p>
        </w:tc>
        <w:tc>
          <w:tcPr/>
          <w:p>
            <w:pPr>
              <w:pStyle w:val="Compact"/>
              <w:jc w:val="right"/>
            </w:pPr>
            <m:oMath>
              <m:r>
                <m:t>7.6</m:t>
              </m:r>
              <m:r>
                <m:rPr>
                  <m:sty m:val="p"/>
                </m:rPr>
                <m:t>×</m:t>
              </m:r>
              <m:sSup>
                <m:e>
                  <m:r>
                    <m:t>10</m:t>
                  </m:r>
                </m:e>
                <m:sup>
                  <m:r>
                    <m:rPr>
                      <m:sty m:val="p"/>
                    </m:rPr>
                    <m:t>−</m:t>
                  </m:r>
                  <m:r>
                    <m:t>4</m:t>
                  </m:r>
                </m:sup>
              </m:sSup>
            </m:oMath>
          </w:p>
        </w:tc>
      </w:tr>
      <w:tr>
        <w:tc>
          <w:tcPr/>
          <w:p>
            <w:pPr>
              <w:pStyle w:val="Compact"/>
              <w:jc w:val="right"/>
            </w:pPr>
            <w:r>
              <w:t xml:space="preserve">0.5</w:t>
            </w:r>
          </w:p>
        </w:tc>
        <w:tc>
          <w:tcPr/>
          <w:p>
            <w:pPr>
              <w:pStyle w:val="Compact"/>
              <w:jc w:val="right"/>
            </w:pPr>
            <w:r>
              <w:t xml:space="preserve">0.965</w:t>
            </w:r>
          </w:p>
        </w:tc>
        <w:tc>
          <w:tcPr/>
          <w:p>
            <w:pPr>
              <w:pStyle w:val="Compact"/>
              <w:jc w:val="right"/>
            </w:pPr>
            <w:r>
              <w:t xml:space="preserve">[0.946, 0.985]</w:t>
            </w:r>
          </w:p>
        </w:tc>
        <w:tc>
          <w:tcPr/>
          <w:p>
            <w:pPr>
              <w:pStyle w:val="Compact"/>
              <w:jc w:val="right"/>
            </w:pPr>
            <m:oMath>
              <m:r>
                <m:t>4.9</m:t>
              </m:r>
              <m:r>
                <m:rPr>
                  <m:sty m:val="p"/>
                </m:rPr>
                <m:t>×</m:t>
              </m:r>
              <m:sSup>
                <m:e>
                  <m:r>
                    <m:t>10</m:t>
                  </m:r>
                </m:e>
                <m:sup>
                  <m:r>
                    <m:rPr>
                      <m:sty m:val="p"/>
                    </m:rPr>
                    <m:t>−</m:t>
                  </m:r>
                  <m:r>
                    <m:t>4</m:t>
                  </m:r>
                </m:sup>
              </m:sSup>
            </m:oMath>
          </w:p>
        </w:tc>
        <w:tc>
          <w:tcPr/>
          <w:p>
            <w:pPr>
              <w:pStyle w:val="Compact"/>
              <w:jc w:val="right"/>
            </w:pPr>
            <w:r>
              <w:t xml:space="preserve">0.990</w:t>
            </w:r>
          </w:p>
        </w:tc>
        <w:tc>
          <w:tcPr/>
          <w:p>
            <w:pPr>
              <w:pStyle w:val="Compact"/>
              <w:jc w:val="right"/>
            </w:pPr>
            <m:oMath>
              <m:r>
                <m:rPr>
                  <m:sty m:val="p"/>
                </m:rPr>
                <m:t>−</m:t>
              </m:r>
              <m:r>
                <m:t>3.8</m:t>
              </m:r>
              <m:r>
                <m:rPr>
                  <m:sty m:val="p"/>
                </m:rPr>
                <m:t>×</m:t>
              </m:r>
              <m:sSup>
                <m:e>
                  <m:r>
                    <m:t>10</m:t>
                  </m:r>
                </m:e>
                <m:sup>
                  <m:r>
                    <m:rPr>
                      <m:sty m:val="p"/>
                    </m:rPr>
                    <m:t>−</m:t>
                  </m:r>
                  <m:r>
                    <m:t>5</m:t>
                  </m:r>
                </m:sup>
              </m:sSup>
            </m:oMath>
          </w:p>
        </w:tc>
      </w:tr>
      <w:tr>
        <w:tc>
          <w:tcPr/>
          <w:p>
            <w:pPr>
              <w:pStyle w:val="Compact"/>
              <w:jc w:val="right"/>
            </w:pPr>
            <w:r>
              <w:t xml:space="preserve">1.0</w:t>
            </w:r>
          </w:p>
        </w:tc>
        <w:tc>
          <w:tcPr/>
          <w:p>
            <w:pPr>
              <w:pStyle w:val="Compact"/>
              <w:jc w:val="right"/>
            </w:pPr>
            <w:r>
              <w:t xml:space="preserve">0.944</w:t>
            </w:r>
          </w:p>
        </w:tc>
        <w:tc>
          <w:tcPr/>
          <w:p>
            <w:pPr>
              <w:pStyle w:val="Compact"/>
              <w:jc w:val="right"/>
            </w:pPr>
            <w:r>
              <w:t xml:space="preserve">[0.926, 0.963]</w:t>
            </w:r>
          </w:p>
        </w:tc>
        <w:tc>
          <w:tcPr/>
          <w:p>
            <w:pPr>
              <w:pStyle w:val="Compact"/>
              <w:jc w:val="right"/>
            </w:pPr>
            <m:oMath>
              <m:r>
                <m:t>1.7</m:t>
              </m:r>
              <m:r>
                <m:rPr>
                  <m:sty m:val="p"/>
                </m:rPr>
                <m:t>×</m:t>
              </m:r>
              <m:sSup>
                <m:e>
                  <m:r>
                    <m:t>10</m:t>
                  </m:r>
                </m:e>
                <m:sup>
                  <m:r>
                    <m:rPr>
                      <m:sty m:val="p"/>
                    </m:rPr>
                    <m:t>−</m:t>
                  </m:r>
                  <m:r>
                    <m:t>8</m:t>
                  </m:r>
                </m:sup>
              </m:sSup>
            </m:oMath>
          </w:p>
        </w:tc>
        <w:tc>
          <w:tcPr/>
          <w:p>
            <w:pPr>
              <w:pStyle w:val="Compact"/>
              <w:jc w:val="right"/>
            </w:pPr>
            <w:r>
              <w:t xml:space="preserve">0.992</w:t>
            </w:r>
          </w:p>
        </w:tc>
        <w:tc>
          <w:tcPr/>
          <w:p>
            <w:pPr>
              <w:pStyle w:val="Compact"/>
              <w:jc w:val="right"/>
            </w:pPr>
            <m:oMath>
              <m:r>
                <m:rPr>
                  <m:sty m:val="p"/>
                </m:rPr>
                <m:t>−</m:t>
              </m:r>
              <m:r>
                <m:t>3.0</m:t>
              </m:r>
              <m:r>
                <m:rPr>
                  <m:sty m:val="p"/>
                </m:rPr>
                <m:t>×</m:t>
              </m:r>
              <m:sSup>
                <m:e>
                  <m:r>
                    <m:t>10</m:t>
                  </m:r>
                </m:e>
                <m:sup>
                  <m:r>
                    <m:rPr>
                      <m:sty m:val="p"/>
                    </m:rPr>
                    <m:t>−</m:t>
                  </m:r>
                  <m:r>
                    <m:t>4</m:t>
                  </m:r>
                </m:sup>
              </m:sSup>
            </m:oMath>
          </w:p>
        </w:tc>
      </w:tr>
      <w:tr>
        <w:tc>
          <w:tcPr/>
          <w:p>
            <w:pPr>
              <w:pStyle w:val="Compact"/>
              <w:jc w:val="right"/>
            </w:pPr>
            <w:r>
              <w:t xml:space="preserve">2.0</w:t>
            </w:r>
          </w:p>
        </w:tc>
        <w:tc>
          <w:tcPr/>
          <w:p>
            <w:pPr>
              <w:pStyle w:val="Compact"/>
              <w:jc w:val="right"/>
            </w:pPr>
            <w:r>
              <w:t xml:space="preserve">0.902</w:t>
            </w:r>
          </w:p>
        </w:tc>
        <w:tc>
          <w:tcPr/>
          <w:p>
            <w:pPr>
              <w:pStyle w:val="Compact"/>
              <w:jc w:val="right"/>
            </w:pPr>
            <w:r>
              <w:t xml:space="preserve">[0.884, 0.921]</w:t>
            </w:r>
          </w:p>
        </w:tc>
        <w:tc>
          <w:tcPr/>
          <w:p>
            <w:pPr>
              <w:pStyle w:val="Compact"/>
              <w:jc w:val="right"/>
            </w:pPr>
            <m:oMath>
              <m:r>
                <m:t>2.4</m:t>
              </m:r>
              <m:r>
                <m:rPr>
                  <m:sty m:val="p"/>
                </m:rPr>
                <m:t>×</m:t>
              </m:r>
              <m:sSup>
                <m:e>
                  <m:r>
                    <m:t>10</m:t>
                  </m:r>
                </m:e>
                <m:sup>
                  <m:r>
                    <m:rPr>
                      <m:sty m:val="p"/>
                    </m:rPr>
                    <m:t>−</m:t>
                  </m:r>
                  <m:r>
                    <m:t>23</m:t>
                  </m:r>
                </m:sup>
              </m:sSup>
            </m:oMath>
          </w:p>
        </w:tc>
        <w:tc>
          <w:tcPr/>
          <w:p>
            <w:pPr>
              <w:pStyle w:val="Compact"/>
              <w:jc w:val="right"/>
            </w:pPr>
            <w:r>
              <w:t xml:space="preserve">0.991</w:t>
            </w:r>
          </w:p>
        </w:tc>
        <w:tc>
          <w:tcPr/>
          <w:p>
            <w:pPr>
              <w:pStyle w:val="Compact"/>
              <w:jc w:val="right"/>
            </w:pPr>
            <m:oMath>
              <m:r>
                <m:t>3.7</m:t>
              </m:r>
              <m:r>
                <m:rPr>
                  <m:sty m:val="p"/>
                </m:rPr>
                <m:t>×</m:t>
              </m:r>
              <m:sSup>
                <m:e>
                  <m:r>
                    <m:t>10</m:t>
                  </m:r>
                </m:e>
                <m:sup>
                  <m:r>
                    <m:rPr>
                      <m:sty m:val="p"/>
                    </m:rPr>
                    <m:t>−</m:t>
                  </m:r>
                  <m:r>
                    <m:t>4</m:t>
                  </m:r>
                </m:sup>
              </m:sSup>
            </m:oMath>
          </w:p>
        </w:tc>
      </w:tr>
      <w:tr>
        <w:tc>
          <w:tcPr/>
          <w:p>
            <w:pPr>
              <w:pStyle w:val="Compact"/>
              <w:jc w:val="right"/>
            </w:pPr>
            <w:r>
              <w:t xml:space="preserve">5.0</w:t>
            </w:r>
          </w:p>
        </w:tc>
        <w:tc>
          <w:tcPr/>
          <w:p>
            <w:pPr>
              <w:pStyle w:val="Compact"/>
              <w:jc w:val="right"/>
            </w:pPr>
            <w:r>
              <w:t xml:space="preserve">0.804</w:t>
            </w:r>
          </w:p>
        </w:tc>
        <w:tc>
          <w:tcPr/>
          <w:p>
            <w:pPr>
              <w:pStyle w:val="Compact"/>
              <w:jc w:val="right"/>
            </w:pPr>
            <w:r>
              <w:t xml:space="preserve">[0.787, 0.820]</w:t>
            </w:r>
          </w:p>
        </w:tc>
        <w:tc>
          <w:tcPr/>
          <w:p>
            <w:pPr>
              <w:pStyle w:val="Compact"/>
              <w:jc w:val="right"/>
            </w:pPr>
            <m:oMath>
              <m:r>
                <m:t>1.5</m:t>
              </m:r>
              <m:r>
                <m:rPr>
                  <m:sty m:val="p"/>
                </m:rPr>
                <m:t>×</m:t>
              </m:r>
              <m:sSup>
                <m:e>
                  <m:r>
                    <m:t>10</m:t>
                  </m:r>
                </m:e>
                <m:sup>
                  <m:r>
                    <m:rPr>
                      <m:sty m:val="p"/>
                    </m:rPr>
                    <m:t>−</m:t>
                  </m:r>
                  <m:r>
                    <m:t>93</m:t>
                  </m:r>
                </m:sup>
              </m:sSup>
            </m:oMath>
          </w:p>
        </w:tc>
        <w:tc>
          <w:tcPr/>
          <w:p>
            <w:pPr>
              <w:pStyle w:val="Compact"/>
              <w:jc w:val="right"/>
            </w:pPr>
            <w:r>
              <w:t xml:space="preserve">0.993</w:t>
            </w:r>
          </w:p>
        </w:tc>
        <w:tc>
          <w:tcPr/>
          <w:p>
            <w:pPr>
              <w:pStyle w:val="Compact"/>
              <w:jc w:val="right"/>
            </w:pPr>
            <m:oMath>
              <m:r>
                <m:rPr>
                  <m:sty m:val="p"/>
                </m:rPr>
                <m:t>−</m:t>
              </m:r>
              <m:r>
                <m:t>5.3</m:t>
              </m:r>
              <m:r>
                <m:rPr>
                  <m:sty m:val="p"/>
                </m:rPr>
                <m:t>×</m:t>
              </m:r>
              <m:sSup>
                <m:e>
                  <m:r>
                    <m:t>10</m:t>
                  </m:r>
                </m:e>
                <m:sup>
                  <m:r>
                    <m:rPr>
                      <m:sty m:val="p"/>
                    </m:rPr>
                    <m:t>−</m:t>
                  </m:r>
                  <m:r>
                    <m:t>4</m:t>
                  </m:r>
                </m:sup>
              </m:sSup>
            </m:oMath>
          </w:p>
        </w:tc>
      </w:tr>
      <w:tr>
        <w:tc>
          <w:tcPr/>
          <w:p>
            <w:pPr>
              <w:pStyle w:val="Compact"/>
              <w:jc w:val="right"/>
            </w:pPr>
            <w:r>
              <w:t xml:space="preserve">10.0</w:t>
            </w:r>
          </w:p>
        </w:tc>
        <w:tc>
          <w:tcPr/>
          <w:p>
            <w:pPr>
              <w:pStyle w:val="Compact"/>
              <w:jc w:val="right"/>
            </w:pPr>
            <w:r>
              <w:t xml:space="preserve">0.701</w:t>
            </w:r>
          </w:p>
        </w:tc>
        <w:tc>
          <w:tcPr/>
          <w:p>
            <w:pPr>
              <w:pStyle w:val="Compact"/>
              <w:jc w:val="right"/>
            </w:pPr>
            <w:r>
              <w:t xml:space="preserve">[0.686, 0.717]</w:t>
            </w:r>
          </w:p>
        </w:tc>
        <w:tc>
          <w:tcPr/>
          <w:p>
            <w:pPr>
              <w:pStyle w:val="Compact"/>
              <w:jc w:val="right"/>
            </w:pPr>
            <m:oMath>
              <m:r>
                <m:rPr>
                  <m:sty m:val="p"/>
                </m:rPr>
                <m:t>&lt;</m:t>
              </m:r>
              <m:sSup>
                <m:e>
                  <m:r>
                    <m:t>10</m:t>
                  </m:r>
                </m:e>
                <m:sup>
                  <m:r>
                    <m:rPr>
                      <m:sty m:val="p"/>
                    </m:rPr>
                    <m:t>−</m:t>
                  </m:r>
                  <m:r>
                    <m:t>200</m:t>
                  </m:r>
                </m:sup>
              </m:sSup>
            </m:oMath>
          </w:p>
        </w:tc>
        <w:tc>
          <w:tcPr/>
          <w:p>
            <w:pPr>
              <w:pStyle w:val="Compact"/>
              <w:jc w:val="right"/>
            </w:pPr>
            <w:r>
              <w:t xml:space="preserve">1.020</w:t>
            </w:r>
          </w:p>
        </w:tc>
        <w:tc>
          <w:tcPr/>
          <w:p>
            <w:pPr>
              <w:pStyle w:val="Compact"/>
              <w:jc w:val="right"/>
            </w:pPr>
            <m:oMath>
              <m:r>
                <m:t>3.2</m:t>
              </m:r>
              <m:r>
                <m:rPr>
                  <m:sty m:val="p"/>
                </m:rPr>
                <m:t>×</m:t>
              </m:r>
              <m:sSup>
                <m:e>
                  <m:r>
                    <m:t>10</m:t>
                  </m:r>
                </m:e>
                <m:sup>
                  <m:r>
                    <m:rPr>
                      <m:sty m:val="p"/>
                    </m:rPr>
                    <m:t>−</m:t>
                  </m:r>
                  <m:r>
                    <m:t>4</m:t>
                  </m:r>
                </m:sup>
              </m:sSup>
            </m:oMath>
          </w:p>
        </w:tc>
      </w:tr>
      <w:tr>
        <w:tc>
          <w:tcPr/>
          <w:p>
            <w:pPr>
              <w:pStyle w:val="Compact"/>
              <w:jc w:val="right"/>
            </w:pPr>
            <w:r>
              <w:t xml:space="preserve">20.0</w:t>
            </w:r>
          </w:p>
        </w:tc>
        <w:tc>
          <w:tcPr/>
          <w:p>
            <w:pPr>
              <w:pStyle w:val="Compact"/>
              <w:jc w:val="right"/>
            </w:pPr>
            <w:r>
              <w:t xml:space="preserve">0.551</w:t>
            </w:r>
          </w:p>
        </w:tc>
        <w:tc>
          <w:tcPr/>
          <w:p>
            <w:pPr>
              <w:pStyle w:val="Compact"/>
              <w:jc w:val="right"/>
            </w:pPr>
            <w:r>
              <w:t xml:space="preserve">[0.539, 0.564]</w:t>
            </w:r>
          </w:p>
        </w:tc>
        <w:tc>
          <w:tcPr/>
          <w:p>
            <w:pPr>
              <w:pStyle w:val="Compact"/>
              <w:jc w:val="right"/>
            </w:pPr>
            <m:oMath>
              <m:r>
                <m:rPr>
                  <m:sty m:val="p"/>
                </m:rPr>
                <m:t>&lt;</m:t>
              </m:r>
              <m:sSup>
                <m:e>
                  <m:r>
                    <m:t>10</m:t>
                  </m:r>
                </m:e>
                <m:sup>
                  <m:r>
                    <m:rPr>
                      <m:sty m:val="p"/>
                    </m:rPr>
                    <m:t>−</m:t>
                  </m:r>
                  <m:r>
                    <m:t>300</m:t>
                  </m:r>
                </m:sup>
              </m:sSup>
            </m:oMath>
          </w:p>
        </w:tc>
        <w:tc>
          <w:tcPr/>
          <w:p>
            <w:pPr>
              <w:pStyle w:val="Compact"/>
              <w:jc w:val="right"/>
            </w:pPr>
            <w:r>
              <w:t xml:space="preserve">1.024</w:t>
            </w:r>
          </w:p>
        </w:tc>
        <w:tc>
          <w:tcPr/>
          <w:p>
            <w:pPr>
              <w:pStyle w:val="Compact"/>
              <w:jc w:val="right"/>
            </w:pPr>
            <m:oMath>
              <m:r>
                <m:rPr>
                  <m:sty m:val="p"/>
                </m:rPr>
                <m:t>−</m:t>
              </m:r>
              <m:r>
                <m:t>1.6</m:t>
              </m:r>
              <m:r>
                <m:rPr>
                  <m:sty m:val="p"/>
                </m:rPr>
                <m:t>×</m:t>
              </m:r>
              <m:sSup>
                <m:e>
                  <m:r>
                    <m:t>10</m:t>
                  </m:r>
                </m:e>
                <m:sup>
                  <m:r>
                    <m:rPr>
                      <m:sty m:val="p"/>
                    </m:rPr>
                    <m:t>−</m:t>
                  </m:r>
                  <m:r>
                    <m:t>4</m:t>
                  </m:r>
                </m:sup>
              </m:sSup>
            </m:oMath>
          </w:p>
        </w:tc>
      </w:tr>
    </w:tbl>
    <w:bookmarkEnd w:id="72"/>
    <w:bookmarkStart w:id="76" w:name="fig:cox_bias_hr"/>
    <w:p>
      <w:pPr>
        <w:pStyle w:val="CaptionedFigure"/>
      </w:pPr>
      <w:r>
        <w:drawing>
          <wp:inline>
            <wp:extent cx="5334000" cy="3975680"/>
            <wp:effectExtent b="0" l="0" r="0" t="0"/>
            <wp:docPr descr="3" title="" id="74" name="Picture"/>
            <a:graphic>
              <a:graphicData uri="http://schemas.openxmlformats.org/drawingml/2006/picture">
                <pic:pic>
                  <pic:nvPicPr>
                    <pic:cNvPr descr="figures/fig_cox_bias_hr_vs_theta.png" id="75" name="Picture"/>
                    <pic:cNvPicPr>
                      <a:picLocks noChangeArrowheads="1" noChangeAspect="1"/>
                    </pic:cNvPicPr>
                  </pic:nvPicPr>
                  <pic:blipFill>
                    <a:blip r:embed="rId73"/>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3</w:t>
      </w:r>
    </w:p>
    <w:bookmarkEnd w:id="76"/>
    <w:bookmarkStart w:id="80" w:name="fig:cox_bias_kcor"/>
    <w:p>
      <w:pPr>
        <w:pStyle w:val="CaptionedFigure"/>
      </w:pPr>
      <w:r>
        <w:drawing>
          <wp:inline>
            <wp:extent cx="5334000" cy="3975680"/>
            <wp:effectExtent b="0" l="0" r="0" t="0"/>
            <wp:docPr descr="4" title="" id="78" name="Picture"/>
            <a:graphic>
              <a:graphicData uri="http://schemas.openxmlformats.org/drawingml/2006/picture">
                <pic:pic>
                  <pic:nvPicPr>
                    <pic:cNvPr descr="figures/fig_cox_bias_kcor_vs_theta.png" id="79" name="Picture"/>
                    <pic:cNvPicPr>
                      <a:picLocks noChangeArrowheads="1" noChangeAspect="1"/>
                    </pic:cNvPicPr>
                  </pic:nvPicPr>
                  <pic:blipFill>
                    <a:blip r:embed="rId77"/>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4</w:t>
      </w:r>
    </w:p>
    <w:bookmarkEnd w:id="80"/>
    <w:p>
      <w:pPr>
        <w:pStyle w:val="BodyText"/>
      </w:pPr>
      <w:r>
        <w:rPr>
          <w:b/>
          <w:bCs/>
        </w:rPr>
        <w:t xml:space="preserve">Interpretation.</w:t>
      </w:r>
    </w:p>
    <w:p>
      <w:pPr>
        <w:pStyle w:val="BodyText"/>
      </w:pPr>
      <w:r>
        <w:t xml:space="preserve">This demonstration shows that Cox proportional hazards regression can report highly statistically significant non-null hazard ratios—even when the true treatment effect is identically zero—solely due to frailty-induced depletion (e.g.,</w:t>
      </w:r>
      <w:r>
        <w:t xml:space="preserve"> </w:t>
      </w:r>
      <m:oMath>
        <m:r>
          <m:t>p</m:t>
        </m:r>
        <m:r>
          <m:rPr>
            <m:sty m:val="p"/>
          </m:rPr>
          <m:t>&lt;</m:t>
        </m:r>
        <m:sSup>
          <m:e>
            <m:r>
              <m:t>10</m:t>
            </m:r>
          </m:e>
          <m:sup>
            <m:r>
              <m:rPr>
                <m:sty m:val="p"/>
              </m:rPr>
              <m:t>−</m:t>
            </m:r>
            <m:r>
              <m:t>300</m:t>
            </m:r>
          </m:sup>
        </m:sSup>
      </m:oMath>
      <w:r>
        <w:t xml:space="preserve"> </w:t>
      </w:r>
      <w:r>
        <w:t xml:space="preserve">at</w:t>
      </w:r>
      <w:r>
        <w:t xml:space="preserve"> </w:t>
      </w:r>
      <m:oMath>
        <m:r>
          <m:t>θ</m:t>
        </m:r>
        <m:r>
          <m:rPr>
            <m:sty m:val="p"/>
          </m:rPr>
          <m:t>=</m:t>
        </m:r>
        <m:r>
          <m:t>20</m:t>
        </m:r>
      </m:oMath>
      <w:r>
        <w:t xml:space="preserve">), with the magnitude and direction of the apparent effect depending on follow-up horizon, not any causal signal. KCOR, by explicitly normalizing depletion geometry in cumulative-hazard space, correctly returns a null result under the same conditions, remaining centered near unity with negligible post-normalization slope across all frailty variance values. This controlled example motivates the use of KCOR for retrospective vaccine studies, where frailty heterogeneity and non-proportional hazards are expected to be substantial.</w:t>
      </w:r>
    </w:p>
    <w:p>
      <w:pPr>
        <w:pStyle w:val="BodyText"/>
      </w:pPr>
      <w:r>
        <w:t xml:space="preserve">This synthetic null isolates depletion-driven non-proportionality as a sufficient cause of strongly non-null Cox estimates, motivating cumulative-hazard–based normalization when selection-induced curvature is present.</w:t>
      </w:r>
    </w:p>
    <w:bookmarkEnd w:id="81"/>
    <w:bookmarkStart w:id="82" w:name="X66e05337efe17185a8c68bb3f932f10416d81dc"/>
    <w:p>
      <w:pPr>
        <w:pStyle w:val="Heading4"/>
      </w:pPr>
      <w:r>
        <w:t xml:space="preserve">2.11.2 Relation to other approaches addressing selection effects</w:t>
      </w:r>
    </w:p>
    <w:p>
      <w:pPr>
        <w:pStyle w:val="FirstParagraph"/>
      </w:pPr>
      <w:r>
        <w:t xml:space="preserve">Several existing approaches, including inverse-probability weighting, marginal structural models, and joint frailty formulations, aim to mitigate selection bias in observational survival analyses. These methods rely on explicit modeling of treatment assignment or hazard structure and generally operate in instantaneous-hazard space. KCOR differs in focusing directly on depletion geometry in cumulative-hazard space and enforcing diagnostic checks that signal loss of identifiability when normalization fails. A full comparison is beyond scope; the synthetic null demonstration illustrates the specific failure mode KCOR is designed to address.</w:t>
      </w:r>
    </w:p>
    <w:bookmarkEnd w:id="82"/>
    <w:bookmarkEnd w:id="83"/>
    <w:bookmarkEnd w:id="84"/>
    <w:bookmarkStart w:id="137"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15"/>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15"/>
        </w:numPr>
      </w:pPr>
      <w:r>
        <w:rPr>
          <w:b/>
          <w:bCs/>
        </w:rPr>
        <w:t xml:space="preserve">Positive controls (detect injected effects):</w:t>
      </w:r>
      <w:r>
        <w:t xml:space="preserve"> </w:t>
      </w:r>
      <w:r>
        <w:t xml:space="preserve">when known harm/benefit is injected into otherwise-null data, KCOR reliably detects it.</w:t>
      </w:r>
    </w:p>
    <w:p>
      <w:pPr>
        <w:pStyle w:val="FirstParagraph"/>
      </w:pPr>
      <w:r>
        <w:t xml:space="preserve">Throughout, curvature in cumulative hazard plots reflects selection-induced depletion, while linearity after normalization indicates successful removal of that curvature.</w:t>
      </w:r>
    </w:p>
    <w:bookmarkStart w:id="85" w:name="tbl:frailty_diagnostics"/>
    <w:p>
      <w:pPr>
        <w:pStyle w:val="TableCaption"/>
      </w:pPr>
      <w:r>
        <w:t xml:space="preserve">7</w:t>
      </w:r>
    </w:p>
    <w:tbl>
      <w:tblPr>
        <w:tblStyle w:val="Table"/>
        <w:tblW w:type="pct" w:w="5000"/>
        <w:tblLayout w:type="fixed"/>
        <w:tblLook w:firstRow="1" w:lastRow="0" w:firstColumn="0" w:lastColumn="0" w:noHBand="0" w:noVBand="0" w:val="0020"/>
        <w:tblCaption w:val="7"/>
      </w:tblPr>
      <w:tblGrid>
        <w:gridCol w:w="2436"/>
        <w:gridCol w:w="2741"/>
        <w:gridCol w:w="2741"/>
      </w:tblGrid>
      <w:tr>
        <w:trPr>
          <w:tblHeader w:val="on"/>
        </w:trPr>
        <w:tc>
          <w:tcPr/>
          <w:p>
            <w:pPr>
              <w:pStyle w:val="Compact"/>
            </w:pPr>
            <w:r>
              <w:t xml:space="preserve">Age band (years)</w:t>
            </w:r>
          </w:p>
        </w:tc>
        <w:tc>
          <w:tcPr/>
          <w:p>
            <w:pPr>
              <w:pStyle w:val="Compact"/>
              <w:jc w:val="right"/>
            </w:pPr>
            <m:oMath>
              <m:acc>
                <m:accPr>
                  <m:chr m:val="̂"/>
                </m:accPr>
                <m:e>
                  <m:r>
                    <m:t>θ</m:t>
                  </m:r>
                </m:e>
              </m:acc>
            </m:oMath>
            <w:r>
              <w:t xml:space="preserve"> </w:t>
            </w:r>
            <w:r>
              <w:t xml:space="preserve">Dose 0</w:t>
            </w:r>
          </w:p>
        </w:tc>
        <w:tc>
          <w:tcPr/>
          <w:p>
            <w:pPr>
              <w:pStyle w:val="Compact"/>
              <w:jc w:val="right"/>
            </w:pPr>
            <m:oMath>
              <m:acc>
                <m:accPr>
                  <m:chr m:val="̂"/>
                </m:accPr>
                <m:e>
                  <m:r>
                    <m:t>θ</m:t>
                  </m:r>
                </m:e>
              </m:acc>
            </m:oMath>
            <w:r>
              <w:t xml:space="preserve"> </w:t>
            </w:r>
            <w:r>
              <w:t xml:space="preserve">Dose 2</w:t>
            </w:r>
          </w:p>
        </w:tc>
      </w:tr>
      <w:tr>
        <w:tc>
          <w:tcPr/>
          <w:p>
            <w:pPr>
              <w:pStyle w:val="Compact"/>
            </w:pPr>
            <w:r>
              <w:t xml:space="preserve">40–49</w:t>
            </w:r>
          </w:p>
        </w:tc>
        <w:tc>
          <w:tcPr/>
          <w:p>
            <w:pPr>
              <w:pStyle w:val="Compact"/>
              <w:jc w:val="right"/>
            </w:pPr>
            <w:r>
              <w:t xml:space="preserve">16.79</w:t>
            </w:r>
          </w:p>
        </w:tc>
        <w:tc>
          <w:tcPr/>
          <w:p>
            <w:pPr>
              <w:pStyle w:val="Compact"/>
              <w:jc w:val="right"/>
            </w:pPr>
            <m:oMath>
              <m:r>
                <m:t>2.66</m:t>
              </m:r>
              <m:r>
                <m:rPr>
                  <m:sty m:val="p"/>
                </m:rPr>
                <m:t>×</m:t>
              </m:r>
              <m:sSup>
                <m:e>
                  <m:r>
                    <m:t>10</m:t>
                  </m:r>
                </m:e>
                <m:sup>
                  <m:r>
                    <m:rPr>
                      <m:sty m:val="p"/>
                    </m:rPr>
                    <m:t>−</m:t>
                  </m:r>
                  <m:r>
                    <m:t>6</m:t>
                  </m:r>
                </m:sup>
              </m:sSup>
            </m:oMath>
          </w:p>
        </w:tc>
      </w:tr>
      <w:tr>
        <w:tc>
          <w:tcPr/>
          <w:p>
            <w:pPr>
              <w:pStyle w:val="Compact"/>
            </w:pPr>
            <w:r>
              <w:t xml:space="preserve">50–59</w:t>
            </w:r>
          </w:p>
        </w:tc>
        <w:tc>
          <w:tcPr/>
          <w:p>
            <w:pPr>
              <w:pStyle w:val="Compact"/>
              <w:jc w:val="right"/>
            </w:pPr>
            <w:r>
              <w:t xml:space="preserve">23.02</w:t>
            </w:r>
          </w:p>
        </w:tc>
        <w:tc>
          <w:tcPr/>
          <w:p>
            <w:pPr>
              <w:pStyle w:val="Compact"/>
              <w:jc w:val="right"/>
            </w:pPr>
            <m:oMath>
              <m:r>
                <m:t>1.87</m:t>
              </m:r>
              <m:r>
                <m:rPr>
                  <m:sty m:val="p"/>
                </m:rPr>
                <m:t>×</m:t>
              </m:r>
              <m:sSup>
                <m:e>
                  <m:r>
                    <m:t>10</m:t>
                  </m:r>
                </m:e>
                <m:sup>
                  <m:r>
                    <m:rPr>
                      <m:sty m:val="p"/>
                    </m:rPr>
                    <m:t>−</m:t>
                  </m:r>
                  <m:r>
                    <m:t>4</m:t>
                  </m:r>
                </m:sup>
              </m:sSup>
            </m:oMath>
          </w:p>
        </w:tc>
      </w:tr>
      <w:tr>
        <w:tc>
          <w:tcPr/>
          <w:p>
            <w:pPr>
              <w:pStyle w:val="Compact"/>
            </w:pPr>
            <w:r>
              <w:t xml:space="preserve">60–69</w:t>
            </w:r>
          </w:p>
        </w:tc>
        <w:tc>
          <w:tcPr/>
          <w:p>
            <w:pPr>
              <w:pStyle w:val="Compact"/>
              <w:jc w:val="right"/>
            </w:pPr>
            <w:r>
              <w:t xml:space="preserve">13.13</w:t>
            </w:r>
          </w:p>
        </w:tc>
        <w:tc>
          <w:tcPr/>
          <w:p>
            <w:pPr>
              <w:pStyle w:val="Compact"/>
              <w:jc w:val="right"/>
            </w:pPr>
            <m:oMath>
              <m:r>
                <m:t>7.01</m:t>
              </m:r>
              <m:r>
                <m:rPr>
                  <m:sty m:val="p"/>
                </m:rPr>
                <m:t>×</m:t>
              </m:r>
              <m:sSup>
                <m:e>
                  <m:r>
                    <m:t>10</m:t>
                  </m:r>
                </m:e>
                <m:sup>
                  <m:r>
                    <m:rPr>
                      <m:sty m:val="p"/>
                    </m:rPr>
                    <m:t>−</m:t>
                  </m:r>
                  <m:r>
                    <m:t>18</m:t>
                  </m:r>
                </m:sup>
              </m:sSup>
            </m:oMath>
          </w:p>
        </w:tc>
      </w:tr>
      <w:tr>
        <w:tc>
          <w:tcPr/>
          <w:p>
            <w:pPr>
              <w:pStyle w:val="Compact"/>
            </w:pPr>
            <w:r>
              <w:t xml:space="preserve">70–79</w:t>
            </w:r>
          </w:p>
        </w:tc>
        <w:tc>
          <w:tcPr/>
          <w:p>
            <w:pPr>
              <w:pStyle w:val="Compact"/>
              <w:jc w:val="right"/>
            </w:pPr>
            <w:r>
              <w:t xml:space="preserve">6.98</w:t>
            </w:r>
          </w:p>
        </w:tc>
        <w:tc>
          <w:tcPr/>
          <w:p>
            <w:pPr>
              <w:pStyle w:val="Compact"/>
              <w:jc w:val="right"/>
            </w:pPr>
            <m:oMath>
              <m:r>
                <m:t>3.46</m:t>
              </m:r>
              <m:r>
                <m:rPr>
                  <m:sty m:val="p"/>
                </m:rPr>
                <m:t>×</m:t>
              </m:r>
              <m:sSup>
                <m:e>
                  <m:r>
                    <m:t>10</m:t>
                  </m:r>
                </m:e>
                <m:sup>
                  <m:r>
                    <m:rPr>
                      <m:sty m:val="p"/>
                    </m:rPr>
                    <m:t>−</m:t>
                  </m:r>
                  <m:r>
                    <m:t>17</m:t>
                  </m:r>
                </m:sup>
              </m:sSup>
            </m:oMath>
          </w:p>
        </w:tc>
      </w:tr>
      <w:tr>
        <w:tc>
          <w:tcPr/>
          <w:p>
            <w:pPr>
              <w:pStyle w:val="Compact"/>
            </w:pPr>
            <w:r>
              <w:t xml:space="preserve">80–89</w:t>
            </w:r>
          </w:p>
        </w:tc>
        <w:tc>
          <w:tcPr/>
          <w:p>
            <w:pPr>
              <w:pStyle w:val="Compact"/>
              <w:jc w:val="right"/>
            </w:pPr>
            <w:r>
              <w:t xml:space="preserve">2.97</w:t>
            </w:r>
          </w:p>
        </w:tc>
        <w:tc>
          <w:tcPr/>
          <w:p>
            <w:pPr>
              <w:pStyle w:val="Compact"/>
              <w:jc w:val="right"/>
            </w:pPr>
            <m:oMath>
              <m:r>
                <m:t>2.03</m:t>
              </m:r>
              <m:r>
                <m:rPr>
                  <m:sty m:val="p"/>
                </m:rPr>
                <m:t>×</m:t>
              </m:r>
              <m:sSup>
                <m:e>
                  <m:r>
                    <m:t>10</m:t>
                  </m:r>
                </m:e>
                <m:sup>
                  <m:r>
                    <m:rPr>
                      <m:sty m:val="p"/>
                    </m:rPr>
                    <m:t>−</m:t>
                  </m:r>
                  <m:r>
                    <m:t>11</m:t>
                  </m:r>
                </m:sup>
              </m:sSup>
            </m:oMath>
          </w:p>
        </w:tc>
      </w:tr>
      <w:tr>
        <w:tc>
          <w:tcPr/>
          <w:p>
            <w:pPr>
              <w:pStyle w:val="Compact"/>
            </w:pPr>
            <w:r>
              <w:t xml:space="preserve">90–99</w:t>
            </w:r>
          </w:p>
        </w:tc>
        <w:tc>
          <w:tcPr/>
          <w:p>
            <w:pPr>
              <w:pStyle w:val="Compact"/>
              <w:jc w:val="right"/>
            </w:pPr>
            <w:r>
              <w:t xml:space="preserve">0.80</w:t>
            </w:r>
          </w:p>
        </w:tc>
        <w:tc>
          <w:tcPr/>
          <w:p>
            <w:pPr>
              <w:pStyle w:val="Compact"/>
              <w:jc w:val="right"/>
            </w:pPr>
            <m:oMath>
              <m:r>
                <m:t>8.66</m:t>
              </m:r>
              <m:r>
                <m:rPr>
                  <m:sty m:val="p"/>
                </m:rPr>
                <m:t>×</m:t>
              </m:r>
              <m:sSup>
                <m:e>
                  <m:r>
                    <m:t>10</m:t>
                  </m:r>
                </m:e>
                <m:sup>
                  <m:r>
                    <m:rPr>
                      <m:sty m:val="p"/>
                    </m:rPr>
                    <m:t>−</m:t>
                  </m:r>
                  <m:r>
                    <m:t>16</m:t>
                  </m:r>
                </m:sup>
              </m:sSup>
            </m:oMath>
          </w:p>
        </w:tc>
      </w:tr>
      <w:tr>
        <w:tc>
          <w:tcPr/>
          <w:p>
            <w:pPr>
              <w:pStyle w:val="Compact"/>
            </w:pPr>
            <w:r>
              <w:t xml:space="preserve">All ages (full population)</w:t>
            </w:r>
          </w:p>
        </w:tc>
        <w:tc>
          <w:tcPr/>
          <w:p>
            <w:pPr>
              <w:pStyle w:val="Compact"/>
              <w:jc w:val="right"/>
            </w:pPr>
            <w:r>
              <w:t xml:space="preserve">4.98</w:t>
            </w:r>
          </w:p>
        </w:tc>
        <w:tc>
          <w:tcPr/>
          <w:p>
            <w:pPr>
              <w:pStyle w:val="Compact"/>
              <w:jc w:val="right"/>
            </w:pPr>
            <m:oMath>
              <m:r>
                <m:t>1.02</m:t>
              </m:r>
              <m:r>
                <m:rPr>
                  <m:sty m:val="p"/>
                </m:rPr>
                <m:t>×</m:t>
              </m:r>
              <m:sSup>
                <m:e>
                  <m:r>
                    <m:t>10</m:t>
                  </m:r>
                </m:e>
                <m:sup>
                  <m:r>
                    <m:rPr>
                      <m:sty m:val="p"/>
                    </m:rPr>
                    <m:t>−</m:t>
                  </m:r>
                  <m:r>
                    <m:t>11</m:t>
                  </m:r>
                </m:sup>
              </m:sSup>
            </m:oMath>
          </w:p>
        </w:tc>
      </w:tr>
    </w:tbl>
    <w:bookmarkEnd w:id="85"/>
    <w:p>
      <w:pPr>
        <w:pStyle w:val="BodyText"/>
      </w:pPr>
      <w:r>
        <w:rPr>
          <w:b/>
          <w:bCs/>
        </w:rPr>
        <w:t xml:space="preserve">Notes:</w:t>
      </w:r>
      <w:r>
        <w:t xml:space="preserve"> </w:t>
      </w:r>
      <w:r>
        <w:t xml:space="preserve">-</w:t>
      </w:r>
      <w:r>
        <w:t xml:space="preserve"> </w:t>
      </w:r>
      <m:oMath>
        <m:acc>
          <m:accPr>
            <m:chr m:val="̂"/>
          </m:accPr>
          <m:e>
            <m:r>
              <m:t>θ</m:t>
            </m:r>
          </m:e>
        </m:acc>
      </m:oMath>
      <w:r>
        <w:t xml:space="preserve"> </w:t>
      </w:r>
      <w:r>
        <w:t xml:space="preserve">quantifies unobserved frailty heterogeneity and depletion of susceptibles within cohorts. Near-zero values indicate effectively linear cumulative hazards over the quiet window and are typical of strongly pre-selected cohorts.</w:t>
      </w:r>
      <w:r>
        <w:t xml:space="preserve"> </w:t>
      </w:r>
      <w:r>
        <w:t xml:space="preserve">- Each entry reports a single fitted gamma-frailty variance</w:t>
      </w:r>
      <w:r>
        <w:t xml:space="preserve"> </w:t>
      </w:r>
      <m:oMath>
        <m:acc>
          <m:accPr>
            <m:chr m:val="̂"/>
          </m:accPr>
          <m:e>
            <m:r>
              <m:t>θ</m:t>
            </m:r>
          </m:e>
        </m:acc>
      </m:oMath>
      <w:r>
        <w:t xml:space="preserve"> </w:t>
      </w:r>
      <w:r>
        <w:t xml:space="preserve">for the specified age band and vaccination status within the 2021_24 enrollment cohort.</w:t>
      </w:r>
      <w:r>
        <w:t xml:space="preserve"> </w:t>
      </w:r>
      <w:r>
        <w:t xml:space="preserve">- The</w:t>
      </w:r>
      <w:r>
        <w:t xml:space="preserve"> </w:t>
      </w:r>
      <w:r>
        <w:t xml:space="preserve">“All ages (full population)”</w:t>
      </w:r>
      <w:r>
        <w:t xml:space="preserve"> </w:t>
      </w:r>
      <w:r>
        <w:t xml:space="preserve">row corresponds to an independent fit over the full pooled age range, included as a global diagnostic.</w:t>
      </w:r>
      <w:r>
        <w:t xml:space="preserve"> </w:t>
      </w:r>
      <w:r>
        <w:t xml:space="preserve">- Table 8 reports raw outcome contrasts for ages 40+ (YOB ≤ 1980) where event counts are stable.</w:t>
      </w:r>
    </w:p>
    <w:p>
      <w:pPr>
        <w:pStyle w:val="BodyText"/>
      </w:pPr>
      <w:r>
        <w:rPr>
          <w:b/>
          <w:bCs/>
        </w:rPr>
        <w:t xml:space="preserve">Diagnostic checks:</w:t>
      </w:r>
      <w:r>
        <w:t xml:space="preserve"> </w:t>
      </w:r>
      <w:r>
        <w:t xml:space="preserve">-</w:t>
      </w:r>
      <w:r>
        <w:t xml:space="preserve"> </w:t>
      </w:r>
      <w:r>
        <w:rPr>
          <w:b/>
          <w:bCs/>
        </w:rPr>
        <w:t xml:space="preserve">Dose ordering:</w:t>
      </w:r>
      <w:r>
        <w:t xml:space="preserve"> </w:t>
      </w:r>
      <m:oMath>
        <m:acc>
          <m:accPr>
            <m:chr m:val="̂"/>
          </m:accPr>
          <m:e>
            <m:r>
              <m:t>θ</m:t>
            </m:r>
          </m:e>
        </m:acc>
      </m:oMath>
      <w:r>
        <w:t xml:space="preserve"> </w:t>
      </w:r>
      <w:r>
        <w:t xml:space="preserve">is positive for Dose 0 and collapses toward zero for Dose 2 across all age strata, consistent with selective uptake.</w:t>
      </w:r>
      <w:r>
        <w:t xml:space="preserve"> </w:t>
      </w:r>
      <w:r>
        <w:t xml:space="preserve">-</w:t>
      </w:r>
      <w:r>
        <w:t xml:space="preserve"> </w:t>
      </w:r>
      <w:r>
        <w:rPr>
          <w:b/>
          <w:bCs/>
        </w:rPr>
        <w:t xml:space="preserve">Magnitude separation:</w:t>
      </w:r>
      <w:r>
        <w:t xml:space="preserve"> </w:t>
      </w:r>
      <w:r>
        <w:t xml:space="preserve">Dose 2 estimates are effectively zero relative to Dose 0, indicating near-linear cumulative hazards rather than forced curvature.</w:t>
      </w:r>
      <w:r>
        <w:t xml:space="preserve"> </w:t>
      </w:r>
      <w:r>
        <w:t xml:space="preserve">-</w:t>
      </w:r>
      <w:r>
        <w:t xml:space="preserve"> </w:t>
      </w:r>
      <w:r>
        <w:rPr>
          <w:b/>
          <w:bCs/>
        </w:rPr>
        <w:t xml:space="preserve">Age coherence:</w:t>
      </w:r>
      <w:r>
        <w:t xml:space="preserve"> </w:t>
      </w:r>
      <m:oMath>
        <m:acc>
          <m:accPr>
            <m:chr m:val="̂"/>
          </m:accPr>
          <m:e>
            <m:r>
              <m:t>θ</m:t>
            </m:r>
          </m:e>
        </m:acc>
      </m:oMath>
      <w:r>
        <w:t xml:space="preserve"> </w:t>
      </w:r>
      <w:r>
        <w:t xml:space="preserve">decreases at older ages as baseline mortality rises and survivor populations become more homogeneous; monotonicity is not imposed.</w:t>
      </w:r>
      <w:r>
        <w:t xml:space="preserve"> </w:t>
      </w:r>
      <w:r>
        <w:t xml:space="preserve">-</w:t>
      </w:r>
      <w:r>
        <w:t xml:space="preserve"> </w:t>
      </w:r>
      <w:r>
        <w:rPr>
          <w:b/>
          <w:bCs/>
        </w:rPr>
        <w:t xml:space="preserve">Stability:</w:t>
      </w:r>
      <w:r>
        <w:t xml:space="preserve"> </w:t>
      </w:r>
      <w:r>
        <w:t xml:space="preserve">No sign reversals, boundary pathologies, or numerical instabilities are observed.</w:t>
      </w:r>
      <w:r>
        <w:t xml:space="preserve"> </w:t>
      </w:r>
      <w:r>
        <w:t xml:space="preserve">-</w:t>
      </w:r>
      <w:r>
        <w:t xml:space="preserve"> </w:t>
      </w:r>
      <w:r>
        <w:rPr>
          <w:b/>
          <w:bCs/>
        </w:rPr>
        <w:t xml:space="preserve">Falsifiability:</w:t>
      </w:r>
      <w:r>
        <w:t xml:space="preserve"> </w:t>
      </w:r>
      <w:r>
        <w:t xml:space="preserve">Failure of any one of these checks would constitute evidence against model adequacy.</w:t>
      </w:r>
    </w:p>
    <w:p>
      <w:pPr>
        <w:pStyle w:val="BodyText"/>
      </w:pPr>
      <w:r>
        <w:rPr>
          <w:b/>
          <w:bCs/>
        </w:rPr>
        <w:t xml:space="preserve">Interpretation:</w:t>
      </w:r>
      <w:r>
        <w:t xml:space="preserve"> </w:t>
      </w:r>
      <w:r>
        <w:t xml:space="preserve">Unvaccinated cohorts exhibit frailty heterogeneity (</w:t>
      </w:r>
      <m:oMath>
        <m:acc>
          <m:accPr>
            <m:chr m:val="̂"/>
          </m:accPr>
          <m:e>
            <m:r>
              <m:t>θ</m:t>
            </m:r>
          </m:e>
        </m:acc>
        <m:r>
          <m:rPr>
            <m:sty m:val="p"/>
          </m:rPr>
          <m:t>&gt;</m:t>
        </m:r>
        <m:r>
          <m:t>0</m:t>
        </m:r>
      </m:oMath>
      <w:r>
        <w:t xml:space="preserve">), while Dose 2 cohorts show near-zero estimated frailty (</w:t>
      </w:r>
      <m:oMath>
        <m:acc>
          <m:accPr>
            <m:chr m:val="̂"/>
          </m:accPr>
          <m:e>
            <m:r>
              <m:t>θ</m:t>
            </m:r>
          </m:e>
        </m:acc>
        <m:r>
          <m:rPr>
            <m:sty m:val="p"/>
          </m:rPr>
          <m:t>≈</m:t>
        </m:r>
        <m:r>
          <m:t>0</m:t>
        </m:r>
      </m:oMath>
      <w:r>
        <w:t xml:space="preserve">) across all age bands, consistent with selective uptake prior to follow-up. Frailty variance is largest at younger ages, where low baseline mortality amplifies the impact of heterogeneity on cumulative hazard curvature, and declines at older ages where mortality is compressed and survivors are more homogeneous. Because Table 7 demonstrates selection-induced heterogeneity, unadjusted cumulative outcome contrasts are expected to conflate depletion effects with any true treatment differences; Table 8 therefore reports raw cumulative hazards solely as a pre-normalization diagnostic. KCOR normalization removes the depletion component, enabling interpretable comparison of the remaining differences.</w:t>
      </w:r>
    </w:p>
    <w:bookmarkStart w:id="86" w:name="tbl:raw_cumulative_outcomes"/>
    <w:p>
      <w:pPr>
        <w:pStyle w:val="TableCaption"/>
      </w:pPr>
      <w:r>
        <w:t xml:space="preserve">8</w:t>
      </w:r>
    </w:p>
    <w:tbl>
      <w:tblPr>
        <w:tblStyle w:val="Table"/>
        <w:tblW w:type="pct" w:w="5000"/>
        <w:tblLayout w:type="fixed"/>
        <w:tblLook w:firstRow="1" w:lastRow="0" w:firstColumn="0" w:lastColumn="0" w:noHBand="0" w:noVBand="0" w:val="0020"/>
        <w:tblCaption w:val="8"/>
      </w:tblPr>
      <w:tblGrid>
        <w:gridCol w:w="1863"/>
        <w:gridCol w:w="2678"/>
        <w:gridCol w:w="2795"/>
        <w:gridCol w:w="582"/>
      </w:tblGrid>
      <w:tr>
        <w:trPr>
          <w:tblHeader w:val="on"/>
        </w:trPr>
        <w:tc>
          <w:tcPr/>
          <w:p>
            <w:pPr>
              <w:pStyle w:val="Compact"/>
            </w:pPr>
            <w:r>
              <w:t xml:space="preserve">Age band (years)</w:t>
            </w:r>
          </w:p>
        </w:tc>
        <w:tc>
          <w:tcPr/>
          <w:p>
            <w:pPr>
              <w:pStyle w:val="Compact"/>
              <w:jc w:val="right"/>
            </w:pPr>
            <w:r>
              <w:t xml:space="preserve">Dose 0 cumulative hazard</w:t>
            </w:r>
          </w:p>
        </w:tc>
        <w:tc>
          <w:tcPr/>
          <w:p>
            <w:pPr>
              <w:pStyle w:val="Compact"/>
              <w:jc w:val="right"/>
            </w:pPr>
            <w:r>
              <w:t xml:space="preserve">Dose 2 cumulative hazard</w:t>
            </w:r>
          </w:p>
        </w:tc>
        <w:tc>
          <w:tcPr/>
          <w:p>
            <w:pPr>
              <w:pStyle w:val="Compact"/>
              <w:jc w:val="right"/>
            </w:pPr>
            <w:r>
              <w:t xml:space="preserve">Ratio</w:t>
            </w:r>
          </w:p>
        </w:tc>
      </w:tr>
      <w:tr>
        <w:tc>
          <w:tcPr/>
          <w:p>
            <w:pPr>
              <w:pStyle w:val="Compact"/>
            </w:pPr>
            <w:r>
              <w:t xml:space="preserve">40–49</w:t>
            </w:r>
          </w:p>
        </w:tc>
        <w:tc>
          <w:tcPr/>
          <w:p>
            <w:pPr>
              <w:pStyle w:val="Compact"/>
              <w:jc w:val="right"/>
            </w:pPr>
            <w:r>
              <w:t xml:space="preserve">0.005260</w:t>
            </w:r>
          </w:p>
        </w:tc>
        <w:tc>
          <w:tcPr/>
          <w:p>
            <w:pPr>
              <w:pStyle w:val="Compact"/>
              <w:jc w:val="right"/>
            </w:pPr>
            <w:r>
              <w:t xml:space="preserve">0.004117</w:t>
            </w:r>
          </w:p>
        </w:tc>
        <w:tc>
          <w:tcPr/>
          <w:p>
            <w:pPr>
              <w:pStyle w:val="Compact"/>
              <w:jc w:val="right"/>
            </w:pPr>
            <w:r>
              <w:t xml:space="preserve">1.2776</w:t>
            </w:r>
          </w:p>
        </w:tc>
      </w:tr>
      <w:tr>
        <w:tc>
          <w:tcPr/>
          <w:p>
            <w:pPr>
              <w:pStyle w:val="Compact"/>
            </w:pPr>
            <w:r>
              <w:t xml:space="preserve">50–59</w:t>
            </w:r>
          </w:p>
        </w:tc>
        <w:tc>
          <w:tcPr/>
          <w:p>
            <w:pPr>
              <w:pStyle w:val="Compact"/>
              <w:jc w:val="right"/>
            </w:pPr>
            <w:r>
              <w:t xml:space="preserve">0.014969</w:t>
            </w:r>
          </w:p>
        </w:tc>
        <w:tc>
          <w:tcPr/>
          <w:p>
            <w:pPr>
              <w:pStyle w:val="Compact"/>
              <w:jc w:val="right"/>
            </w:pPr>
            <w:r>
              <w:t xml:space="preserve">0.009582</w:t>
            </w:r>
          </w:p>
        </w:tc>
        <w:tc>
          <w:tcPr/>
          <w:p>
            <w:pPr>
              <w:pStyle w:val="Compact"/>
              <w:jc w:val="right"/>
            </w:pPr>
            <w:r>
              <w:t xml:space="preserve">1.5622</w:t>
            </w:r>
          </w:p>
        </w:tc>
      </w:tr>
      <w:tr>
        <w:tc>
          <w:tcPr/>
          <w:p>
            <w:pPr>
              <w:pStyle w:val="Compact"/>
            </w:pPr>
            <w:r>
              <w:t xml:space="preserve">60–69</w:t>
            </w:r>
          </w:p>
        </w:tc>
        <w:tc>
          <w:tcPr/>
          <w:p>
            <w:pPr>
              <w:pStyle w:val="Compact"/>
              <w:jc w:val="right"/>
            </w:pPr>
            <w:r>
              <w:t xml:space="preserve">0.045475</w:t>
            </w:r>
          </w:p>
        </w:tc>
        <w:tc>
          <w:tcPr/>
          <w:p>
            <w:pPr>
              <w:pStyle w:val="Compact"/>
              <w:jc w:val="right"/>
            </w:pPr>
            <w:r>
              <w:t xml:space="preserve">0.023136</w:t>
            </w:r>
          </w:p>
        </w:tc>
        <w:tc>
          <w:tcPr/>
          <w:p>
            <w:pPr>
              <w:pStyle w:val="Compact"/>
              <w:jc w:val="right"/>
            </w:pPr>
            <w:r>
              <w:t xml:space="preserve">1.9655</w:t>
            </w:r>
          </w:p>
        </w:tc>
      </w:tr>
      <w:tr>
        <w:tc>
          <w:tcPr/>
          <w:p>
            <w:pPr>
              <w:pStyle w:val="Compact"/>
            </w:pPr>
            <w:r>
              <w:t xml:space="preserve">70–79</w:t>
            </w:r>
          </w:p>
        </w:tc>
        <w:tc>
          <w:tcPr/>
          <w:p>
            <w:pPr>
              <w:pStyle w:val="Compact"/>
              <w:jc w:val="right"/>
            </w:pPr>
            <w:r>
              <w:t xml:space="preserve">0.123097</w:t>
            </w:r>
          </w:p>
        </w:tc>
        <w:tc>
          <w:tcPr/>
          <w:p>
            <w:pPr>
              <w:pStyle w:val="Compact"/>
              <w:jc w:val="right"/>
            </w:pPr>
            <w:r>
              <w:t xml:space="preserve">0.057675</w:t>
            </w:r>
          </w:p>
        </w:tc>
        <w:tc>
          <w:tcPr/>
          <w:p>
            <w:pPr>
              <w:pStyle w:val="Compact"/>
              <w:jc w:val="right"/>
            </w:pPr>
            <w:r>
              <w:t xml:space="preserve">2.1343</w:t>
            </w:r>
          </w:p>
        </w:tc>
      </w:tr>
      <w:tr>
        <w:tc>
          <w:tcPr/>
          <w:p>
            <w:pPr>
              <w:pStyle w:val="Compact"/>
            </w:pPr>
            <w:r>
              <w:t xml:space="preserve">80–89</w:t>
            </w:r>
          </w:p>
        </w:tc>
        <w:tc>
          <w:tcPr/>
          <w:p>
            <w:pPr>
              <w:pStyle w:val="Compact"/>
              <w:jc w:val="right"/>
            </w:pPr>
            <w:r>
              <w:t xml:space="preserve">0.307169</w:t>
            </w:r>
          </w:p>
        </w:tc>
        <w:tc>
          <w:tcPr/>
          <w:p>
            <w:pPr>
              <w:pStyle w:val="Compact"/>
              <w:jc w:val="right"/>
            </w:pPr>
            <w:r>
              <w:t xml:space="preserve">0.167345</w:t>
            </w:r>
          </w:p>
        </w:tc>
        <w:tc>
          <w:tcPr/>
          <w:p>
            <w:pPr>
              <w:pStyle w:val="Compact"/>
              <w:jc w:val="right"/>
            </w:pPr>
            <w:r>
              <w:t xml:space="preserve">1.8355</w:t>
            </w:r>
          </w:p>
        </w:tc>
      </w:tr>
      <w:tr>
        <w:tc>
          <w:tcPr/>
          <w:p>
            <w:pPr>
              <w:pStyle w:val="Compact"/>
            </w:pPr>
            <w:r>
              <w:t xml:space="preserve">90–99</w:t>
            </w:r>
          </w:p>
        </w:tc>
        <w:tc>
          <w:tcPr/>
          <w:p>
            <w:pPr>
              <w:pStyle w:val="Compact"/>
              <w:jc w:val="right"/>
            </w:pPr>
            <w:r>
              <w:t xml:space="preserve">0.776341</w:t>
            </w:r>
          </w:p>
        </w:tc>
        <w:tc>
          <w:tcPr/>
          <w:p>
            <w:pPr>
              <w:pStyle w:val="Compact"/>
              <w:jc w:val="right"/>
            </w:pPr>
            <w:r>
              <w:t xml:space="preserve">0.517284</w:t>
            </w:r>
          </w:p>
        </w:tc>
        <w:tc>
          <w:tcPr/>
          <w:p>
            <w:pPr>
              <w:pStyle w:val="Compact"/>
              <w:jc w:val="right"/>
            </w:pPr>
            <w:r>
              <w:t xml:space="preserve">1.5008</w:t>
            </w:r>
          </w:p>
        </w:tc>
      </w:tr>
      <w:tr>
        <w:tc>
          <w:tcPr/>
          <w:p>
            <w:pPr>
              <w:pStyle w:val="Compact"/>
            </w:pPr>
            <w:r>
              <w:t xml:space="preserve">All ages (full population)</w:t>
            </w:r>
          </w:p>
        </w:tc>
        <w:tc>
          <w:tcPr/>
          <w:p>
            <w:pPr>
              <w:pStyle w:val="Compact"/>
              <w:jc w:val="right"/>
            </w:pPr>
            <w:r>
              <w:t xml:space="preserve">0.023160</w:t>
            </w:r>
          </w:p>
        </w:tc>
        <w:tc>
          <w:tcPr/>
          <w:p>
            <w:pPr>
              <w:pStyle w:val="Compact"/>
              <w:jc w:val="right"/>
            </w:pPr>
            <w:r>
              <w:t xml:space="preserve">0.073323</w:t>
            </w:r>
          </w:p>
        </w:tc>
        <w:tc>
          <w:tcPr/>
          <w:p>
            <w:pPr>
              <w:pStyle w:val="Compact"/>
              <w:jc w:val="right"/>
            </w:pPr>
            <w:r>
              <w:t xml:space="preserve">0.3159</w:t>
            </w:r>
          </w:p>
        </w:tc>
      </w:tr>
    </w:tbl>
    <w:bookmarkEnd w:id="86"/>
    <w:p>
      <w:pPr>
        <w:pStyle w:val="BodyText"/>
      </w:pPr>
      <w:r>
        <w:t xml:space="preserve">This table reports unadjusted cumulative hazards derived directly from the raw data, prior to any frailty normalization or depletion correction, and is shown to illustrate the magnitude and direction of selection-induced curvature addressed by KCOR.</w:t>
      </w:r>
    </w:p>
    <w:p>
      <w:pPr>
        <w:pStyle w:val="BodyText"/>
      </w:pPr>
      <w:r>
        <w:t xml:space="preserve">Values reflect raw cumulative outcome differences prior to KCOR normalization and are not interpreted causally due to cohort non-exchangeability. Cumulative hazards were integrated from cohort enrollment through the end of available follow-up for the 2021_24 enrollment window (through week 2024-16), identically for Dose 0 and Dose 2 cohorts.</w:t>
      </w:r>
    </w:p>
    <w:p>
      <w:pPr>
        <w:pStyle w:val="BodyText"/>
      </w:pPr>
      <w:r>
        <w:t xml:space="preserve">These raw contrasts reflect both selection and depletion effects and are not interpreted causally.</w:t>
      </w:r>
    </w:p>
    <w:bookmarkStart w:id="87" w:name="X9ac3801cf2efec47c3f62c9e1f18b5d55fb3142"/>
    <w:p>
      <w:pPr>
        <w:pStyle w:val="Heading4"/>
      </w:pPr>
      <w:r>
        <w:t xml:space="preserve">3.0.1 Illustrative empirical context: COVID-19 mortality data</w:t>
      </w:r>
    </w:p>
    <w:p>
      <w:pPr>
        <w:pStyle w:val="FirstParagraph"/>
      </w:pPr>
      <w:r>
        <w:t xml:space="preserve">The COVID-19 vaccination period provides a natural empirical regime characterized by strong selection heterogeneity and non-proportional hazards, making it a useful illustration for the KCOR framework. During this period, vaccine uptake was voluntary, rapidly time-varying, and correlated with baseline health status, creating clear examples of selection-induced non-proportional hazards. The Czech Republic national mortality registry data used in Tables 2 and 3 exemplify this regime: voluntary uptake led to asymmetric selection at enrollment, with vaccinated cohorts exhibiting minimal frailty heterogeneity (near-zero</w:t>
      </w:r>
      <w:r>
        <w:t xml:space="preserve"> </w:t>
      </w:r>
      <m:oMath>
        <m:acc>
          <m:accPr>
            <m:chr m:val="̂"/>
          </m:accPr>
          <m:e>
            <m:r>
              <m:t>θ</m:t>
            </m:r>
          </m:e>
        </m:acc>
      </m:oMath>
      <w:r>
        <w:t xml:space="preserve">) while unvaccinated cohorts retained substantial heterogeneity (</w:t>
      </w:r>
      <m:oMath>
        <m:acc>
          <m:accPr>
            <m:chr m:val="̂"/>
          </m:accPr>
          <m:e>
            <m:r>
              <m:t>θ</m:t>
            </m:r>
          </m:e>
        </m:acc>
        <m:r>
          <m:rPr>
            <m:sty m:val="p"/>
          </m:rPr>
          <m:t>&gt;</m:t>
        </m:r>
        <m:r>
          <m:t>0</m:t>
        </m:r>
      </m:oMath>
      <w:r>
        <w:t xml:space="preserve">). This asymmetric pattern reflects the healthy vaccinee effect operating through selective uptake rather than treatment. KCOR normalization removes this selection-induced curvature, enabling interpretable cumulative comparisons. While these examples illustrate KCOR’s application, the method is general and applies to any retrospective cohort comparison where selection induces differential depletion dynamics.</w:t>
      </w:r>
    </w:p>
    <w:bookmarkEnd w:id="87"/>
    <w:bookmarkStart w:id="88" w:name="X49c21f7e7289ea359d29dc79a5af219551caf27"/>
    <w:p>
      <w:pPr>
        <w:pStyle w:val="Heading3"/>
      </w:pPr>
      <w:r>
        <w:t xml:space="preserve">3.0 Frailty normalization behavior under empirical validation</w:t>
      </w:r>
    </w:p>
    <w:p>
      <w:pPr>
        <w:pStyle w:val="FirstParagraph"/>
      </w:pPr>
      <w:r>
        <w:t xml:space="preserve">Across examined age strata in the Czech Republic mortality dataset, fitted frailty parameters exhibit a pronounced asymmetry across cohorts. Some cohorts show negligible estimated frailty variance (</w:t>
      </w:r>
      <m:oMath>
        <m:acc>
          <m:accPr>
            <m:chr m:val="̂"/>
          </m:accPr>
          <m:e>
            <m:r>
              <m:t>θ</m:t>
            </m:r>
          </m:e>
        </m:acc>
        <m:r>
          <m:rPr>
            <m:sty m:val="p"/>
          </m:rPr>
          <m:t>≈</m:t>
        </m:r>
        <m:r>
          <m:t>0</m:t>
        </m:r>
      </m:oMath>
      <w:r>
        <w:t xml:space="preserve">), while others exhibit substantial frailty-driven depletion. This pattern reflects differences in selection-induced hazard curvature at cohort entry rather than any prespecified cohort identity.</w:t>
      </w:r>
    </w:p>
    <w:p>
      <w:pPr>
        <w:pStyle w:val="BodyText"/>
      </w:pPr>
      <w:r>
        <w:t xml:space="preserve">As a consequence, KCOR normalization leaves some cohorts’ cumulative hazards nearly unchanged, while substantially increasing the depletion-neutralized cumulative hazard for others. This behavior is consistent with curvature-driven normalization rather than cohort identity. This pattern is visible directly in adjusted versus unadjusted cumulative hazard plots and is summarized quantitatively in the fitted-parameter logs (see</w:t>
      </w:r>
      <w:r>
        <w:t xml:space="preserve"> </w:t>
      </w:r>
      <w:r>
        <w:rPr>
          <w:rStyle w:val="VerbatimChar"/>
        </w:rPr>
        <w:t xml:space="preserve">KCOR_summary.log</w:t>
      </w:r>
      <w:r>
        <w:t xml:space="preserve">).</w:t>
      </w:r>
    </w:p>
    <w:p>
      <w:pPr>
        <w:pStyle w:val="BodyText"/>
      </w:pPr>
      <w:r>
        <w:t xml:space="preserve">After frailty normalization, the adjusted cumulative hazards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are approximately linear in event time. Residual deviations from linearity reflect real time-varying risk—such as seasonality or epidemic waves—rather than selection-induced depletion. This linearization is a diagnostic consistent with successful removal of depletion-driven curvature under the working model; persistent nonlinearity or parameter instability indicates model stress or quiet-window contamination.</w:t>
      </w:r>
    </w:p>
    <w:bookmarkEnd w:id="88"/>
    <w:bookmarkStart w:id="105" w:name="X250d2743dd947cd04209f9dc9cf02b545517230"/>
    <w:p>
      <w:pPr>
        <w:pStyle w:val="Heading3"/>
      </w:pPr>
      <w:r>
        <w:t xml:space="preserve">3.1 Negative controls: null under selection-induced curvature</w:t>
      </w:r>
    </w:p>
    <w:bookmarkStart w:id="94"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16"/>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16"/>
        </w:numPr>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w:t>
      </w:r>
    </w:p>
    <w:p>
      <w:pPr>
        <w:pStyle w:val="Compact"/>
        <w:numPr>
          <w:ilvl w:val="0"/>
          <w:numId w:val="1016"/>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during quiet periods and applying gamma-frailty inversion, KCOR should remain approximately constant at 1 over follow-up.</w:t>
      </w:r>
    </w:p>
    <w:bookmarkStart w:id="93"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17"/>
        </w:numPr>
      </w:pPr>
      <w:r>
        <w:t xml:space="preserve">Time unit: weeks.</w:t>
      </w:r>
    </w:p>
    <w:p>
      <w:pPr>
        <w:pStyle w:val="Compact"/>
        <w:numPr>
          <w:ilvl w:val="0"/>
          <w:numId w:val="1017"/>
        </w:numPr>
      </w:pPr>
      <w:r>
        <w:t xml:space="preserve">Baseline hazard shape:</w:t>
      </w:r>
      <w:r>
        <w:t xml:space="preserve"> </w:t>
      </w:r>
      <m:oMath>
        <m:r>
          <m:t>g</m:t>
        </m:r>
        <m:r>
          <m:rPr>
            <m:sty m:val="p"/>
          </m:rPr>
          <m:t>(</m:t>
        </m:r>
        <m:r>
          <m:t>t</m:t>
        </m:r>
        <m:r>
          <m:rPr>
            <m:sty m:val="p"/>
          </m:rPr>
          <m:t>)</m:t>
        </m:r>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pStyle w:val="Compact"/>
        <w:numPr>
          <w:ilvl w:val="0"/>
          <w:numId w:val="1017"/>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17"/>
        </w:numPr>
      </w:pPr>
      <w:r>
        <w:t xml:space="preserve">Cohort B:</w:t>
      </w:r>
      <w:r>
        <w:t xml:space="preserve"> </w:t>
      </w:r>
      <m:oMath>
        <m:sSub>
          <m:e>
            <m:r>
              <m:t>θ</m:t>
            </m:r>
          </m:e>
          <m:sub>
            <m:r>
              <m:t>B</m:t>
            </m:r>
          </m:sub>
        </m:sSub>
        <m:r>
          <m:rPr>
            <m:sty m:val="p"/>
          </m:rPr>
          <m:t>&gt;</m:t>
        </m:r>
        <m:r>
          <m:t>0</m:t>
        </m:r>
      </m:oMath>
      <w:r>
        <w:t xml:space="preserve"> </w:t>
      </w:r>
      <w:r>
        <w:t xml:space="preserve">(weaker depletion).</w:t>
      </w:r>
    </w:p>
    <w:p>
      <w:pPr>
        <w:pStyle w:val="FirstParagraph"/>
      </w:pPr>
      <w:r>
        <w:t xml:space="preserve">Figure 5 shows this construction.</w:t>
      </w:r>
    </w:p>
    <w:bookmarkStart w:id="92" w:name="fig:neg_control_synthetic"/>
    <w:p>
      <w:pPr>
        <w:pStyle w:val="CaptionedFigure"/>
      </w:pPr>
      <w:r>
        <w:drawing>
          <wp:inline>
            <wp:extent cx="5334000" cy="3852333"/>
            <wp:effectExtent b="0" l="0" r="0" t="0"/>
            <wp:docPr descr="5" title="" id="90" name="Picture"/>
            <a:graphic>
              <a:graphicData uri="http://schemas.openxmlformats.org/drawingml/2006/picture">
                <pic:pic>
                  <pic:nvPicPr>
                    <pic:cNvPr descr="figures/fig_neg_control_synthetic.png" id="91" name="Picture"/>
                    <pic:cNvPicPr>
                      <a:picLocks noChangeArrowheads="1" noChangeAspect="1"/>
                    </pic:cNvPicPr>
                  </pic:nvPicPr>
                  <pic:blipFill>
                    <a:blip r:embed="rId89"/>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5</w:t>
      </w:r>
    </w:p>
    <w:bookmarkEnd w:id="92"/>
    <w:bookmarkEnd w:id="93"/>
    <w:bookmarkEnd w:id="94"/>
    <w:bookmarkStart w:id="104" w:name="X245cc31d763a0fb39bda81fbe46e34dde7a0bdc"/>
    <w:p>
      <w:pPr>
        <w:pStyle w:val="Heading4"/>
      </w:pPr>
      <w:r>
        <w:t xml:space="preserve">3.1.2 Empirical “within-category” negative control (already implemented in repo)</w:t>
      </w:r>
    </w:p>
    <w:p>
      <w:pPr>
        <w:pStyle w:val="FirstParagraph"/>
      </w:pPr>
      <w:r>
        <w:t xml:space="preserve">The repository includes a pragmatic negative control construction that repurposes a real dataset by comparing “like with like” 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 KCOR trajectories are consistent with the estimator normalizing selection-induced depletion curvature without introducing spurious time trends or cumulative drift.</w:t>
      </w:r>
    </w:p>
    <w:p>
      <w:pPr>
        <w:pStyle w:val="BodyText"/>
      </w:pPr>
      <w:r>
        <w:t xml:space="preserve">For the empirical age-shift negative control (Figures 6 and 7), we use aggregated weekly cohort summaries derived from the Czech Republic administrative mortality and vaccination dataset and exported in KCOR_CMR format.</w:t>
      </w:r>
    </w:p>
    <w:p>
      <w:pPr>
        <w:pStyle w:val="BodyText"/>
      </w:pPr>
      <w:r>
        <w:t xml:space="preserve">Notably, KCOR estimates frailty parameters independently for each cohort without knowledge of exposure status; the observed asymmetry in depletion correction arises entirely from differences in hazard curvature rather than from any vaccination-specific assumptions.</w:t>
      </w:r>
    </w:p>
    <w:p>
      <w:pPr>
        <w:pStyle w:val="BodyText"/>
      </w:pPr>
      <w:r>
        <w:t xml:space="preserve">Two snapshots illustrate that KCOR is near-flat even under 10–20 year age differences:</w:t>
      </w:r>
    </w:p>
    <w:bookmarkStart w:id="98" w:name="fig:neg_control_10yr"/>
    <w:p>
      <w:pPr>
        <w:pStyle w:val="CaptionedFigure"/>
      </w:pPr>
      <w:r>
        <w:drawing>
          <wp:inline>
            <wp:extent cx="5334000" cy="2773680"/>
            <wp:effectExtent b="0" l="0" r="0" t="0"/>
            <wp:docPr descr="6" title="" id="96" name="Picture"/>
            <a:graphic>
              <a:graphicData uri="http://schemas.openxmlformats.org/drawingml/2006/picture">
                <pic:pic>
                  <pic:nvPicPr>
                    <pic:cNvPr descr="figures/fig2_neg_control_10yr_age_diff.png" id="97" name="Picture"/>
                    <pic:cNvPicPr>
                      <a:picLocks noChangeArrowheads="1" noChangeAspect="1"/>
                    </pic:cNvPicPr>
                  </pic:nvPicPr>
                  <pic:blipFill>
                    <a:blip r:embed="rId95"/>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6</w:t>
      </w:r>
    </w:p>
    <w:bookmarkEnd w:id="98"/>
    <w:bookmarkStart w:id="102" w:name="fig:neg_control_20yr"/>
    <w:p>
      <w:pPr>
        <w:pStyle w:val="CaptionedFigure"/>
      </w:pPr>
      <w:r>
        <w:drawing>
          <wp:inline>
            <wp:extent cx="5334000" cy="2810466"/>
            <wp:effectExtent b="0" l="0" r="0" t="0"/>
            <wp:docPr descr="7" title="" id="100" name="Picture"/>
            <a:graphic>
              <a:graphicData uri="http://schemas.openxmlformats.org/drawingml/2006/picture">
                <pic:pic>
                  <pic:nvPicPr>
                    <pic:cNvPr descr="figures/fig3_neg_control_20yr_age_diff.png" id="101" name="Picture"/>
                    <pic:cNvPicPr>
                      <a:picLocks noChangeArrowheads="1" noChangeAspect="1"/>
                    </pic:cNvPicPr>
                  </pic:nvPicPr>
                  <pic:blipFill>
                    <a:blip r:embed="rId99"/>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7</w:t>
      </w:r>
    </w:p>
    <w:bookmarkEnd w:id="102"/>
    <w:p>
      <w:pPr>
        <w:pStyle w:val="BodyText"/>
      </w:pPr>
      <w:r>
        <w:t xml:space="preserve">Table 9 provides numeric summaries.</w:t>
      </w:r>
    </w:p>
    <w:bookmarkStart w:id="103" w:name="tbl:neg_control_summary"/>
    <w:p>
      <w:pPr>
        <w:pStyle w:val="TableCaption"/>
      </w:pPr>
      <w:r>
        <w:t xml:space="preserve">9</w:t>
      </w:r>
    </w:p>
    <w:tbl>
      <w:tblPr>
        <w:tblStyle w:val="Table"/>
        <w:tblW w:type="auto" w:w="0"/>
        <w:tblLook w:firstRow="1" w:lastRow="0" w:firstColumn="0" w:lastColumn="0" w:noHBand="0" w:noVBand="0" w:val="0020"/>
        <w:tblCaption w:val="9"/>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103"/>
    <w:bookmarkEnd w:id="104"/>
    <w:bookmarkEnd w:id="105"/>
    <w:bookmarkStart w:id="112" w:name="Xf5c6845e7014ee8ad1d757d99d9071bc85f02f3"/>
    <w:p>
      <w:pPr>
        <w:pStyle w:val="Heading3"/>
      </w:pPr>
      <w:r>
        <w:t xml:space="preserve">3.2 Positive controls: detect injected harm/benefit</w:t>
      </w:r>
    </w:p>
    <w:p>
      <w:pPr>
        <w:pStyle w:val="FirstParagraph"/>
      </w:pPr>
      <w:r>
        <w:t xml:space="preserve">The effect window is a simulation construct used solely for positive-control validation and does not represent a real-world intervention period or biological effect window.</w:t>
      </w:r>
    </w:p>
    <w:p>
      <w:pPr>
        <w:pStyle w:val="BodyText"/>
      </w:pPr>
      <w:r>
        <w:t xml:space="preserve">Positive controls are constructed by starting from a negative-control dataset and injecting a known effect into the data-generating process for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bookmarkStart w:id="106" w:name="eq:pos-control-injection"/>
    <w:p>
      <w:pPr>
        <w:pStyle w:val="BodyText"/>
      </w:pPr>
      <w:pPr>
        <w:tabs>
          <w:tab w:val="center" w:leader="none" w:pos="4680"/>
          <w:tab w:val="right" w:leader="none" w:pos="9360"/>
        </w:tabs>
      </w:pPr>
      <w:r>
        <w:tab/>
      </w:r>
      <w:r>
        <w:t xml:space="preserve"> </w:t>
      </w: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oMath>
      <w:r>
        <w:t xml:space="preserve"> </w:t>
      </w:r>
      <w:r>
        <w:tab/>
      </w:r>
      <w:r>
        <w:t xml:space="preserve"> </w:t>
      </w:r>
      <m:oMath>
        <m:r>
          <m:rPr>
            <m:sty m:val="p"/>
          </m:rPr>
          <m:t>(</m:t>
        </m:r>
        <m:r>
          <m:t>15</m:t>
        </m:r>
        <m:r>
          <m:rPr>
            <m:sty m:val="p"/>
          </m:rPr>
          <m:t>)</m:t>
        </m:r>
      </m:oMath>
    </w:p>
    <w:bookmarkEnd w:id="106"/>
    <w:p>
      <w:pPr>
        <w:pStyle w:val="BodyText"/>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 Figure 8 and Table 10 confirm this behavior.</w:t>
      </w:r>
    </w:p>
    <w:bookmarkStart w:id="110" w:name="fig:pos_control_injected"/>
    <w:p>
      <w:pPr>
        <w:pStyle w:val="CaptionedFigure"/>
      </w:pPr>
      <w:r>
        <w:drawing>
          <wp:inline>
            <wp:extent cx="5334000" cy="4253184"/>
            <wp:effectExtent b="0" l="0" r="0" t="0"/>
            <wp:docPr descr="8" title="" id="108" name="Picture"/>
            <a:graphic>
              <a:graphicData uri="http://schemas.openxmlformats.org/drawingml/2006/picture">
                <pic:pic>
                  <pic:nvPicPr>
                    <pic:cNvPr descr="figures/fig_pos_control_injected.png" id="109" name="Picture"/>
                    <pic:cNvPicPr>
                      <a:picLocks noChangeArrowheads="1" noChangeAspect="1"/>
                    </pic:cNvPicPr>
                  </pic:nvPicPr>
                  <pic:blipFill>
                    <a:blip r:embed="rId107"/>
                    <a:stretch>
                      <a:fillRect/>
                    </a:stretch>
                  </pic:blipFill>
                  <pic:spPr bwMode="auto">
                    <a:xfrm>
                      <a:off x="0" y="0"/>
                      <a:ext cx="5334000" cy="4253184"/>
                    </a:xfrm>
                    <a:prstGeom prst="rect">
                      <a:avLst/>
                    </a:prstGeom>
                    <a:noFill/>
                    <a:ln w="9525">
                      <a:noFill/>
                      <a:headEnd/>
                      <a:tailEnd/>
                    </a:ln>
                  </pic:spPr>
                </pic:pic>
              </a:graphicData>
            </a:graphic>
          </wp:inline>
        </w:drawing>
      </w:r>
    </w:p>
    <w:p>
      <w:pPr>
        <w:pStyle w:val="ImageCaption"/>
      </w:pPr>
      <w:r>
        <w:t xml:space="preserve">8</w:t>
      </w:r>
    </w:p>
    <w:bookmarkEnd w:id="110"/>
    <w:bookmarkStart w:id="111" w:name="tbl:pos_control_summary"/>
    <w:p>
      <w:pPr>
        <w:pStyle w:val="TableCaption"/>
      </w:pPr>
      <w:r>
        <w:t xml:space="preserve">10</w:t>
      </w:r>
    </w:p>
    <w:tbl>
      <w:tblPr>
        <w:tblStyle w:val="Table"/>
        <w:tblW w:type="pct" w:w="5000"/>
        <w:tblLayout w:type="fixed"/>
        <w:tblLook w:firstRow="1" w:lastRow="0" w:firstColumn="0" w:lastColumn="0" w:noHBand="0" w:noVBand="0" w:val="0020"/>
        <w:tblCaption w:val="10"/>
      </w:tblPr>
      <w:tblGrid>
        <w:gridCol w:w="1397"/>
        <w:gridCol w:w="1397"/>
        <w:gridCol w:w="1863"/>
        <w:gridCol w:w="1397"/>
        <w:gridCol w:w="1863"/>
      </w:tblGrid>
      <w:tr>
        <w:trPr>
          <w:tblHeader w:val="on"/>
        </w:trPr>
        <w:tc>
          <w:tcPr/>
          <w:p>
            <w:pPr>
              <w:pStyle w:val="Compact"/>
            </w:pPr>
            <w:r>
              <w:t xml:space="preserve">Scenario</w:t>
            </w:r>
          </w:p>
        </w:tc>
        <w:tc>
          <w:tcPr/>
          <w:p>
            <w:pPr>
              <w:pStyle w:val="Compact"/>
            </w:pPr>
            <w:r>
              <w:t xml:space="preserve">Effect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jc w:val="right"/>
            </w:pPr>
            <w:r>
              <w:t xml:space="preserve">Observed KCOR at week 80</w:t>
            </w:r>
          </w:p>
        </w:tc>
      </w:tr>
      <w:tr>
        <w:tc>
          <w:tcPr/>
          <w:p>
            <w:pPr>
              <w:pStyle w:val="Compact"/>
            </w:pPr>
            <w:r>
              <w:t xml:space="preserve">Benefit</w:t>
            </w:r>
          </w:p>
        </w:tc>
        <w:tc>
          <w:tcPr/>
          <w:p>
            <w:pPr>
              <w:pStyle w:val="Compact"/>
            </w:pPr>
            <w:r>
              <w:t xml:space="preserve">week 20–80</w:t>
            </w:r>
          </w:p>
        </w:tc>
        <w:tc>
          <w:tcPr/>
          <w:p>
            <w:pPr>
              <w:pStyle w:val="Compact"/>
              <w:jc w:val="right"/>
            </w:pPr>
            <w:r>
              <w:t xml:space="preserve">0.8</w:t>
            </w:r>
          </w:p>
        </w:tc>
        <w:tc>
          <w:tcPr/>
          <w:p>
            <w:pPr>
              <w:pStyle w:val="Compact"/>
            </w:pPr>
            <w:r>
              <w:t xml:space="preserve">&lt; 1</w:t>
            </w:r>
          </w:p>
        </w:tc>
        <w:tc>
          <w:tcPr/>
          <w:p>
            <w:pPr>
              <w:pStyle w:val="Compact"/>
              <w:jc w:val="right"/>
            </w:pPr>
            <w:r>
              <w:t xml:space="preserve">0.825</w:t>
            </w:r>
          </w:p>
        </w:tc>
      </w:tr>
      <w:tr>
        <w:tc>
          <w:tcPr/>
          <w:p>
            <w:pPr>
              <w:pStyle w:val="Compact"/>
            </w:pPr>
            <w:r>
              <w:t xml:space="preserve">Harm</w:t>
            </w:r>
          </w:p>
        </w:tc>
        <w:tc>
          <w:tcPr/>
          <w:p>
            <w:pPr>
              <w:pStyle w:val="Compact"/>
            </w:pPr>
            <w:r>
              <w:t xml:space="preserve">week 20–80</w:t>
            </w:r>
          </w:p>
        </w:tc>
        <w:tc>
          <w:tcPr/>
          <w:p>
            <w:pPr>
              <w:pStyle w:val="Compact"/>
              <w:jc w:val="right"/>
            </w:pPr>
            <w:r>
              <w:t xml:space="preserve">1.2</w:t>
            </w:r>
          </w:p>
        </w:tc>
        <w:tc>
          <w:tcPr/>
          <w:p>
            <w:pPr>
              <w:pStyle w:val="Compact"/>
            </w:pPr>
            <w:r>
              <w:t xml:space="preserve">&gt; 1</w:t>
            </w:r>
          </w:p>
        </w:tc>
        <w:tc>
          <w:tcPr/>
          <w:p>
            <w:pPr>
              <w:pStyle w:val="Compact"/>
              <w:jc w:val="right"/>
            </w:pPr>
            <w:r>
              <w:t xml:space="preserve">1.107</w:t>
            </w:r>
          </w:p>
        </w:tc>
      </w:tr>
    </w:tbl>
    <w:bookmarkEnd w:id="111"/>
    <w:bookmarkEnd w:id="112"/>
    <w:bookmarkStart w:id="117"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18"/>
        </w:numPr>
      </w:pPr>
      <w:r>
        <w:t xml:space="preserve">Quiet-window selection (calendar ISO-week bounds)</w:t>
      </w:r>
    </w:p>
    <w:p>
      <w:pPr>
        <w:pStyle w:val="Compact"/>
        <w:numPr>
          <w:ilvl w:val="0"/>
          <w:numId w:val="1018"/>
        </w:numPr>
      </w:pPr>
      <w:r>
        <w:t xml:space="preserve">Stabilization skip (early-bin handling)</w:t>
      </w:r>
    </w:p>
    <w:p>
      <w:pPr>
        <w:pStyle w:val="Compact"/>
        <w:numPr>
          <w:ilvl w:val="0"/>
          <w:numId w:val="1018"/>
        </w:numPr>
      </w:pPr>
      <w:r>
        <w:t xml:space="preserve">Time-binning resolution</w:t>
      </w:r>
    </w:p>
    <w:p>
      <w:pPr>
        <w:pStyle w:val="Compact"/>
        <w:numPr>
          <w:ilvl w:val="0"/>
          <w:numId w:val="1018"/>
        </w:numPr>
      </w:pPr>
      <w:r>
        <w:t xml:space="preserve">Age stratification and/or stratified analyses where appropriate</w:t>
      </w:r>
    </w:p>
    <w:p>
      <w:pPr>
        <w:pStyle w:val="Compact"/>
        <w:numPr>
          <w:ilvl w:val="0"/>
          <w:numId w:val="1018"/>
        </w:numPr>
      </w:pPr>
      <w:r>
        <w:t xml:space="preserve">Baseline shape choice</w:t>
      </w:r>
      <w:r>
        <w:t xml:space="preserve"> </w:t>
      </w:r>
      <m:oMath>
        <m:r>
          <m:t>g</m:t>
        </m:r>
        <m:r>
          <m:rPr>
            <m:sty m:val="p"/>
          </m:rPr>
          <m:t>(</m:t>
        </m:r>
        <m:r>
          <m:t>t</m:t>
        </m:r>
        <m:r>
          <m:rPr>
            <m:sty m:val="p"/>
          </m:rPr>
          <m:t>)</m:t>
        </m:r>
      </m:oMath>
      <w:r>
        <w:t xml:space="preserve"> </w:t>
      </w:r>
      <w:r>
        <w:t xml:space="preserve">(default</w:t>
      </w:r>
      <w:r>
        <w:t xml:space="preserve"> </w:t>
      </w:r>
      <m:oMath>
        <m:r>
          <m:t>g</m:t>
        </m:r>
        <m:r>
          <m:rPr>
            <m:sty m:val="p"/>
          </m:rPr>
          <m:t>(</m:t>
        </m:r>
        <m:r>
          <m:t>t</m:t>
        </m:r>
        <m:r>
          <m:rPr>
            <m:sty m:val="p"/>
          </m:rPr>
          <m:t>)</m:t>
        </m:r>
        <m:r>
          <m:rPr>
            <m:sty m:val="p"/>
          </m:rPr>
          <m:t>=</m:t>
        </m:r>
        <m:r>
          <m:t>1</m:t>
        </m:r>
      </m:oMath>
      <w:r>
        <w:t xml:space="preserve">; alternatives can be assessed as sensitivity)</w:t>
      </w:r>
    </w:p>
    <w:p>
      <w:pPr>
        <w:pStyle w:val="FirstParagraph"/>
      </w:pPr>
      <w:r>
        <w:t xml:space="preserve">Figure 9 summarizes KCOR stability across the parameter grid.</w:t>
      </w:r>
    </w:p>
    <w:bookmarkStart w:id="116" w:name="fig:sensitivity_overview"/>
    <w:p>
      <w:pPr>
        <w:pStyle w:val="CaptionedFigure"/>
      </w:pPr>
      <w:r>
        <w:drawing>
          <wp:inline>
            <wp:extent cx="5334000" cy="1571483"/>
            <wp:effectExtent b="0" l="0" r="0" t="0"/>
            <wp:docPr descr="9" title="" id="114" name="Picture"/>
            <a:graphic>
              <a:graphicData uri="http://schemas.openxmlformats.org/drawingml/2006/picture">
                <pic:pic>
                  <pic:nvPicPr>
                    <pic:cNvPr descr="figures/fig_sensitivity_overview.png" id="115" name="Picture"/>
                    <pic:cNvPicPr>
                      <a:picLocks noChangeArrowheads="1" noChangeAspect="1"/>
                    </pic:cNvPicPr>
                  </pic:nvPicPr>
                  <pic:blipFill>
                    <a:blip r:embed="rId113"/>
                    <a:stretch>
                      <a:fillRect/>
                    </a:stretch>
                  </pic:blipFill>
                  <pic:spPr bwMode="auto">
                    <a:xfrm>
                      <a:off x="0" y="0"/>
                      <a:ext cx="5334000" cy="1571483"/>
                    </a:xfrm>
                    <a:prstGeom prst="rect">
                      <a:avLst/>
                    </a:prstGeom>
                    <a:noFill/>
                    <a:ln w="9525">
                      <a:noFill/>
                      <a:headEnd/>
                      <a:tailEnd/>
                    </a:ln>
                  </pic:spPr>
                </pic:pic>
              </a:graphicData>
            </a:graphic>
          </wp:inline>
        </w:drawing>
      </w:r>
    </w:p>
    <w:p>
      <w:pPr>
        <w:pStyle w:val="ImageCaption"/>
      </w:pPr>
      <w:r>
        <w:t xml:space="preserve">9</w:t>
      </w:r>
    </w:p>
    <w:bookmarkEnd w:id="116"/>
    <w:p>
      <w:pPr>
        <w:pStyle w:val="BodyText"/>
      </w:pPr>
      <w:r>
        <w:t xml:space="preserve">Across all tested parameter ranges, KCOR values remained within approximately ±5% of unity, indicating stability under reasonable variations in fitting choices.</w:t>
      </w:r>
    </w:p>
    <w:bookmarkEnd w:id="117"/>
    <w:bookmarkStart w:id="134" w:name="Xc4d8adb0ad5f1ae7badc4f43956d4ea2b8d625b"/>
    <w:p>
      <w:pPr>
        <w:pStyle w:val="Heading3"/>
      </w:pPr>
      <w:r>
        <w:t xml:space="preserve">3.4 Simulation grid: operating characteristics and failure-mode diagnostics</w:t>
      </w:r>
    </w:p>
    <w:p>
      <w:pPr>
        <w:pStyle w:val="FirstParagraph"/>
      </w:pPr>
      <w:r>
        <w:t xml:space="preserve">We further evaluate KCOR using a compact simulation grid designed to (i) confirm near-null behavior under selection-induced curvature, (ii) confirm detection of injected effects, and (iii) characterize failure modes and diagnostics under model misspecification and adverse data regimes. Each scenario generates cohort-level weekly counts in KCOR_CMR format. KCOR is then fit using the same prespecified quiet-window procedure as in the empirical analyses, and we report both KCOR(t) trajectories and diagnostic summaries, including cumulative-hazard fit error and post-normalization linearity. The scenarios isolate specific stresses, including non-gamma frailty, contamination of the quiet window by an external shock, sparse events,</w:t>
      </w:r>
      <w:r>
        <w:t xml:space="preserve"> </w:t>
      </w:r>
      <w:r>
        <w:rPr>
          <w:b/>
          <w:bCs/>
        </w:rPr>
        <w:t xml:space="preserve">joint frailty and treatment effects (S7)</w:t>
      </w:r>
      <w:r>
        <w:t xml:space="preserve">, and</w:t>
      </w:r>
      <w:r>
        <w:t xml:space="preserve"> </w:t>
      </w:r>
      <w:r>
        <w:rPr>
          <w:b/>
          <w:bCs/>
        </w:rPr>
        <w:t xml:space="preserve">tail-sampling / bimodal selection</w:t>
      </w:r>
      <w:r>
        <w:t xml:space="preserve"> </w:t>
      </w:r>
      <w:r>
        <w:t xml:space="preserve">(cohorts drawn from different parts of the same underlying frailty distribution, e.g., vaccinated sampled from mid-quantiles; unvaccinated from low+high tails, producing non-gamma mixture geometry at the cohort level). Code to reproduce all simulations and figures is included in the repository.</w:t>
      </w:r>
      <w:r>
        <w:t xml:space="preserve"> </w:t>
      </w:r>
      <w:r>
        <w:rPr>
          <w:i/>
          <w:iCs/>
        </w:rPr>
        <w:t xml:space="preserve">Near-flat</w:t>
      </w:r>
      <w:r>
        <w:t xml:space="preserve"> </w:t>
      </w:r>
      <w:r>
        <w:t xml:space="preserve">is defined operationally as median KCOR(t) remaining within ±5% of unity over the diagnostic window (weeks 20–100), excluding early transients. See Figures 10 and 11 below.</w:t>
      </w:r>
    </w:p>
    <w:p>
      <w:pPr>
        <w:pStyle w:val="BodyText"/>
      </w:pPr>
      <w:r>
        <w:rPr>
          <w:b/>
          <w:bCs/>
        </w:rPr>
        <w:t xml:space="preserve">Joint frailty and treatment-effect simulation (S7).</w:t>
      </w:r>
      <w:r>
        <w:br/>
      </w:r>
      <w:r>
        <w:t xml:space="preserve">Figure 12 summarizes results from the S7 simulation, in which cohorts differ in frailty-driven depletion dynamics and a known treatment effect is introduced in a separate time window. Frailty parameters are estimated exclusively during a prespecified quiet window, and KCOR normalization is then applied to the full follow-up period.</w:t>
      </w:r>
    </w:p>
    <w:p>
      <w:pPr>
        <w:pStyle w:val="BodyText"/>
      </w:pPr>
      <w:r>
        <w:t xml:space="preserve">When the quiet window and treatment window are temporally separable, KCOR exhibits the expected behavior under identifiable conditions: KCOR</w:t>
      </w:r>
      <m:oMath>
        <m:r>
          <m:rPr>
            <m:sty m:val="p"/>
          </m:rPr>
          <m:t>(</m:t>
        </m:r>
        <m:r>
          <m:t>t</m:t>
        </m:r>
        <m:r>
          <m:rPr>
            <m:sty m:val="p"/>
          </m:rPr>
          <m:t>)</m:t>
        </m:r>
      </m:oMath>
      <w:r>
        <w:t xml:space="preserve"> </w:t>
      </w:r>
      <w:r>
        <w:t xml:space="preserve">remains approximately flat and near unity throughout the quiet window, indicating successful identification and removal of selection-induced depletion curvature, and deviates from unity only during the treatment window, in the correct direction and with magnitude consistent with the injected effect (harm or benefit). This behavior holds across multiple effect shapes (step, ramp, smooth pulse) and effect magnitudes.</w:t>
      </w:r>
    </w:p>
    <w:p>
      <w:pPr>
        <w:pStyle w:val="BodyText"/>
      </w:pPr>
      <w:r>
        <w:t xml:space="preserve">Importantly, S7 also includes an intentional violation of temporal separability in which the treatment window overlaps the quiet window. In this overlap variant, KCOR trajectories no longer stabilize during the nominal quiet period, and fit diagnostics degrade (Figure 13), including increased cumulative-hazard fit error and reduced post-normalization linearity. In these cases, KCOR does not produce a spurious treatment signal; instead, diagnostics correctly indicate that the assumptions required for interpretable normalization are violated.</w:t>
      </w:r>
    </w:p>
    <w:p>
      <w:pPr>
        <w:pStyle w:val="BodyText"/>
      </w:pPr>
      <w:r>
        <w:t xml:space="preserve">Together, these results demonstrate KCOR’s operating characteristics under joint selection and treatment dynamics: when selection-induced depletion and treatment effects are sufficiently separable in time, KCOR can disentangle the two mechanisms; when they are not, the method fails transparently via its diagnostics rather than silently misattributing curvature.</w:t>
      </w:r>
    </w:p>
    <w:p>
      <w:pPr>
        <w:pStyle w:val="BodyText"/>
      </w:pPr>
      <w:r>
        <w:t xml:space="preserve">The tail-sampling scenario is included because it can confound frailty-driven depletion with cohort construction in ways not captured by a single gamma frailty distribution. The goal is not to force KCOR to</w:t>
      </w:r>
      <w:r>
        <w:t xml:space="preserve"> </w:t>
      </w:r>
      <w:r>
        <w:t xml:space="preserve">‘succeed’</w:t>
      </w:r>
      <w:r>
        <w:t xml:space="preserve"> </w:t>
      </w:r>
      <w:r>
        <w:t xml:space="preserve">under arbitrary misspecification, but to quantify operating characteristics: when the gamma depletion model is misspecified, KCOR should either (i) remain approximately unbiased in later windows (if the misspecification is mild in cumulative-hazard geometry), or (ii) visibly degrade via its diagnostics (poor</w:t>
      </w:r>
      <w:r>
        <w:t xml:space="preserve"> </w:t>
      </w:r>
      <m:oMath>
        <m:r>
          <m:t>H</m:t>
        </m:r>
      </m:oMath>
      <w:r>
        <w:t xml:space="preserve">-space fit, post-normalization nonlinearity, parameter instability), flagging that depletion-neutralization is unreliable without model generalization.</w:t>
      </w:r>
    </w:p>
    <w:bookmarkStart w:id="121" w:name="fig:sim_grid_overview"/>
    <w:p>
      <w:pPr>
        <w:pStyle w:val="CaptionedFigure"/>
      </w:pPr>
      <w:r>
        <w:drawing>
          <wp:inline>
            <wp:extent cx="5334000" cy="4246345"/>
            <wp:effectExtent b="0" l="0" r="0" t="0"/>
            <wp:docPr descr="10" title="" id="119" name="Picture"/>
            <a:graphic>
              <a:graphicData uri="http://schemas.openxmlformats.org/drawingml/2006/picture">
                <pic:pic>
                  <pic:nvPicPr>
                    <pic:cNvPr descr="figures/fig_sim_grid_overview.png" id="120" name="Picture"/>
                    <pic:cNvPicPr>
                      <a:picLocks noChangeArrowheads="1" noChangeAspect="1"/>
                    </pic:cNvPicPr>
                  </pic:nvPicPr>
                  <pic:blipFill>
                    <a:blip r:embed="rId118"/>
                    <a:stretch>
                      <a:fillRect/>
                    </a:stretch>
                  </pic:blipFill>
                  <pic:spPr bwMode="auto">
                    <a:xfrm>
                      <a:off x="0" y="0"/>
                      <a:ext cx="5334000" cy="4246345"/>
                    </a:xfrm>
                    <a:prstGeom prst="rect">
                      <a:avLst/>
                    </a:prstGeom>
                    <a:noFill/>
                    <a:ln w="9525">
                      <a:noFill/>
                      <a:headEnd/>
                      <a:tailEnd/>
                    </a:ln>
                  </pic:spPr>
                </pic:pic>
              </a:graphicData>
            </a:graphic>
          </wp:inline>
        </w:drawing>
      </w:r>
    </w:p>
    <w:p>
      <w:pPr>
        <w:pStyle w:val="ImageCaption"/>
      </w:pPr>
      <w:r>
        <w:t xml:space="preserve">10</w:t>
      </w:r>
    </w:p>
    <w:bookmarkEnd w:id="121"/>
    <w:bookmarkStart w:id="125" w:name="fig:sim_grid_diagnostics"/>
    <w:p>
      <w:pPr>
        <w:pStyle w:val="CaptionedFigure"/>
      </w:pPr>
      <w:r>
        <w:drawing>
          <wp:inline>
            <wp:extent cx="5334000" cy="2491716"/>
            <wp:effectExtent b="0" l="0" r="0" t="0"/>
            <wp:docPr descr="11" title="" id="123" name="Picture"/>
            <a:graphic>
              <a:graphicData uri="http://schemas.openxmlformats.org/drawingml/2006/picture">
                <pic:pic>
                  <pic:nvPicPr>
                    <pic:cNvPr descr="figures/fig_sim_grid_diagnostics.png" id="124" name="Picture"/>
                    <pic:cNvPicPr>
                      <a:picLocks noChangeArrowheads="1" noChangeAspect="1"/>
                    </pic:cNvPicPr>
                  </pic:nvPicPr>
                  <pic:blipFill>
                    <a:blip r:embed="rId122"/>
                    <a:stretch>
                      <a:fillRect/>
                    </a:stretch>
                  </pic:blipFill>
                  <pic:spPr bwMode="auto">
                    <a:xfrm>
                      <a:off x="0" y="0"/>
                      <a:ext cx="5334000" cy="2491716"/>
                    </a:xfrm>
                    <a:prstGeom prst="rect">
                      <a:avLst/>
                    </a:prstGeom>
                    <a:noFill/>
                    <a:ln w="9525">
                      <a:noFill/>
                      <a:headEnd/>
                      <a:tailEnd/>
                    </a:ln>
                  </pic:spPr>
                </pic:pic>
              </a:graphicData>
            </a:graphic>
          </wp:inline>
        </w:drawing>
      </w:r>
    </w:p>
    <w:p>
      <w:pPr>
        <w:pStyle w:val="ImageCaption"/>
      </w:pPr>
      <w:r>
        <w:t xml:space="preserve">11</w:t>
      </w:r>
    </w:p>
    <w:bookmarkEnd w:id="125"/>
    <w:bookmarkStart w:id="129" w:name="fig:s7_overview"/>
    <w:p>
      <w:pPr>
        <w:pStyle w:val="CaptionedFigure"/>
      </w:pPr>
      <w:r>
        <w:drawing>
          <wp:inline>
            <wp:extent cx="5334000" cy="1389920"/>
            <wp:effectExtent b="0" l="0" r="0" t="0"/>
            <wp:docPr descr="12" title="" id="127" name="Picture"/>
            <a:graphic>
              <a:graphicData uri="http://schemas.openxmlformats.org/drawingml/2006/picture">
                <pic:pic>
                  <pic:nvPicPr>
                    <pic:cNvPr descr="figures/fig_s7_overview.png" id="128" name="Picture"/>
                    <pic:cNvPicPr>
                      <a:picLocks noChangeArrowheads="1" noChangeAspect="1"/>
                    </pic:cNvPicPr>
                  </pic:nvPicPr>
                  <pic:blipFill>
                    <a:blip r:embed="rId126"/>
                    <a:stretch>
                      <a:fillRect/>
                    </a:stretch>
                  </pic:blipFill>
                  <pic:spPr bwMode="auto">
                    <a:xfrm>
                      <a:off x="0" y="0"/>
                      <a:ext cx="5334000" cy="1389920"/>
                    </a:xfrm>
                    <a:prstGeom prst="rect">
                      <a:avLst/>
                    </a:prstGeom>
                    <a:noFill/>
                    <a:ln w="9525">
                      <a:noFill/>
                      <a:headEnd/>
                      <a:tailEnd/>
                    </a:ln>
                  </pic:spPr>
                </pic:pic>
              </a:graphicData>
            </a:graphic>
          </wp:inline>
        </w:drawing>
      </w:r>
    </w:p>
    <w:p>
      <w:pPr>
        <w:pStyle w:val="ImageCaption"/>
      </w:pPr>
      <w:r>
        <w:t xml:space="preserve">12</w:t>
      </w:r>
    </w:p>
    <w:bookmarkEnd w:id="129"/>
    <w:bookmarkStart w:id="133" w:name="fig:s7_diagnostics"/>
    <w:p>
      <w:pPr>
        <w:pStyle w:val="CaptionedFigure"/>
      </w:pPr>
      <w:r>
        <w:drawing>
          <wp:inline>
            <wp:extent cx="5334000" cy="4432289"/>
            <wp:effectExtent b="0" l="0" r="0" t="0"/>
            <wp:docPr descr="13" title="" id="131" name="Picture"/>
            <a:graphic>
              <a:graphicData uri="http://schemas.openxmlformats.org/drawingml/2006/picture">
                <pic:pic>
                  <pic:nvPicPr>
                    <pic:cNvPr descr="figures/fig_s7_diagnostics.png" id="132" name="Picture"/>
                    <pic:cNvPicPr>
                      <a:picLocks noChangeArrowheads="1" noChangeAspect="1"/>
                    </pic:cNvPicPr>
                  </pic:nvPicPr>
                  <pic:blipFill>
                    <a:blip r:embed="rId130"/>
                    <a:stretch>
                      <a:fillRect/>
                    </a:stretch>
                  </pic:blipFill>
                  <pic:spPr bwMode="auto">
                    <a:xfrm>
                      <a:off x="0" y="0"/>
                      <a:ext cx="5334000" cy="4432289"/>
                    </a:xfrm>
                    <a:prstGeom prst="rect">
                      <a:avLst/>
                    </a:prstGeom>
                    <a:noFill/>
                    <a:ln w="9525">
                      <a:noFill/>
                      <a:headEnd/>
                      <a:tailEnd/>
                    </a:ln>
                  </pic:spPr>
                </pic:pic>
              </a:graphicData>
            </a:graphic>
          </wp:inline>
        </w:drawing>
      </w:r>
    </w:p>
    <w:p>
      <w:pPr>
        <w:pStyle w:val="ImageCaption"/>
      </w:pPr>
      <w:r>
        <w:t xml:space="preserve">13</w:t>
      </w:r>
    </w:p>
    <w:bookmarkEnd w:id="133"/>
    <w:bookmarkEnd w:id="134"/>
    <w:bookmarkStart w:id="135" w:name="dynamic-hve-diagnostic-tests"/>
    <w:p>
      <w:pPr>
        <w:pStyle w:val="Heading3"/>
      </w:pPr>
      <w:r>
        <w:t xml:space="preserve">3.5 Dynamic HVE diagnostic tests</w:t>
      </w:r>
    </w:p>
    <w:p>
      <w:pPr>
        <w:pStyle w:val="FirstParagraph"/>
      </w:pPr>
      <w:r>
        <w:t xml:space="preserve">Dynamic HVE refers to transient hazard suppression immediately after enrollment driven by short-horizon selection around intervention timing (e.g., deferral during illness). It produces a characteristic early-time pattern: an abrupt early reduction in observed hazard that decays over several weeks and is not explained by stable depletion curvature.</w:t>
      </w:r>
    </w:p>
    <w:p>
      <w:pPr>
        <w:pStyle w:val="BodyText"/>
      </w:pPr>
      <w:r>
        <w:rPr>
          <w:b/>
          <w:bCs/>
        </w:rPr>
        <w:t xml:space="preserve">Empirical signature in multi-dose settings (diagnostic, not proof).</w:t>
      </w:r>
      <w:r>
        <w:t xml:space="preserve"> </w:t>
      </w:r>
      <w:r>
        <w:t xml:space="preserve">When multiple</w:t>
      </w:r>
      <w:r>
        <w:t xml:space="preserve"> </w:t>
      </w:r>
      <w:r>
        <w:t xml:space="preserve">‘treatment intensities’</w:t>
      </w:r>
      <w:r>
        <w:t xml:space="preserve"> </w:t>
      </w:r>
      <w:r>
        <w:t xml:space="preserve">exist (e.g., dose-2 and dose-3 cohorts defined at enrollment), dynamic HVE should affect adjacent-dose cohorts similarly at early times because both enrollments are subject to the same short-horizon deferral mechanisms. Therefore, if early post-enrollment curvature is dominated by dynamic HVE, then early-time deviations in KCOR(t) versus the same comparator should show similar transient shapes across adjacent-dose cohorts. Conversely, if early-time behavior differs substantially across adjacent-dose cohorts while post-normalization quiet-window linearity holds, it is less consistent with a single shared dynamic deferral artifact.</w:t>
      </w:r>
    </w:p>
    <w:p>
      <w:pPr>
        <w:pStyle w:val="BodyText"/>
      </w:pPr>
      <w:r>
        <w:rPr>
          <w:b/>
          <w:bCs/>
        </w:rPr>
        <w:t xml:space="preserve">Simulation check.</w:t>
      </w:r>
      <w:r>
        <w:t xml:space="preserve"> </w:t>
      </w:r>
      <w:r>
        <w:t xml:space="preserve">We include simulations where a transient early hazard suppression is injected around enrollment (multiplying hazard by factor</w:t>
      </w:r>
      <w:r>
        <w:t xml:space="preserve"> </w:t>
      </w:r>
      <m:oMath>
        <m:r>
          <m:t>q</m:t>
        </m:r>
        <m:r>
          <m:rPr>
            <m:sty m:val="p"/>
          </m:rPr>
          <m:t>&lt;</m:t>
        </m:r>
        <m:r>
          <m:t>1</m:t>
        </m:r>
      </m:oMath>
      <w:r>
        <w:t xml:space="preserve"> </w:t>
      </w:r>
      <w:r>
        <w:t xml:space="preserve">for weeks 0–S), separately from gamma frailty depletion, and confirm that (i) the effect is attenuated/removed by prespecified skip weeks, and (ii) remaining KCOR trajectories in later windows behave as expected under negative and positive controls.</w:t>
      </w:r>
    </w:p>
    <w:bookmarkEnd w:id="135"/>
    <w:bookmarkStart w:id="136" w:name="illustrative-non-covid-example-synthetic"/>
    <w:p>
      <w:pPr>
        <w:pStyle w:val="Heading3"/>
      </w:pPr>
      <w:r>
        <w:t xml:space="preserve">3.6 Illustrative non-COVID example (synthetic)</w:t>
      </w:r>
    </w:p>
    <w:p>
      <w:pPr>
        <w:pStyle w:val="FirstParagraph"/>
      </w:pPr>
      <w:r>
        <w:t xml:space="preserve">To emphasize that KCOR is not specific to COVID-19 vaccination, we include a synthetic illustration motivated by elective intervention timing. Consider two cohorts defined by the timing of an elective medical procedure, where short-term deferral during acute illness induces selection into the later-treated cohort. Although no treatment effect is present by construction, the observed cumulative hazards differ due to selection-induced depletion.</w:t>
      </w:r>
    </w:p>
    <w:p>
      <w:pPr>
        <w:pStyle w:val="BodyText"/>
      </w:pPr>
      <w:r>
        <w:t xml:space="preserve">Applying KCOR to this setting removes curvature attributable to depletion and yields a flat post-normalization trajectory, with KCOR</w:t>
      </w:r>
      <m:oMath>
        <m:r>
          <m:rPr>
            <m:sty m:val="p"/>
          </m:rPr>
          <m:t>(</m:t>
        </m:r>
        <m:r>
          <m:t>t</m:t>
        </m:r>
        <m:r>
          <m:rPr>
            <m:sty m:val="p"/>
          </m:rPr>
          <m:t>)</m:t>
        </m:r>
      </m:oMath>
      <w:r>
        <w:t xml:space="preserve"> </w:t>
      </w:r>
      <w:r>
        <w:t xml:space="preserve">asymptoting to unity as expected under the null. This example demonstrates that KCOR applies generally to retrospective cohort comparisons affected by selection-induced hazard curvature, independent of disease area or intervention type.</w:t>
      </w:r>
    </w:p>
    <w:bookmarkEnd w:id="136"/>
    <w:bookmarkEnd w:id="137"/>
    <w:bookmarkStart w:id="142" w:name="discussion"/>
    <w:p>
      <w:pPr>
        <w:pStyle w:val="Heading2"/>
      </w:pPr>
      <w:r>
        <w:t xml:space="preserve">4. Discussion</w:t>
      </w:r>
    </w:p>
    <w:p>
      <w:pPr>
        <w:pStyle w:val="FirstParagraph"/>
      </w:pPr>
      <w:r>
        <w:rPr>
          <w:b/>
          <w:bCs/>
        </w:rPr>
        <w:t xml:space="preserve">What KCOR does not provide</w:t>
      </w:r>
    </w:p>
    <w:p>
      <w:pPr>
        <w:pStyle w:val="BodyText"/>
      </w:pPr>
      <w:r>
        <w:t xml:space="preserve">KCOR is designed to resolve a specific and otherwise unaddressed failure mode in retrospective analyses—selection-induced depletion under latent heterogeneity. Accordingly, KCOR does</w:t>
      </w:r>
      <w:r>
        <w:t xml:space="preserve"> </w:t>
      </w:r>
      <w:r>
        <w:rPr>
          <w:b/>
          <w:bCs/>
        </w:rPr>
        <w:t xml:space="preserve">not</w:t>
      </w:r>
      <w:r>
        <w:t xml:space="preserve"> </w:t>
      </w:r>
      <w:r>
        <w:t xml:space="preserve">by itself provide:</w:t>
      </w:r>
    </w:p>
    <w:p>
      <w:pPr>
        <w:pStyle w:val="BodyText"/>
      </w:pPr>
      <w:r>
        <w:t xml:space="preserve">• Policy optimization or cost-benefit analysis</w:t>
      </w:r>
      <w:r>
        <w:t xml:space="preserve"> </w:t>
      </w:r>
      <w:r>
        <w:t xml:space="preserve">• Transportability of effects across populations without additional assumptions</w:t>
      </w:r>
      <w:r>
        <w:t xml:space="preserve"> </w:t>
      </w:r>
      <w:r>
        <w:t xml:space="preserve">• Identification under unmeasured time-varying confounding unrelated to depletion dynamics</w:t>
      </w:r>
    </w:p>
    <w:p>
      <w:pPr>
        <w:pStyle w:val="BodyText"/>
      </w:pPr>
      <w:r>
        <w:t xml:space="preserve">These limitations are intrinsic to the data constraints KCOR is designed to operate under and do not detract from its role as a depletion-neutralized cohort comparison system.</w:t>
      </w:r>
    </w:p>
    <w:bookmarkStart w:id="138" w:name="what-kcor-estimates"/>
    <w:p>
      <w:pPr>
        <w:pStyle w:val="Heading3"/>
      </w:pPr>
      <w:r>
        <w:t xml:space="preserve">4.1 What KCOR estimates</w:t>
      </w:r>
    </w:p>
    <w:p>
      <w:pPr>
        <w:pStyle w:val="FirstParagraph"/>
      </w:pPr>
      <w:r>
        <w:t xml:space="preserve">KCOR operates at a specific but critical layer of the retrospective inference stack: it both neutralizes selection-induced depletion dynamics and defines how the resulting depletion-neutralized hazards must be compared. The method’s strength is not the frailty inversion in isolation, but the fact that inversion, diagnostics, and cumulative comparison are mathematically and operationally coupled. Once cohorts are mapped into depletion-neutralized hazard space, KCOR</w:t>
      </w:r>
      <m:oMath>
        <m:r>
          <m:rPr>
            <m:sty m:val="p"/>
          </m:rPr>
          <m:t>(</m:t>
        </m:r>
        <m:r>
          <m:t>t</m:t>
        </m:r>
        <m:r>
          <m:rPr>
            <m:sty m:val="p"/>
          </m:rPr>
          <m:t>)</m:t>
        </m:r>
      </m:oMath>
      <w:r>
        <w:t xml:space="preserve"> </w:t>
      </w:r>
      <w:r>
        <w:t xml:space="preserve">directly answers whether one cohort experienced higher or lower cumulative event risk than another over follow-up, conditional on the stated assumptions. Stabilization of KCOR(t) following frailty normalization is not an assumption but a falsification test; failure to flatten indicates residual curvature or loss of identifiability, not a substantive cumulative effect. Interpreting normalized hazards without this comparison step discards the central inferential content of the method. Like all causal methods, KCOR relies on identifiable structure; its contribution is to make that structure explicit, testable, and diagnostically enforced rather than implicit. Accordingly, KCOR should not be interpreted as a standalone estimator of vaccine efficacy; it is a cumulative normalization-and-comparison framework whose causal interpretation depends on additional design assumptions, controls, and diagnostics. Whereas Cox regression infers treatment effects through fitted model coefficients, KCOR uses modeling only to normalize selection effects, allowing causal contrasts to be read directly from the adjusted data via cumulative hazard ratios. For infectious-disease vaccines, any plausible mortality effect is inherently time-local, occurring only during periods of pathogen circulation; the proportional hazards assumption therefore fails structurally, as a constant multiplicative effect over the entire follow-up is biologically implausible.</w:t>
      </w:r>
    </w:p>
    <w:p>
      <w:pPr>
        <w:pStyle w:val="BodyText"/>
      </w:pPr>
      <w:r>
        <w:t xml:space="preserve">As emphasized above, the frailty term is not causal and does not represent a treatment mechanism; it functions solely as a geometric normalization for selection-induced depletion.</w:t>
      </w:r>
    </w:p>
    <w:p>
      <w:pPr>
        <w:pStyle w:val="BodyText"/>
      </w:pPr>
      <w:r>
        <w:t xml:space="preserve">KCOR is a</w:t>
      </w:r>
      <w:r>
        <w:t xml:space="preserve"> </w:t>
      </w:r>
      <w:r>
        <w:rPr>
          <w:b/>
          <w:bCs/>
        </w:rPr>
        <w:t xml:space="preserve">cumulative</w:t>
      </w:r>
      <w:r>
        <w:t xml:space="preserve"> </w:t>
      </w:r>
      <w:r>
        <w:t xml:space="preserve">comparison of depletion-neutralized cumulative hazards; it does not estimate instantaneous hazard ratios. It is designed for settings where selection induces non-proportional hazards such that conventional proportional-hazards estimators can be difficult to interpret. A controlled synthetic null experiment (Section 2.11.1) shows that Cox regression can return statistically significant non-null hazard ratios solely from frailty-induced depletion—even when the true treatment effect is identically zero—whereas KCOR remains centered near unity with negligible post-normalization slope. We did not pursue model selection among Cox-based specifications (with or without frailty) because these models target instantaneous hazard ratios under proportional-hazards assumptions, whereas KCOR targets cumulative, depletion-neutralized outcomes; BIC comparisons across models with different estimands are therefore not informative for the question addressed here.</w:t>
      </w:r>
    </w:p>
    <w:p>
      <w:pPr>
        <w:pStyle w:val="BodyText"/>
      </w:pPr>
      <w:r>
        <w:t xml:space="preserve">Under the working assumptions that:</w:t>
      </w:r>
    </w:p>
    <w:p>
      <w:pPr>
        <w:pStyle w:val="Compact"/>
        <w:numPr>
          <w:ilvl w:val="0"/>
          <w:numId w:val="1019"/>
        </w:numPr>
      </w:pPr>
      <w:r>
        <w:t xml:space="preserve">selection-induced depletion dynamics can be estimated during quiet periods using a gamma-frailty mixture model, and</w:t>
      </w:r>
    </w:p>
    <w:p>
      <w:pPr>
        <w:pStyle w:val="Compact"/>
        <w:numPr>
          <w:ilvl w:val="0"/>
          <w:numId w:val="1019"/>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p>
      <w:pPr>
        <w:pStyle w:val="BodyText"/>
      </w:pPr>
      <w:r>
        <w:t xml:space="preserve">The observation that frailty correction is negligible for vaccinated cohorts but substantial for the unvaccinated cohort is not incidental. It reflects the asymmetric action of healthy-vaccinee selection, which concentrates lower-frailty individuals into vaccinated cohorts at enrollment while leaving the unvaccinated cohort heterogeneous. KCOR explicitly detects and removes this asymmetry by mapping cohorts into a depletion-neutralized comparison space rather than assuming proportional hazards.</w:t>
      </w:r>
    </w:p>
    <w:p>
      <w:pPr>
        <w:pStyle w:val="BodyText"/>
      </w:pPr>
      <w:r>
        <w:t xml:space="preserve">Because the normalization targets selection-induced depletion curvature, KCOR results alone do not justify claims about net lives saved or lost by a particular intervention. Such claims require (i) clearly specified causal estimands, (ii) validated control outcomes, (iii) sensitivity analyses for remaining time-varying selection mechanisms and external shocks, and (iv) preferably replication across settings and outcomes. Having established the behavior of KCOR and the failure modes of standard estimators under controlled conditions, we apply KCOR to complete national registry data from the Czech Republic in a companion analysis. Accordingly, this manuscript focuses on method definition, diagnostics, and operating characteristics; applied causal conclusions are deferred to separate intervention-specific analyses.</w:t>
      </w:r>
    </w:p>
    <w:p>
      <w:pPr>
        <w:pStyle w:val="BodyText"/>
      </w:pPr>
      <w:r>
        <w:t xml:space="preserve">Although cumulative hazards and survival functions are in one-to-one correspondence, KCOR operates in cumulative-hazard space because curvature induced by frailty depletion is additive and more readily diagnosed there. While survival-based summaries such as restricted mean survival time may be derived from normalized hazards, KCOR’s primary estimand remains cumulative by construction.</w:t>
      </w:r>
    </w:p>
    <w:bookmarkEnd w:id="138"/>
    <w:bookmarkStart w:id="139"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normalize away a specific confounding structure</w:t>
      </w:r>
      <w:r>
        <w:t xml:space="preserve">—selection-induced depletion dynamics—prior to comparison. Negative and positive controls are nevertheless central to validating the estimator’s behavior.</w:t>
      </w:r>
    </w:p>
    <w:p>
      <w:pPr>
        <w:pStyle w:val="BodyText"/>
      </w:pPr>
      <w:r>
        <w:t xml:space="preserve">This asymmetry helps explain why standard observational analyses often report large apparent mortality benefits during periods lacking a plausible causal mechanism: vaccinated cohorts are already selection-filtered, while unvaccinated hazards are suppressed by ongoing frailty depletion. Unadjusted comparisons therefore systematically understate unvaccinated baseline risk and exaggerate apparent benefit.</w:t>
      </w:r>
    </w:p>
    <w:bookmarkEnd w:id="139"/>
    <w:bookmarkStart w:id="140" w:name="practical-guidance-for-use"/>
    <w:p>
      <w:pPr>
        <w:pStyle w:val="Heading3"/>
      </w:pPr>
      <w:r>
        <w:t xml:space="preserve">4.3 Practical guidance for use</w:t>
      </w:r>
    </w:p>
    <w:p>
      <w:pPr>
        <w:pStyle w:val="FirstParagraph"/>
      </w:pPr>
      <w:r>
        <w:t xml:space="preserve">Recommended reporting includes:</w:t>
      </w:r>
    </w:p>
    <w:p>
      <w:pPr>
        <w:pStyle w:val="Compact"/>
        <w:numPr>
          <w:ilvl w:val="0"/>
          <w:numId w:val="1020"/>
        </w:numPr>
      </w:pPr>
      <w:r>
        <w:t xml:space="preserve">Enrollment definition and justification</w:t>
      </w:r>
    </w:p>
    <w:p>
      <w:pPr>
        <w:pStyle w:val="Compact"/>
        <w:numPr>
          <w:ilvl w:val="0"/>
          <w:numId w:val="1020"/>
        </w:numPr>
      </w:pPr>
      <w:r>
        <w:t xml:space="preserve">Risk set definitions and event-time binning</w:t>
      </w:r>
    </w:p>
    <w:p>
      <w:pPr>
        <w:pStyle w:val="Compact"/>
        <w:numPr>
          <w:ilvl w:val="0"/>
          <w:numId w:val="1020"/>
        </w:numPr>
      </w:pPr>
      <w:r>
        <w:t xml:space="preserve">Quiet-window definition and justification</w:t>
      </w:r>
    </w:p>
    <w:p>
      <w:pPr>
        <w:pStyle w:val="Compact"/>
        <w:numPr>
          <w:ilvl w:val="0"/>
          <w:numId w:val="1020"/>
        </w:numPr>
      </w:pPr>
      <w:r>
        <w:t xml:space="preserve">Baseline-shape choice</w:t>
      </w:r>
      <w:r>
        <w:t xml:space="preserve"> </w:t>
      </w:r>
      <m:oMath>
        <m:r>
          <m:t>g</m:t>
        </m:r>
        <m:r>
          <m:rPr>
            <m:sty m:val="p"/>
          </m:rPr>
          <m:t>(</m:t>
        </m:r>
        <m:r>
          <m:t>t</m:t>
        </m:r>
        <m:r>
          <m:rPr>
            <m:sty m:val="p"/>
          </m:rPr>
          <m:t>)</m:t>
        </m:r>
      </m:oMath>
      <w:r>
        <w:t xml:space="preserve"> </w:t>
      </w:r>
      <w:r>
        <w:t xml:space="preserve">and fit diagnostics</w:t>
      </w:r>
    </w:p>
    <w:p>
      <w:pPr>
        <w:pStyle w:val="Compact"/>
        <w:numPr>
          <w:ilvl w:val="0"/>
          <w:numId w:val="1020"/>
        </w:numPr>
      </w:pPr>
      <w:r>
        <w:t xml:space="preserve">Skip/stabilization rule and robustness to nearby values</w:t>
      </w:r>
    </w:p>
    <w:p>
      <w:pPr>
        <w:pStyle w:val="Compact"/>
        <w:numPr>
          <w:ilvl w:val="0"/>
          <w:numId w:val="1020"/>
        </w:numPr>
      </w:pPr>
      <w:r>
        <w:t xml:space="preserve">Predefined negative/positive controls used for validation</w:t>
      </w:r>
    </w:p>
    <w:p>
      <w:pPr>
        <w:pStyle w:val="Compact"/>
        <w:numPr>
          <w:ilvl w:val="0"/>
          <w:numId w:val="1020"/>
        </w:numPr>
      </w:pPr>
      <w:r>
        <w:t xml:space="preserve">Sensitivity analysis plan and results</w:t>
      </w:r>
    </w:p>
    <w:p>
      <w:pPr>
        <w:pStyle w:val="FirstParagraph"/>
      </w:pPr>
      <w:r>
        <w:t xml:space="preserve">KCOR should therefore be applied and reported as a complete pipeline—from cohort freezing, through depletion normalization, to cumulative comparison and diagnostics—rather than as a standalone adjustment step.</w:t>
      </w:r>
    </w:p>
    <w:bookmarkEnd w:id="140"/>
    <w:bookmarkStart w:id="141" w:name="extension-to-other-outcomes"/>
    <w:p>
      <w:pPr>
        <w:pStyle w:val="Heading3"/>
      </w:pPr>
      <w:r>
        <w:t xml:space="preserve">4.4 Extension to other outcomes</w:t>
      </w:r>
    </w:p>
    <w:p>
      <w:pPr>
        <w:pStyle w:val="FirstParagraph"/>
      </w:pPr>
      <w:r>
        <w:t xml:space="preserve">Although this paper focuses on all-cause mortality, KCOR is applicable to other irreversible outcomes provided that event timing and risk sets are well defined. Application to cause-specific mortality requires careful consideration of competing risks and interpretation of cumulative hazards within cause-restricted populations. Extension to non-fatal outcomes such as hospitalization is conceptually straightforward but may require additional attention to outcome definitions, censoring mechanisms, and recurrent events. These considerations affect interpretation rather than the core KCOR framework.</w:t>
      </w:r>
    </w:p>
    <w:bookmarkEnd w:id="141"/>
    <w:bookmarkEnd w:id="142"/>
    <w:bookmarkStart w:id="146" w:name="limitations"/>
    <w:p>
      <w:pPr>
        <w:pStyle w:val="Heading2"/>
      </w:pPr>
      <w:r>
        <w:t xml:space="preserve">5. Limitations</w:t>
      </w:r>
    </w:p>
    <w:p>
      <w:pPr>
        <w:pStyle w:val="Compact"/>
        <w:numPr>
          <w:ilvl w:val="0"/>
          <w:numId w:val="1021"/>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21"/>
        </w:numPr>
      </w:pPr>
      <w:r>
        <w:rPr>
          <w:b/>
          <w:bCs/>
        </w:rPr>
        <w:t xml:space="preserve">θ estimation is data-driven</w:t>
      </w:r>
      <w:r>
        <w:t xml:space="preserve">: KCOR does not impose θ = 0 for any cohort. The frequent observation that</w:t>
      </w:r>
      <w:r>
        <w:t xml:space="preserve"> </w:t>
      </w:r>
      <m:oMath>
        <m:acc>
          <m:accPr>
            <m:chr m:val="̂"/>
          </m:accPr>
          <m:e>
            <m:r>
              <m:t>θ</m:t>
            </m:r>
          </m:e>
        </m:acc>
        <m:r>
          <m:rPr>
            <m:sty m:val="p"/>
          </m:rPr>
          <m:t>≈</m:t>
        </m:r>
        <m:r>
          <m:t>0</m:t>
        </m:r>
      </m:oMath>
      <w:r>
        <w:t xml:space="preserve"> </w:t>
      </w:r>
      <w:r>
        <w:t xml:space="preserve">for vaccinated cohorts is a data-driven result of the frailty fit and should not be interpreted as an assumption of homogeneity.</w:t>
      </w:r>
    </w:p>
    <w:p>
      <w:pPr>
        <w:pStyle w:val="Compact"/>
        <w:numPr>
          <w:ilvl w:val="0"/>
          <w:numId w:val="1021"/>
        </w:numPr>
      </w:pPr>
      <w:r>
        <w:rPr>
          <w:b/>
          <w:bCs/>
        </w:rPr>
        <w:t xml:space="preserve">Sparse events</w:t>
      </w:r>
      <w:r>
        <w:t xml:space="preserve">: When event counts are small, hazard estimation and parameter fitting can be unstable.</w:t>
      </w:r>
    </w:p>
    <w:p>
      <w:pPr>
        <w:pStyle w:val="Compact"/>
        <w:numPr>
          <w:ilvl w:val="0"/>
          <w:numId w:val="1021"/>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21"/>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p>
      <w:pPr>
        <w:pStyle w:val="Compact"/>
        <w:numPr>
          <w:ilvl w:val="0"/>
          <w:numId w:val="1021"/>
        </w:numPr>
      </w:pPr>
      <w:r>
        <w:rPr>
          <w:b/>
          <w:bCs/>
        </w:rPr>
        <w:t xml:space="preserve">Non-gamma frailty</w:t>
      </w:r>
      <w:r>
        <w:t xml:space="preserve">: The KCOR framework assumes that selection acts approximately multiplicatively through a time-invariant frailty distribution, for which the gamma family provides a convenient and empirically testable approximation. In settings where depletion dynamics are driven by more complex mechanisms—such as time-varying frailty variance, interacting risk factors, or shared frailty correlations within subgroups—the curvature structure exploited by KCOR may be misspecified. In such cases, KCOR diagnostics (e.g., poor curvature fit or unstable</w:t>
      </w:r>
      <w:r>
        <w:t xml:space="preserve"> </w:t>
      </w:r>
      <m:oMath>
        <m:acc>
          <m:accPr>
            <m:chr m:val="̂"/>
          </m:accPr>
          <m:e>
            <m:r>
              <m:t>θ</m:t>
            </m:r>
          </m:e>
        </m:acc>
      </m:oMath>
      <w:r>
        <w:t xml:space="preserve"> </w:t>
      </w:r>
      <w:r>
        <w:t xml:space="preserve">estimates) serve as indicators of model inadequacy rather than targets for parameter tuning. Extending the framework to accommodate dynamic or correlated frailty structures would require explicit model generalization rather than modification of KCOR normalization steps and is left to future work. Empirically, KCOR’s validity depends on curvature removal rather than the specific parametric form; alternative frailty distributions that generate similar depletion geometry would yield equivalent normalization.</w:t>
      </w:r>
    </w:p>
    <w:bookmarkStart w:id="143" w:name="X23cf99625f696e3debeff054e3876378086bb67"/>
    <w:p>
      <w:pPr>
        <w:pStyle w:val="Heading3"/>
      </w:pPr>
      <w:r>
        <w:t xml:space="preserve">5.1 Failure modes and diagnostics (recommended)</w:t>
      </w:r>
    </w:p>
    <w:p>
      <w:pPr>
        <w:pStyle w:val="FirstParagraph"/>
      </w:pPr>
      <w:r>
        <w:t xml:space="preserve">KCOR is designed to normalize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22"/>
        </w:numPr>
      </w:pPr>
      <w:r>
        <w:rPr>
          <w:b/>
          <w:bCs/>
        </w:rPr>
        <w:t xml:space="preserve">Mis-specified quiet window</w:t>
      </w:r>
      <w:r>
        <w:t xml:space="preserve">: If the quiet window overlaps major external shocks (epidemic waves, policy changes, reporting artifacts), the fitted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may absorb non-selection dynamics, biasing normalization.</w:t>
      </w:r>
    </w:p>
    <w:p>
      <w:pPr>
        <w:pStyle w:val="Compact"/>
        <w:numPr>
          <w:ilvl w:val="0"/>
          <w:numId w:val="1022"/>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 For example, COVID-19 waves disproportionately increase mortality among frail individuals; if one cohort has higher baseline frailty, such a wave can preferentially deplete that cohort, producing the appearance of a benefit in the lower-frailty cohort that is actually due to differential frailty-specific mortality from the external hazard rather than from the intervention under study.</w:t>
      </w:r>
    </w:p>
    <w:p>
      <w:pPr>
        <w:pStyle w:val="Compact"/>
        <w:numPr>
          <w:ilvl w:val="0"/>
          <w:numId w:val="1022"/>
        </w:numPr>
      </w:pPr>
      <w:r>
        <w:rPr>
          <w:b/>
          <w:bCs/>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becomes noisy and</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pStyle w:val="Compact"/>
        <w:numPr>
          <w:ilvl w:val="0"/>
          <w:numId w:val="1022"/>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23"/>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23"/>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under small perturbations of the quiet-window bounds.</w:t>
      </w:r>
    </w:p>
    <w:p>
      <w:pPr>
        <w:pStyle w:val="Compact"/>
        <w:numPr>
          <w:ilvl w:val="0"/>
          <w:numId w:val="1023"/>
        </w:numPr>
      </w:pPr>
      <w:r>
        <w:rPr>
          <w:b/>
          <w:bCs/>
        </w:rPr>
        <w:t xml:space="preserve">Sensitivity analyses</w:t>
      </w:r>
      <w:r>
        <w:t xml:space="preserve"> </w:t>
      </w:r>
      <w:r>
        <w:t xml:space="preserve">over plausible quiet windows and skip-weeks values.</w:t>
      </w:r>
    </w:p>
    <w:p>
      <w:pPr>
        <w:pStyle w:val="Compact"/>
        <w:numPr>
          <w:ilvl w:val="0"/>
          <w:numId w:val="1023"/>
        </w:numPr>
      </w:pPr>
      <w:r>
        <w:rPr>
          <w:b/>
          <w:bCs/>
        </w:rPr>
        <w:t xml:space="preserve">Prespecified negative controls</w:t>
      </w:r>
      <w:r>
        <w:t xml:space="preserve">: KCOR 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bookmarkEnd w:id="143"/>
    <w:bookmarkStart w:id="144" w:name="X929de8bcb6b1faa9f34cf3ef5eebe240c1ac45c"/>
    <w:p>
      <w:pPr>
        <w:pStyle w:val="Heading3"/>
      </w:pPr>
      <w:r>
        <w:t xml:space="preserve">5.2 Conservativeness and edge-case detection limits</w:t>
      </w:r>
    </w:p>
    <w:p>
      <w:pPr>
        <w:pStyle w:val="FirstParagraph"/>
      </w:pPr>
      <w:r>
        <w:t xml:space="preserve">Because KCOR compares fixed enrollment cohorts, subsequent uptake of the intervention among initially unexposed individuals (or additional dosing among exposed cohorts) introduces treatment crossover over time. Such crossover attenuates between-cohort contrasts and biases KCOR(t) toward unity, making the estimator conservative with respect to detecting sustained net benefit or harm. Analyses should therefore restrict follow-up to periods before substantial crossover or stratify by dosing state when the data permit.</w:t>
      </w:r>
    </w:p>
    <w:p>
      <w:pPr>
        <w:pStyle w:val="BodyText"/>
      </w:pPr>
      <w:r>
        <w:t xml:space="preserve">Because KCOR defines explicit diagnostic failure modes—instability, dose reversals, age incoherence, or absence of asymptotic convergence—the absence of such failures in the Czech 2021_24 Dose 0 versus Dose 2 cohorts provides stronger validation than goodness-of-fit alone.</w:t>
      </w:r>
    </w:p>
    <w:p>
      <w:pPr>
        <w:pStyle w:val="BodyText"/>
      </w:pPr>
      <w:r>
        <w:rPr>
          <w:b/>
          <w:bCs/>
        </w:rPr>
        <w:t xml:space="preserve">Conservativeness under overlap.</w:t>
      </w:r>
      <w:r>
        <w:br/>
      </w:r>
      <w:r>
        <w:t xml:space="preserve">When treatment effects overlap temporally with the quiet window used for frailty estimation, KCOR does not attribute the resulting curvature to treatment nor amplify it into a spurious cumulative effect. Instead, overlap manifests as degraded quiet-window fit, reduced post-normalization linearity, and instability of estimated frailty parameters, all of which are explicitly surfaced by KCOR’s diagnostics. In these regimes, KCOR trajectories tend to attenuate toward unity rather than diverge, reflecting loss of identifiability rather than false detection. This behavior is illustrated in the S7 overlap variant, where treatment and selection are deliberately confounded in time: KCOR does not recover a clean effect signal, and diagnostic criteria correctly indicate that the assumptions required for interpretable normalization are violated. As a result, KCOR is conservative under temporal overlap—preferring diagnostic failure and attenuation over over-interpretation—rather than producing misleading treatment effects when separability is not supported by the data. This design choice reflects an intentional bias toward false negatives rather than false positives in ambiguous regimes. See §2.1.1 and Simulation S7 (Appendix B.6) for the corresponding identifiability assumptions and stress tests.</w:t>
      </w:r>
    </w:p>
    <w:p>
      <w:pPr>
        <w:pStyle w:val="BodyText"/>
      </w:pPr>
      <w:r>
        <w:t xml:space="preserve">KCOR analyses commonly exclude an initial post-enrollment window to avoid dynamic Healthy Vaccinee Effect artifacts. If an intervention induces an acute mortality effect concentrated entirely within this skipped window, that transient signal will not be captured by the primary analysis. This limitation is addressed by reporting sensitivity analyses with reduced or zero skip-weeks and/or by separately evaluating a prespecified acute-risk window.</w:t>
      </w:r>
    </w:p>
    <w:p>
      <w:pPr>
        <w:pStyle w:val="BodyText"/>
      </w:pPr>
      <w:r>
        <w:t xml:space="preserve">In degenerate scenarios where an intervention induces a purely proportional level-shift in hazard that remains constant over time and does not alter depletion-driven curvature, KCOR’s curvature-based contrast may have limited ability to distinguish such effects from residual baseline level differences under minimal-data constraints. Such cases are pathological in the sense that they produce no detectable depletion signature; in practice, KCOR diagnostics and control tests help identify when curvature-based inference is not informative.</w:t>
      </w:r>
    </w:p>
    <w:p>
      <w:pPr>
        <w:pStyle w:val="BodyText"/>
      </w:pPr>
      <w:r>
        <w:t xml:space="preserve">Simulation results in §3.4 illustrate that when key assumptions are violated—such as non-gamma frailty geometry, contamination of the quiet window by external shocks, or extreme event sparsity—frailty normalization may become weakly identified. In such regimes, KCOR’s diagnostics, including poor cumulative-hazard fit and reduced post-normalization linearity, explicitly signal that curvature-based inference is unreliable without model generalization or revised window selection.</w:t>
      </w:r>
    </w:p>
    <w:p>
      <w:pPr>
        <w:pStyle w:val="BodyText"/>
      </w:pPr>
      <w:r>
        <w:t xml:space="preserve">Importantly, increasing model complexity within the Cox regression framework—via random effects, cohort-specific frailty, or information-criterion–based selection—does not resolve this limitation, because these models continue to target instantaneous hazard ratios conditional on survival rather than cumulative counterfactual outcomes. Model-selection criteria applied within the Cox regression family favor specifications that improve likelihood fit of instantaneous hazards, but such criteria do not validate cumulative counterfactual interpretation under selection-induced non-proportional hazards.</w:t>
      </w:r>
    </w:p>
    <w:bookmarkEnd w:id="144"/>
    <w:bookmarkStart w:id="145" w:name="X5f05abe0762c7ae0ab5904f62ce19850163a03c"/>
    <w:p>
      <w:pPr>
        <w:pStyle w:val="Heading3"/>
      </w:pPr>
      <w:r>
        <w:t xml:space="preserve">5.3 Data requirements and external validation</w:t>
      </w:r>
    </w:p>
    <w:p>
      <w:pPr>
        <w:pStyle w:val="FirstParagraph"/>
      </w:pPr>
      <w:r>
        <w:rPr>
          <w:b/>
          <w:bCs/>
        </w:rPr>
        <w:t xml:space="preserve">External validation across interventions.</w:t>
      </w:r>
      <w:r>
        <w:t xml:space="preserve"> </w:t>
      </w:r>
      <w:r>
        <w:t xml:space="preserve">A natural next step is to apply KCOR to other vaccines and interventions where large-scale individual-level event timing data are available. Many RCTs are underpowered for all-cause mortality and typically do not provide record-level timing needed for KCOR-style hazard-space normalization, while large observational studies often publish only aggregated effect estimates. Where sufficiently detailed time-to-event data exist (registries, integrated health systems, or open individual-level datasets), cross-intervention comparisons can help characterize how often selection-induced depletion dominates observed hazard curvature and how frequently post-normalization trajectories remain stable under negative controls.</w:t>
      </w:r>
    </w:p>
    <w:bookmarkEnd w:id="145"/>
    <w:bookmarkEnd w:id="146"/>
    <w:bookmarkStart w:id="147"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 KCOR relies on five explicit assumptions, of which only one requires substantive dataset-specific validation, and enforces these assumptions diagnostically rather than presuming them, allowing violations to be detected rather than absorbed into model-dependent estimates. Because standard methods for retrospective vaccine evaluation fail under non-proportional hazards and selection-induced depletion, KCOR provides a novel and practical alternative that operates on minimal individual-level information—dates of birth, intervention, and death—while remaining applicable to national registry data where richer covariates are unavailable or unreliable.</w:t>
      </w:r>
    </w:p>
    <w:bookmarkEnd w:id="147"/>
    <w:bookmarkStart w:id="158" w:name="declarations"/>
    <w:p>
      <w:pPr>
        <w:pStyle w:val="Heading2"/>
      </w:pPr>
      <w:r>
        <w:t xml:space="preserve">Declarations</w:t>
      </w:r>
    </w:p>
    <w:bookmarkStart w:id="148" w:name="Xd182db0490b2de20bd2b4e4cc8698599182035f"/>
    <w:p>
      <w:pPr>
        <w:pStyle w:val="Heading3"/>
      </w:pPr>
      <w:r>
        <w:t xml:space="preserve">Ethics approval and consent to participate</w:t>
      </w:r>
    </w:p>
    <w:p>
      <w:pPr>
        <w:pStyle w:val="FirstParagraph"/>
      </w:pPr>
      <w:r>
        <w:t xml:space="preserve">Not applicable. This is a methods-only manuscript. The primary validation results use synthetic data. Empirical negative-control figures (Figures 6 and 7) use aggregated cohort summaries derived from Czech Republic administrative data; no record-level data are shared in this manuscript.</w:t>
      </w:r>
      <w:r>
        <w:rPr>
          <w:vertAlign w:val="superscript"/>
        </w:rPr>
        <w:t xml:space="preserve">4</w:t>
      </w:r>
    </w:p>
    <w:bookmarkEnd w:id="148"/>
    <w:bookmarkStart w:id="149" w:name="consent-for-publication"/>
    <w:p>
      <w:pPr>
        <w:pStyle w:val="Heading3"/>
      </w:pPr>
      <w:r>
        <w:t xml:space="preserve">Consent for publication</w:t>
      </w:r>
    </w:p>
    <w:p>
      <w:pPr>
        <w:pStyle w:val="FirstParagraph"/>
      </w:pPr>
      <w:r>
        <w:t xml:space="preserve">Not applicable.</w:t>
      </w:r>
    </w:p>
    <w:bookmarkEnd w:id="149"/>
    <w:bookmarkStart w:id="150" w:name="data-availability"/>
    <w:p>
      <w:pPr>
        <w:pStyle w:val="Heading3"/>
      </w:pPr>
      <w:r>
        <w:t xml:space="preserve">Data availability</w:t>
      </w:r>
    </w:p>
    <w:p>
      <w:pPr>
        <w:pStyle w:val="Compact"/>
        <w:numPr>
          <w:ilvl w:val="0"/>
          <w:numId w:val="1024"/>
        </w:numPr>
      </w:pPr>
      <w:r>
        <w:t xml:space="preserve">Synthetic validation data (negative and positive control datasets) and generation scripts are available in the project repository under</w:t>
      </w:r>
      <w:r>
        <w:t xml:space="preserve"> </w:t>
      </w:r>
      <w:r>
        <w:rPr>
          <w:rStyle w:val="VerbatimChar"/>
        </w:rPr>
        <w:t xml:space="preserve">test/negative_control/</w:t>
      </w:r>
      <w:r>
        <w:t xml:space="preserve"> </w:t>
      </w:r>
      <w:r>
        <w:t xml:space="preserve">and</w:t>
      </w:r>
      <w:r>
        <w:t xml:space="preserve"> </w:t>
      </w:r>
      <w:r>
        <w:rPr>
          <w:rStyle w:val="VerbatimChar"/>
        </w:rPr>
        <w:t xml:space="preserve">test/positive_control/</w:t>
      </w:r>
      <w:r>
        <w:t xml:space="preserve">.</w:t>
      </w:r>
    </w:p>
    <w:p>
      <w:pPr>
        <w:pStyle w:val="Compact"/>
        <w:numPr>
          <w:ilvl w:val="0"/>
          <w:numId w:val="1024"/>
        </w:numPr>
      </w:pPr>
      <w:r>
        <w:t xml:space="preserve">Sensitivity analysis outputs are available under</w:t>
      </w:r>
      <w:r>
        <w:t xml:space="preserve"> </w:t>
      </w:r>
      <w:r>
        <w:rPr>
          <w:rStyle w:val="VerbatimChar"/>
        </w:rPr>
        <w:t xml:space="preserve">test/sensitivity/out/</w:t>
      </w:r>
      <w:r>
        <w:t xml:space="preserve">.</w:t>
      </w:r>
    </w:p>
    <w:p>
      <w:pPr>
        <w:pStyle w:val="Compact"/>
        <w:numPr>
          <w:ilvl w:val="0"/>
          <w:numId w:val="1024"/>
        </w:numPr>
      </w:pPr>
      <w:r>
        <w:t xml:space="preserve">The reference implementation includes example datasets in KCOR_CMR format for reproducibility.</w:t>
      </w:r>
    </w:p>
    <w:p>
      <w:pPr>
        <w:pStyle w:val="Compact"/>
        <w:numPr>
          <w:ilvl w:val="0"/>
          <w:numId w:val="1024"/>
        </w:numPr>
      </w:pPr>
      <w:r>
        <w:t xml:space="preserve">A formal specification of the KCOR data formats is provided in</w:t>
      </w:r>
      <w:r>
        <w:t xml:space="preserve"> </w:t>
      </w:r>
      <w:r>
        <w:rPr>
          <w:rStyle w:val="VerbatimChar"/>
        </w:rPr>
        <w:t xml:space="preserve">documentation/specs/KCOR_file_format.md</w:t>
      </w:r>
      <w:r>
        <w:t xml:space="preserve">, including schema definitions and disclosure-control semantics.</w:t>
      </w:r>
    </w:p>
    <w:bookmarkEnd w:id="150"/>
    <w:bookmarkStart w:id="153" w:name="code-availability"/>
    <w:p>
      <w:pPr>
        <w:pStyle w:val="Heading3"/>
      </w:pPr>
      <w:r>
        <w:t xml:space="preserve">Code availability</w:t>
      </w:r>
    </w:p>
    <w:p>
      <w:pPr>
        <w:pStyle w:val="Compact"/>
        <w:numPr>
          <w:ilvl w:val="0"/>
          <w:numId w:val="1025"/>
        </w:numPr>
      </w:pPr>
      <w:r>
        <w:t xml:space="preserve">The KCOR reference implementation and complete validation suite are available in the project repository.</w:t>
      </w:r>
    </w:p>
    <w:p>
      <w:pPr>
        <w:pStyle w:val="Compact"/>
        <w:numPr>
          <w:ilvl w:val="0"/>
          <w:numId w:val="1025"/>
        </w:numPr>
      </w:pPr>
      <w:r>
        <w:t xml:space="preserve">Repository URL:</w:t>
      </w:r>
      <w:r>
        <w:t xml:space="preserve"> </w:t>
      </w:r>
      <w:hyperlink r:id="rId151">
        <w:r>
          <w:rPr>
            <w:rStyle w:val="Hyperlink"/>
          </w:rPr>
          <w:t xml:space="preserve">https://github.com/skirsch/KCOR</w:t>
        </w:r>
      </w:hyperlink>
    </w:p>
    <w:p>
      <w:pPr>
        <w:pStyle w:val="Compact"/>
        <w:numPr>
          <w:ilvl w:val="0"/>
          <w:numId w:val="1025"/>
        </w:numPr>
      </w:pPr>
      <w:r>
        <w:t xml:space="preserve">Zenodo DOI:</w:t>
      </w:r>
      <w:r>
        <w:t xml:space="preserve"> </w:t>
      </w:r>
      <w:hyperlink r:id="rId152">
        <w:r>
          <w:rPr>
            <w:rStyle w:val="Hyperlink"/>
          </w:rPr>
          <w:t xml:space="preserve">10.5281/zenodo.18050329</w:t>
        </w:r>
      </w:hyperlink>
    </w:p>
    <w:bookmarkEnd w:id="153"/>
    <w:bookmarkStart w:id="154" w:name="competing-interests"/>
    <w:p>
      <w:pPr>
        <w:pStyle w:val="Heading3"/>
      </w:pPr>
      <w:r>
        <w:t xml:space="preserve">Competing interests</w:t>
      </w:r>
    </w:p>
    <w:p>
      <w:pPr>
        <w:pStyle w:val="FirstParagraph"/>
      </w:pPr>
      <w:r>
        <w:t xml:space="preserve">The author is a board member of the Vaccine Safety Research Foundation.</w:t>
      </w:r>
    </w:p>
    <w:bookmarkEnd w:id="154"/>
    <w:bookmarkStart w:id="155" w:name="funding"/>
    <w:p>
      <w:pPr>
        <w:pStyle w:val="Heading3"/>
      </w:pPr>
      <w:r>
        <w:t xml:space="preserve">Funding</w:t>
      </w:r>
    </w:p>
    <w:p>
      <w:pPr>
        <w:pStyle w:val="FirstParagraph"/>
      </w:pPr>
      <w:r>
        <w:t xml:space="preserve">This research received no external funding.</w:t>
      </w:r>
    </w:p>
    <w:bookmarkEnd w:id="155"/>
    <w:bookmarkStart w:id="156" w:name="authors-contributions"/>
    <w:p>
      <w:pPr>
        <w:pStyle w:val="Heading3"/>
      </w:pPr>
      <w:r>
        <w:t xml:space="preserve">Authors’ contributions</w:t>
      </w:r>
    </w:p>
    <w:p>
      <w:pPr>
        <w:pStyle w:val="FirstParagraph"/>
      </w:pPr>
      <w:r>
        <w:t xml:space="preserve">Steven T. Kirsch conceived the method, wrote the code, performed the analysis, and wrote the manuscript.</w:t>
      </w:r>
    </w:p>
    <w:bookmarkEnd w:id="156"/>
    <w:bookmarkStart w:id="157" w:name="acknowledgements"/>
    <w:p>
      <w:pPr>
        <w:pStyle w:val="Heading3"/>
      </w:pPr>
      <w:r>
        <w:t xml:space="preserve">Acknowledgements</w:t>
      </w:r>
    </w:p>
    <w:p>
      <w:pPr>
        <w:pStyle w:val="FirstParagraph"/>
      </w:pPr>
      <w:r>
        <w:t xml:space="preserve">The author thanks HART group chair Dr. Clare Craig for helpful discussions and methodological feedback during the development of this work. All errors remain the author’s responsibility.</w:t>
      </w:r>
    </w:p>
    <w:bookmarkEnd w:id="157"/>
    <w:bookmarkEnd w:id="158"/>
    <w:bookmarkStart w:id="167" w:name="references"/>
    <w:p>
      <w:pPr>
        <w:pStyle w:val="Heading2"/>
      </w:pPr>
      <w:r>
        <w:t xml:space="preserve">References</w:t>
      </w:r>
    </w:p>
    <w:bookmarkStart w:id="166" w:name="refs"/>
    <w:bookmarkStart w:id="160" w:name="ref-vaupel1979"/>
    <w:p>
      <w:pPr>
        <w:pStyle w:val="Bibliography"/>
      </w:pPr>
      <w:r>
        <w:t xml:space="preserve">1.</w:t>
      </w:r>
      <w:r>
        <w:t xml:space="preserve"> </w:t>
      </w:r>
      <w:r>
        <w:t xml:space="preserve">	</w:t>
      </w:r>
      <w:r>
        <w:t xml:space="preserve">Vaupel JW, Manton KG, Stallard E. The impact of heterogeneity in individual frailty on the dynamics of mortality.</w:t>
      </w:r>
      <w:r>
        <w:t xml:space="preserve"> </w:t>
      </w:r>
      <w:r>
        <w:rPr>
          <w:i/>
          <w:iCs/>
        </w:rPr>
        <w:t xml:space="preserve">Demography</w:t>
      </w:r>
      <w:r>
        <w:t xml:space="preserve">. 1979;16(3):439-454. doi:</w:t>
      </w:r>
      <w:hyperlink r:id="rId159">
        <w:r>
          <w:rPr>
            <w:rStyle w:val="Hyperlink"/>
          </w:rPr>
          <w:t xml:space="preserve">10.2307/2061224</w:t>
        </w:r>
      </w:hyperlink>
    </w:p>
    <w:bookmarkEnd w:id="160"/>
    <w:bookmarkStart w:id="162" w:name="ref-obel2024"/>
    <w:p>
      <w:pPr>
        <w:pStyle w:val="Bibliography"/>
      </w:pPr>
      <w:r>
        <w:t xml:space="preserve">2.</w:t>
      </w:r>
      <w:r>
        <w:t xml:space="preserve"> </w:t>
      </w:r>
      <w:r>
        <w:t xml:space="preserve">	</w:t>
      </w:r>
      <w:r>
        <w:t xml:space="preserve">Obel N, Fox M, Tetens M, et al. Confounding and</w:t>
      </w:r>
      <w:r>
        <w:t xml:space="preserve"> </w:t>
      </w:r>
      <w:r>
        <w:t xml:space="preserve">Negative Control Methods</w:t>
      </w:r>
      <w:r>
        <w:t xml:space="preserve"> </w:t>
      </w:r>
      <w:r>
        <w:t xml:space="preserve">in</w:t>
      </w:r>
      <w:r>
        <w:t xml:space="preserve"> </w:t>
      </w:r>
      <w:r>
        <w:t xml:space="preserve">Observational Study</w:t>
      </w:r>
      <w:r>
        <w:t xml:space="preserve"> </w:t>
      </w:r>
      <w:r>
        <w:t xml:space="preserve">of</w:t>
      </w:r>
      <w:r>
        <w:t xml:space="preserve"> </w:t>
      </w:r>
      <w:r>
        <w:t xml:space="preserve">SARS-CoV-2 Vaccine Effectiveness</w:t>
      </w:r>
      <w:r>
        <w:t xml:space="preserve">:</w:t>
      </w:r>
      <w:r>
        <w:t xml:space="preserve"> </w:t>
      </w:r>
      <w:r>
        <w:t xml:space="preserve">A Nationwide</w:t>
      </w:r>
      <w:r>
        <w:t xml:space="preserve">,</w:t>
      </w:r>
      <w:r>
        <w:t xml:space="preserve"> </w:t>
      </w:r>
      <w:r>
        <w:t xml:space="preserve">Population-Based Danish Health Registry Study</w:t>
      </w:r>
      <w:r>
        <w:t xml:space="preserve">.</w:t>
      </w:r>
      <w:r>
        <w:t xml:space="preserve"> </w:t>
      </w:r>
      <w:r>
        <w:rPr>
          <w:i/>
          <w:iCs/>
        </w:rPr>
        <w:t xml:space="preserve">Clinical Epidemiology</w:t>
      </w:r>
      <w:r>
        <w:t xml:space="preserve">. 2024;Volume 16:501-512. doi:</w:t>
      </w:r>
      <w:hyperlink r:id="rId161">
        <w:r>
          <w:rPr>
            <w:rStyle w:val="Hyperlink"/>
          </w:rPr>
          <w:t xml:space="preserve">10.2147/CLEP.S468572</w:t>
        </w:r>
      </w:hyperlink>
    </w:p>
    <w:bookmarkEnd w:id="162"/>
    <w:bookmarkStart w:id="164" w:name="ref-chemaitelly2025"/>
    <w:p>
      <w:pPr>
        <w:pStyle w:val="Bibliography"/>
      </w:pPr>
      <w:r>
        <w:t xml:space="preserve">3.</w:t>
      </w:r>
      <w:r>
        <w:t xml:space="preserve"> </w:t>
      </w:r>
      <w:r>
        <w:t xml:space="preserve">	</w:t>
      </w:r>
      <w:r>
        <w:t xml:space="preserve">Chemaitelly H, Ayoub HH, Coyle P, et al. Assessing healthy vaccinee effect in</w:t>
      </w:r>
      <w:r>
        <w:t xml:space="preserve"> </w:t>
      </w:r>
      <w:r>
        <w:t xml:space="preserve">COVID-19</w:t>
      </w:r>
      <w:r>
        <w:t xml:space="preserve"> </w:t>
      </w:r>
      <w:r>
        <w:t xml:space="preserve">vaccine effectiveness studies: A national cohort study in</w:t>
      </w:r>
      <w:r>
        <w:t xml:space="preserve"> </w:t>
      </w:r>
      <w:r>
        <w:t xml:space="preserve">Qatar</w:t>
      </w:r>
      <w:r>
        <w:t xml:space="preserve">. Schiffer JT, Henry D, eds.</w:t>
      </w:r>
      <w:r>
        <w:t xml:space="preserve"> </w:t>
      </w:r>
      <w:r>
        <w:rPr>
          <w:i/>
          <w:iCs/>
        </w:rPr>
        <w:t xml:space="preserve">eLife</w:t>
      </w:r>
      <w:r>
        <w:t xml:space="preserve">. 2025;14:e103690. doi:</w:t>
      </w:r>
      <w:hyperlink r:id="rId163">
        <w:r>
          <w:rPr>
            <w:rStyle w:val="Hyperlink"/>
          </w:rPr>
          <w:t xml:space="preserve">10.7554/eLife.103690</w:t>
        </w:r>
      </w:hyperlink>
    </w:p>
    <w:bookmarkEnd w:id="164"/>
    <w:bookmarkStart w:id="165" w:name="ref-sanca2024"/>
    <w:p>
      <w:pPr>
        <w:pStyle w:val="Bibliography"/>
      </w:pPr>
      <w:r>
        <w:t xml:space="preserve">4.</w:t>
      </w:r>
      <w:r>
        <w:t xml:space="preserve"> </w:t>
      </w:r>
      <w:r>
        <w:t xml:space="preserve">	</w:t>
      </w:r>
      <w:r>
        <w:t xml:space="preserve">Šanca O, Jarkovský J, Klimeš D, et al. Vaccination, positivity, hospitalization for</w:t>
      </w:r>
      <w:r>
        <w:t xml:space="preserve"> </w:t>
      </w:r>
      <w:r>
        <w:t xml:space="preserve">COVID-19</w:t>
      </w:r>
      <w:r>
        <w:t xml:space="preserve">, deaths, long covid and comorbidities in people in the</w:t>
      </w:r>
      <w:r>
        <w:t xml:space="preserve"> </w:t>
      </w:r>
      <w:r>
        <w:t xml:space="preserve">Czech Republic</w:t>
      </w:r>
      <w:r>
        <w:t xml:space="preserve">.</w:t>
      </w:r>
      <w:r>
        <w:t xml:space="preserve"> </w:t>
      </w:r>
      <w:r>
        <w:rPr>
          <w:i/>
          <w:iCs/>
        </w:rPr>
        <w:t xml:space="preserve">National Health Information Portal</w:t>
      </w:r>
      <w:r>
        <w:t xml:space="preserve">. Published online 2024.</w:t>
      </w:r>
    </w:p>
    <w:bookmarkEnd w:id="165"/>
    <w:bookmarkEnd w:id="166"/>
    <w:bookmarkEnd w:id="167"/>
    <w:bookmarkStart w:id="201" w:name="supplementary-material"/>
    <w:p>
      <w:pPr>
        <w:pStyle w:val="Heading2"/>
      </w:pPr>
      <w:r>
        <w:t xml:space="preserve">Supplementary material</w:t>
      </w:r>
    </w:p>
    <w:p>
      <w:pPr>
        <w:pStyle w:val="FirstParagraph"/>
      </w:pPr>
      <w:r>
        <w:t xml:space="preserve">Supplementary appendices provide mathematical derivations and full control-test specifications.</w:t>
      </w:r>
    </w:p>
    <w:bookmarkStart w:id="173" w:name="appendix-a.-mathematical-derivations"/>
    <w:p>
      <w:pPr>
        <w:pStyle w:val="Heading3"/>
      </w:pPr>
      <w:r>
        <w:t xml:space="preserve">Appendix A. Mathematical derivations</w:t>
      </w:r>
    </w:p>
    <w:bookmarkStart w:id="168" w:name="X949c457b8ec3518d2fcc001fd53881dea62bb28"/>
    <w:p>
      <w:pPr>
        <w:pStyle w:val="Heading4"/>
      </w:pPr>
      <w:r>
        <w:t xml:space="preserve">A.1 Frailty mixing induces hazard curvature</w:t>
      </w:r>
    </w:p>
    <w:p>
      <w:pPr>
        <w:pStyle w:val="FirstParagraph"/>
      </w:pPr>
      <w:r>
        <w:t xml:space="preserve">Consider a cohort where individual</w:t>
      </w:r>
      <w:r>
        <w:t xml:space="preserve"> </w:t>
      </w:r>
      <m:oMath>
        <m:r>
          <m:t>i</m:t>
        </m:r>
      </m:oMath>
      <w:r>
        <w:t xml:space="preserve"> </w:t>
      </w:r>
      <w:r>
        <w:t xml:space="preserve">has hazard</w:t>
      </w:r>
      <w:r>
        <w:t xml:space="preserve"> </w:t>
      </w: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oMath>
      <w:r>
        <w:t xml:space="preserve">, with frailty</w:t>
      </w:r>
      <w:r>
        <w:t xml:space="preserve"> </w:t>
      </w:r>
      <m:oMath>
        <m:sSub>
          <m:e>
            <m:r>
              <m:t>z</m:t>
            </m:r>
          </m:e>
          <m:sub>
            <m:r>
              <m:t>i</m:t>
            </m:r>
          </m:sub>
        </m:sSub>
      </m:oMath>
      <w:r>
        <w:t xml:space="preserve"> </w:t>
      </w:r>
      <w:r>
        <w:t xml:space="preserve">drawn from a distribution with mean 1 and variance</w:t>
      </w:r>
      <w:r>
        <w:t xml:space="preserve"> </w:t>
      </w:r>
      <m:oMath>
        <m:r>
          <m:t>θ</m:t>
        </m:r>
        <m:r>
          <m:rPr>
            <m:sty m:val="p"/>
          </m:rPr>
          <m:t>&gt;</m:t>
        </m:r>
        <m:r>
          <m:t>0</m:t>
        </m:r>
      </m:oMath>
      <w:r>
        <w:t xml:space="preserve">. Let</w:t>
      </w:r>
      <w:r>
        <w:t xml:space="preserve"> </w:t>
      </w:r>
      <m:oMath>
        <m:sSub>
          <m:e>
            <m:r>
              <m:t>S</m:t>
            </m:r>
          </m:e>
          <m:sub>
            <m:r>
              <m:t>i</m:t>
            </m:r>
          </m:sub>
        </m:sSub>
        <m:r>
          <m:rPr>
            <m:sty m:val="p"/>
          </m:rPr>
          <m:t>(</m:t>
        </m:r>
        <m:r>
          <m:t>t</m:t>
        </m:r>
        <m:r>
          <m:rPr>
            <m:sty m:val="p"/>
          </m:rPr>
          <m:t>)</m:t>
        </m:r>
        <m:r>
          <m:rPr>
            <m:sty m:val="p"/>
          </m:rPr>
          <m:t>=</m:t>
        </m:r>
        <m:r>
          <m:rPr>
            <m:sty m:val="p"/>
          </m:rPr>
          <m:t>exp</m:t>
        </m:r>
        <m:r>
          <m:rPr>
            <m:sty m:val="p"/>
          </m:rPr>
          <m:t>(</m:t>
        </m:r>
        <m:r>
          <m:rPr>
            <m:sty m:val="p"/>
          </m:rPr>
          <m:t>−</m:t>
        </m:r>
        <m:sSub>
          <m:e>
            <m:r>
              <m:t>z</m:t>
            </m:r>
          </m:e>
          <m:sub>
            <m:r>
              <m:t>i</m:t>
            </m:r>
          </m:sub>
        </m:sSub>
        <m:sSub>
          <m:e>
            <m:r>
              <m:t>H</m:t>
            </m:r>
          </m:e>
          <m:sub>
            <m:r>
              <m:t>0</m:t>
            </m:r>
          </m:sub>
        </m:sSub>
        <m:r>
          <m:rPr>
            <m:sty m:val="p"/>
          </m:rPr>
          <m:t>(</m:t>
        </m:r>
        <m:r>
          <m:t>t</m:t>
        </m:r>
        <m:r>
          <m:rPr>
            <m:sty m:val="p"/>
          </m:rPr>
          <m:t>)</m:t>
        </m:r>
        <m:r>
          <m:rPr>
            <m:sty m:val="p"/>
          </m:rPr>
          <m:t>)</m:t>
        </m:r>
      </m:oMath>
      <w:r>
        <w:t xml:space="preserve"> </w:t>
      </w:r>
      <w:r>
        <w:t xml:space="preserve">be the individual survival function, where</w:t>
      </w:r>
      <w:r>
        <w:t xml:space="preserve"> </w:t>
      </w:r>
      <m:oMath>
        <m:sSub>
          <m:e>
            <m:r>
              <m:t>H</m:t>
            </m:r>
          </m:e>
          <m:sub>
            <m:r>
              <m:t>0</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sub>
            </m:sSub>
          </m:e>
        </m:nary>
        <m:r>
          <m:rPr>
            <m:sty m:val="p"/>
          </m:rPr>
          <m:t>(</m:t>
        </m:r>
        <m:r>
          <m:t>s</m:t>
        </m:r>
        <m:r>
          <m:rPr>
            <m:sty m:val="p"/>
          </m:rPr>
          <m:t>)</m:t>
        </m:r>
        <m:r>
          <m:t> </m:t>
        </m:r>
        <m:r>
          <m:t>d</m:t>
        </m:r>
        <m:r>
          <m:t>s</m:t>
        </m:r>
      </m:oMath>
      <w:r>
        <w:t xml:space="preserve">.</w:t>
      </w:r>
    </w:p>
    <w:p>
      <w:pPr>
        <w:pStyle w:val="BodyText"/>
      </w:pPr>
      <w:r>
        <w:t xml:space="preserve">The cohort survival function is the expectation over frailty:</w:t>
      </w:r>
    </w:p>
    <w:p>
      <w:pPr>
        <w:pStyle w:val="BodyText"/>
      </w:pPr>
      <m:oMathPara>
        <m:oMathParaPr>
          <m:jc m:val="center"/>
        </m:oMathParaPr>
        <m:oMath>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sSub>
            <m:e>
              <m:r>
                <m:t>E</m:t>
              </m:r>
            </m:e>
            <m:sub>
              <m:r>
                <m:t>z</m:t>
              </m:r>
            </m:sub>
          </m:sSub>
          <m:r>
            <m:rPr>
              <m:sty m:val="p"/>
            </m:rPr>
            <m:t>[</m:t>
          </m:r>
          <m:sSub>
            <m:e>
              <m:r>
                <m:t>S</m:t>
              </m:r>
            </m:e>
            <m:sub>
              <m:r>
                <m:t>i</m:t>
              </m:r>
            </m:sub>
          </m:sSub>
          <m:r>
            <m:rPr>
              <m:sty m:val="p"/>
            </m:rPr>
            <m:t>(</m:t>
          </m:r>
          <m:r>
            <m:t>t</m:t>
          </m:r>
          <m:r>
            <m:rPr>
              <m:sty m:val="p"/>
            </m:rPr>
            <m:t>)</m:t>
          </m:r>
          <m:r>
            <m:rPr>
              <m:sty m:val="p"/>
            </m:rPr>
            <m:t>]</m:t>
          </m:r>
          <m:r>
            <m:rPr>
              <m:sty m:val="p"/>
            </m:rPr>
            <m:t>=</m:t>
          </m:r>
          <m:sSub>
            <m:e>
              <m:r>
                <m:t>E</m:t>
              </m:r>
            </m:e>
            <m:sub>
              <m:r>
                <m:t>z</m:t>
              </m:r>
            </m:sub>
          </m:sSub>
          <m:r>
            <m:rPr>
              <m:sty m:val="p"/>
            </m:rPr>
            <m:t>[</m:t>
          </m:r>
          <m:r>
            <m:rPr>
              <m:sty m:val="p"/>
            </m:rPr>
            <m:t>exp</m:t>
          </m:r>
          <m:r>
            <m:rPr>
              <m:sty m:val="p"/>
            </m:rPr>
            <m:t>(</m:t>
          </m:r>
          <m:r>
            <m:rPr>
              <m:sty m:val="p"/>
            </m:rPr>
            <m:t>−</m:t>
          </m:r>
          <m:r>
            <m:t>z</m:t>
          </m:r>
          <m:sSub>
            <m:e>
              <m:r>
                <m:t>H</m:t>
              </m:r>
            </m:e>
            <m:sub>
              <m:r>
                <m:t>0</m:t>
              </m:r>
            </m:sub>
          </m:sSub>
          <m:r>
            <m:rPr>
              <m:sty m:val="p"/>
            </m:rPr>
            <m:t>(</m:t>
          </m:r>
          <m:r>
            <m:t>t</m:t>
          </m:r>
          <m:r>
            <m:rPr>
              <m:sty m:val="p"/>
            </m:rPr>
            <m:t>)</m:t>
          </m:r>
          <m:r>
            <m:rPr>
              <m:sty m:val="p"/>
            </m:rPr>
            <m:t>)</m:t>
          </m:r>
          <m:r>
            <m:rPr>
              <m:sty m:val="p"/>
            </m:rPr>
            <m:t>]</m:t>
          </m:r>
          <m:r>
            <m:rPr>
              <m:sty m:val="p"/>
            </m:rPr>
            <m:t>=</m:t>
          </m:r>
          <m:sSub>
            <m:e>
              <m:r>
                <m:rPr>
                  <m:scr m:val="script"/>
                  <m:sty m:val="p"/>
                </m:rPr>
                <m:t>L</m:t>
              </m:r>
            </m:e>
            <m:sub>
              <m:r>
                <m:t>z</m:t>
              </m:r>
            </m:sub>
          </m:sSub>
          <m:r>
            <m:rPr>
              <m:sty m:val="p"/>
            </m:rPr>
            <m:t>(</m:t>
          </m:r>
          <m:sSub>
            <m:e>
              <m:r>
                <m:t>H</m:t>
              </m:r>
            </m:e>
            <m:sub>
              <m:r>
                <m:t>0</m:t>
              </m:r>
            </m:sub>
          </m:sSub>
          <m:r>
            <m:rPr>
              <m:sty m:val="p"/>
            </m:rPr>
            <m:t>(</m:t>
          </m:r>
          <m:r>
            <m:t>t</m:t>
          </m:r>
          <m:r>
            <m:rPr>
              <m:sty m:val="p"/>
            </m:rPr>
            <m:t>)</m:t>
          </m:r>
          <m:r>
            <m:rPr>
              <m:sty m:val="p"/>
            </m:rPr>
            <m:t>)</m:t>
          </m:r>
          <m:r>
            <m:rPr>
              <m:sty m:val="p"/>
            </m:rPr>
            <m:t>,</m:t>
          </m:r>
        </m:oMath>
      </m:oMathPara>
    </w:p>
    <w:p>
      <w:pPr>
        <w:pStyle w:val="FirstParagraph"/>
      </w:pPr>
      <w:r>
        <w:t xml:space="preserve">where</w:t>
      </w:r>
      <w:r>
        <w:t xml:space="preserve"> </w:t>
      </w:r>
      <m:oMath>
        <m:sSub>
          <m:e>
            <m:r>
              <m:rPr>
                <m:scr m:val="script"/>
                <m:sty m:val="p"/>
              </m:rPr>
              <m:t>L</m:t>
            </m:r>
          </m:e>
          <m:sub>
            <m:r>
              <m:t>z</m:t>
            </m:r>
          </m:sub>
        </m:sSub>
        <m:r>
          <m:rPr>
            <m:sty m:val="p"/>
          </m:rPr>
          <m:t>(</m:t>
        </m:r>
        <m:r>
          <m:rPr>
            <m:sty m:val="p"/>
          </m:rPr>
          <m:t>⋅</m:t>
        </m:r>
        <m:r>
          <m:rPr>
            <m:sty m:val="p"/>
          </m:rPr>
          <m:t>)</m:t>
        </m:r>
      </m:oMath>
      <w:r>
        <w:t xml:space="preserve"> </w:t>
      </w:r>
      <w:r>
        <w:t xml:space="preserve">is the Laplace transform of the frailty distribution. The cohort hazard is then:</w:t>
      </w:r>
    </w:p>
    <w:p>
      <w:pPr>
        <w:pStyle w:val="BodyText"/>
      </w:pPr>
      <m:oMathPara>
        <m:oMathParaPr>
          <m:jc m:val="center"/>
        </m:oMathParaPr>
        <m:oMath>
          <m:sSup>
            <m:e>
              <m:r>
                <m:t>h</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r>
            <m:rPr>
              <m:sty m:val="p"/>
            </m:rPr>
            <m:t>−</m:t>
          </m:r>
          <m:f>
            <m:fPr>
              <m:type m:val="bar"/>
            </m:fPr>
            <m:num>
              <m:r>
                <m:t>d</m:t>
              </m:r>
            </m:num>
            <m:den>
              <m:r>
                <m:t>d</m:t>
              </m:r>
              <m:r>
                <m:t>t</m:t>
              </m:r>
            </m:den>
          </m:f>
          <m:r>
            <m:rPr>
              <m:sty m:val="p"/>
            </m:rPr>
            <m:t>log</m:t>
          </m:r>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oMath>
      </m:oMathPara>
    </w:p>
    <w:p>
      <w:pPr>
        <w:pStyle w:val="FirstParagraph"/>
      </w:pPr>
      <w:r>
        <w:t xml:space="preserve">Even when</w:t>
      </w:r>
      <w:r>
        <w:t xml:space="preserve"> </w:t>
      </w:r>
      <m:oMath>
        <m:sSub>
          <m:e>
            <m:r>
              <m:t>h</m:t>
            </m:r>
          </m:e>
          <m:sub>
            <m:r>
              <m:t>0</m:t>
            </m:r>
          </m:sub>
        </m:sSub>
        <m:r>
          <m:rPr>
            <m:sty m:val="p"/>
          </m:rPr>
          <m:t>(</m:t>
        </m:r>
        <m:r>
          <m:t>t</m:t>
        </m:r>
        <m:r>
          <m:rPr>
            <m:sty m:val="p"/>
          </m:rPr>
          <m:t>)</m:t>
        </m:r>
        <m:r>
          <m:rPr>
            <m:sty m:val="p"/>
          </m:rPr>
          <m:t>=</m:t>
        </m:r>
        <m:r>
          <m:t>k</m:t>
        </m:r>
      </m:oMath>
      <w:r>
        <w:t xml:space="preserve"> </w:t>
      </w:r>
      <w:r>
        <w:t xml:space="preserve">is constant (so</w:t>
      </w:r>
      <w:r>
        <w:t xml:space="preserve"> </w:t>
      </w:r>
      <m:oMath>
        <m:sSub>
          <m:e>
            <m:r>
              <m:t>H</m:t>
            </m:r>
          </m:e>
          <m:sub>
            <m:r>
              <m:t>0</m:t>
            </m:r>
          </m:sub>
        </m:sSub>
        <m:r>
          <m:rPr>
            <m:sty m:val="p"/>
          </m:rPr>
          <m:t>(</m:t>
        </m:r>
        <m:r>
          <m:t>t</m:t>
        </m:r>
        <m:r>
          <m:rPr>
            <m:sty m:val="p"/>
          </m:rPr>
          <m:t>)</m:t>
        </m:r>
        <m:r>
          <m:rPr>
            <m:sty m:val="p"/>
          </m:rPr>
          <m:t>=</m:t>
        </m:r>
        <m:r>
          <m:t>k</m:t>
        </m:r>
        <m:r>
          <m:t>t</m:t>
        </m:r>
      </m:oMath>
      <w:r>
        <w:t xml:space="preserve">), the cohort hazard</w:t>
      </w:r>
      <w:r>
        <w:t xml:space="preserve"> </w:t>
      </w:r>
      <m:oMath>
        <m:sSup>
          <m:e>
            <m:r>
              <m:t>h</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oMath>
      <w:r>
        <w:t xml:space="preserve"> </w:t>
      </w:r>
      <w:r>
        <w:t xml:space="preserve">is generally time-varying because high-frailty individuals die earlier, shifting the surviving population toward lower frailty over time. This is the mechanism by which frailty heterogeneity induces</w:t>
      </w:r>
      <w:r>
        <w:t xml:space="preserve"> </w:t>
      </w:r>
      <w:r>
        <w:rPr>
          <w:b/>
          <w:bCs/>
        </w:rPr>
        <w:t xml:space="preserve">curvature</w:t>
      </w:r>
      <w:r>
        <w:t xml:space="preserve"> </w:t>
      </w:r>
      <w:r>
        <w:t xml:space="preserve">in cohort-level hazards.</w:t>
      </w:r>
    </w:p>
    <w:bookmarkEnd w:id="168"/>
    <w:bookmarkStart w:id="169" w:name="a.2-gamma-frailty-identity-derivation"/>
    <w:p>
      <w:pPr>
        <w:pStyle w:val="Heading4"/>
      </w:pPr>
      <w:r>
        <w:t xml:space="preserve">A.2 Gamma-frailty identity derivation</w:t>
      </w:r>
    </w:p>
    <w:p>
      <w:pPr>
        <w:pStyle w:val="FirstParagraph"/>
      </w:pPr>
      <w:r>
        <w:t xml:space="preserve">For gamma-distributed frailty</w:t>
      </w:r>
      <w:r>
        <w:t xml:space="preserve"> </w:t>
      </w:r>
      <m:oMath>
        <m:r>
          <m:t>z</m:t>
        </m:r>
        <m:r>
          <m:rPr>
            <m:sty m:val="p"/>
          </m:rPr>
          <m:t>∼</m:t>
        </m:r>
        <m:r>
          <m:rPr>
            <m:sty m:val="p"/>
          </m:rPr>
          <m:t>G</m:t>
        </m:r>
        <m:r>
          <m:rPr>
            <m:sty m:val="p"/>
          </m:rPr>
          <m:t>a</m:t>
        </m:r>
        <m:r>
          <m:rPr>
            <m:sty m:val="p"/>
          </m:rPr>
          <m:t>m</m:t>
        </m:r>
        <m:r>
          <m:rPr>
            <m:sty m:val="p"/>
          </m:rPr>
          <m:t>m</m:t>
        </m:r>
        <m:r>
          <m:rPr>
            <m:sty m:val="p"/>
          </m:rPr>
          <m:t>a</m:t>
        </m:r>
        <m:r>
          <m:rPr>
            <m:sty m:val="p"/>
          </m:rPr>
          <m:t>(</m:t>
        </m:r>
        <m:r>
          <m:t>α</m:t>
        </m:r>
        <m:r>
          <m:rPr>
            <m:sty m:val="p"/>
          </m:rPr>
          <m:t>=</m:t>
        </m:r>
        <m:r>
          <m:t>1</m:t>
        </m:r>
        <m:r>
          <m:rPr>
            <m:sty m:val="p"/>
          </m:rPr>
          <m:t>/</m:t>
        </m:r>
        <m:r>
          <m:t>θ</m:t>
        </m:r>
        <m:r>
          <m:rPr>
            <m:sty m:val="p"/>
          </m:rPr>
          <m:t>,</m:t>
        </m:r>
        <m:r>
          <m:t>β</m:t>
        </m:r>
        <m:r>
          <m:rPr>
            <m:sty m:val="p"/>
          </m:rPr>
          <m:t>=</m:t>
        </m:r>
        <m:r>
          <m:t>1</m:t>
        </m:r>
        <m:r>
          <m:rPr>
            <m:sty m:val="p"/>
          </m:rPr>
          <m:t>/</m:t>
        </m:r>
        <m:r>
          <m:t>θ</m:t>
        </m:r>
        <m:r>
          <m:rPr>
            <m:sty m:val="p"/>
          </m:rPr>
          <m:t>)</m:t>
        </m:r>
      </m:oMath>
      <w:r>
        <w:t xml:space="preserve"> </w:t>
      </w:r>
      <w:r>
        <w:t xml:space="preserve">with mean 1 and variance</w:t>
      </w:r>
      <w:r>
        <w:t xml:space="preserve"> </w:t>
      </w:r>
      <m:oMath>
        <m:r>
          <m:t>θ</m:t>
        </m:r>
      </m:oMath>
      <w:r>
        <w:t xml:space="preserve">, the Laplace transform is:</w:t>
      </w:r>
    </w:p>
    <w:p>
      <w:pPr>
        <w:pStyle w:val="BodyText"/>
      </w:pPr>
      <m:oMathPara>
        <m:oMathParaPr>
          <m:jc m:val="center"/>
        </m:oMathParaPr>
        <m:oMath>
          <m:sSub>
            <m:e>
              <m:r>
                <m:rPr>
                  <m:scr m:val="script"/>
                  <m:sty m:val="p"/>
                </m:rPr>
                <m:t>L</m:t>
              </m:r>
            </m:e>
            <m:sub>
              <m:r>
                <m:t>z</m:t>
              </m:r>
            </m:sub>
          </m:sSub>
          <m:r>
            <m:rPr>
              <m:sty m:val="p"/>
            </m:rPr>
            <m:t>(</m:t>
          </m:r>
          <m:r>
            <m:t>s</m:t>
          </m:r>
          <m:r>
            <m:rPr>
              <m:sty m:val="p"/>
            </m:rPr>
            <m:t>)</m:t>
          </m:r>
          <m:r>
            <m:rPr>
              <m:sty m:val="p"/>
            </m:rPr>
            <m:t>=</m:t>
          </m:r>
          <m:sSup>
            <m:e>
              <m:d>
                <m:dPr>
                  <m:begChr m:val="("/>
                  <m:sepChr m:val=""/>
                  <m:endChr m:val=")"/>
                  <m:grow/>
                </m:dPr>
                <m:e>
                  <m:r>
                    <m:t>1</m:t>
                  </m:r>
                  <m:r>
                    <m:rPr>
                      <m:sty m:val="p"/>
                    </m:rPr>
                    <m:t>+</m:t>
                  </m:r>
                  <m:r>
                    <m:t>θ</m:t>
                  </m:r>
                  <m:r>
                    <m:t>s</m:t>
                  </m:r>
                </m:e>
              </m:d>
            </m:e>
            <m:sup>
              <m:r>
                <m:rPr>
                  <m:sty m:val="p"/>
                </m:rPr>
                <m:t>−</m:t>
              </m:r>
              <m:r>
                <m:t>1</m:t>
              </m:r>
              <m:r>
                <m:rPr>
                  <m:sty m:val="p"/>
                </m:rPr>
                <m:t>/</m:t>
              </m:r>
              <m:r>
                <m:t>θ</m:t>
              </m:r>
            </m:sup>
          </m:sSup>
          <m:r>
            <m:rPr>
              <m:sty m:val="p"/>
            </m:rPr>
            <m:t>.</m:t>
          </m:r>
        </m:oMath>
      </m:oMathPara>
    </w:p>
    <w:p>
      <w:pPr>
        <w:pStyle w:val="FirstParagraph"/>
      </w:pPr>
      <w:r>
        <w:t xml:space="preserve">The cohort survival function becomes:</w:t>
      </w:r>
    </w:p>
    <w:p>
      <w:pPr>
        <w:pStyle w:val="BodyText"/>
      </w:pPr>
      <m:oMathPara>
        <m:oMathParaPr>
          <m:jc m:val="center"/>
        </m:oMathParaPr>
        <m:oMath>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sSup>
            <m:e>
              <m:d>
                <m:dPr>
                  <m:begChr m:val="("/>
                  <m:sepChr m:val=""/>
                  <m:endChr m:val=")"/>
                  <m:grow/>
                </m:dPr>
                <m:e>
                  <m:r>
                    <m:t>1</m:t>
                  </m:r>
                  <m:r>
                    <m:rPr>
                      <m:sty m:val="p"/>
                    </m:rPr>
                    <m:t>+</m:t>
                  </m:r>
                  <m:r>
                    <m:t>θ</m:t>
                  </m:r>
                  <m:sSub>
                    <m:e>
                      <m:r>
                        <m:t>H</m:t>
                      </m:r>
                    </m:e>
                    <m:sub>
                      <m:r>
                        <m:t>0</m:t>
                      </m:r>
                    </m:sub>
                  </m:sSub>
                  <m:r>
                    <m:rPr>
                      <m:sty m:val="p"/>
                    </m:rPr>
                    <m:t>(</m:t>
                  </m:r>
                  <m:r>
                    <m:t>t</m:t>
                  </m:r>
                  <m:r>
                    <m:rPr>
                      <m:sty m:val="p"/>
                    </m:rPr>
                    <m:t>)</m:t>
                  </m:r>
                </m:e>
              </m:d>
            </m:e>
            <m:sup>
              <m:r>
                <m:rPr>
                  <m:sty m:val="p"/>
                </m:rPr>
                <m:t>−</m:t>
              </m:r>
              <m:r>
                <m:t>1</m:t>
              </m:r>
              <m:r>
                <m:rPr>
                  <m:sty m:val="p"/>
                </m:rPr>
                <m:t>/</m:t>
              </m:r>
              <m:r>
                <m:t>θ</m:t>
              </m:r>
            </m:sup>
          </m:sSup>
          <m:r>
            <m:rPr>
              <m:sty m:val="p"/>
            </m:rPr>
            <m:t>.</m:t>
          </m:r>
        </m:oMath>
      </m:oMathPara>
    </w:p>
    <w:p>
      <w:pPr>
        <w:pStyle w:val="FirstParagraph"/>
      </w:pPr>
      <w:r>
        <w:t xml:space="preserve">The observed cumulative hazard is</w:t>
      </w:r>
      <w:r>
        <w:t xml:space="preserve"> </w:t>
      </w:r>
      <m:oMath>
        <m:sSup>
          <m:e>
            <m:r>
              <m:t>H</m:t>
            </m:r>
          </m:e>
          <m:sup>
            <m:r>
              <m:rPr>
                <m:sty m:val="p"/>
              </m:rPr>
              <m:t>o</m:t>
            </m:r>
            <m:r>
              <m:rPr>
                <m:sty m:val="p"/>
              </m:rPr>
              <m:t>b</m:t>
            </m:r>
            <m:r>
              <m:rPr>
                <m:sty m:val="p"/>
              </m:rPr>
              <m:t>s</m:t>
            </m:r>
          </m:sup>
        </m:sSup>
        <m:r>
          <m:rPr>
            <m:sty m:val="p"/>
          </m:rPr>
          <m:t>(</m:t>
        </m:r>
        <m:r>
          <m:t>t</m:t>
        </m:r>
        <m:r>
          <m:rPr>
            <m:sty m:val="p"/>
          </m:rPr>
          <m:t>)</m:t>
        </m:r>
        <m:r>
          <m:rPr>
            <m:sty m:val="p"/>
          </m:rPr>
          <m:t>=</m:t>
        </m:r>
        <m:r>
          <m:rPr>
            <m:sty m:val="p"/>
          </m:rPr>
          <m:t>−</m:t>
        </m:r>
        <m:r>
          <m:rPr>
            <m:sty m:val="p"/>
          </m:rPr>
          <m:t>log</m:t>
        </m:r>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oMath>
      <w:r>
        <w:t xml:space="preserve">, giving:</w:t>
      </w:r>
    </w:p>
    <w:p>
      <w:pPr>
        <w:pStyle w:val="BodyText"/>
      </w:pPr>
      <m:oMathPara>
        <m:oMathParaPr>
          <m:jc m:val="center"/>
        </m:oMathParaPr>
        <m:oMath>
          <m:sSup>
            <m:e>
              <m:r>
                <m:t>H</m:t>
              </m:r>
            </m:e>
            <m:sup>
              <m:r>
                <m:rPr>
                  <m:sty m:val="p"/>
                </m:rPr>
                <m:t>o</m:t>
              </m:r>
              <m:r>
                <m:rPr>
                  <m:sty m:val="p"/>
                </m:rPr>
                <m:t>b</m:t>
              </m:r>
              <m:r>
                <m:rPr>
                  <m:sty m:val="p"/>
                </m:rPr>
                <m:t>s</m:t>
              </m:r>
            </m:sup>
          </m:sSup>
          <m:r>
            <m:rPr>
              <m:sty m:val="p"/>
            </m:rPr>
            <m:t>(</m:t>
          </m:r>
          <m:r>
            <m:t>t</m:t>
          </m:r>
          <m:r>
            <m:rPr>
              <m:sty m:val="p"/>
            </m:rPr>
            <m:t>)</m:t>
          </m:r>
          <m:r>
            <m:rPr>
              <m:sty m:val="p"/>
            </m:rPr>
            <m:t>=</m:t>
          </m:r>
          <m:f>
            <m:fPr>
              <m:type m:val="bar"/>
            </m:fPr>
            <m:num>
              <m:r>
                <m:t>1</m:t>
              </m:r>
            </m:num>
            <m:den>
              <m:r>
                <m:t>θ</m:t>
              </m:r>
            </m:den>
          </m:f>
          <m:r>
            <m:rPr>
              <m:sty m:val="p"/>
            </m:rPr>
            <m:t>log</m:t>
          </m:r>
          <m:d>
            <m:dPr>
              <m:begChr m:val="("/>
              <m:sepChr m:val=""/>
              <m:endChr m:val=")"/>
              <m:grow/>
            </m:dPr>
            <m:e>
              <m:r>
                <m:t>1</m:t>
              </m:r>
              <m:r>
                <m:rPr>
                  <m:sty m:val="p"/>
                </m:rPr>
                <m:t>+</m:t>
              </m:r>
              <m:r>
                <m:t>θ</m:t>
              </m:r>
              <m:sSub>
                <m:e>
                  <m:r>
                    <m:t>H</m:t>
                  </m:r>
                </m:e>
                <m:sub>
                  <m:r>
                    <m:t>0</m:t>
                  </m:r>
                </m:sub>
              </m:sSub>
              <m:r>
                <m:rPr>
                  <m:sty m:val="p"/>
                </m:rPr>
                <m:t>(</m:t>
              </m:r>
              <m:r>
                <m:t>t</m:t>
              </m:r>
              <m:r>
                <m:rPr>
                  <m:sty m:val="p"/>
                </m:rPr>
                <m:t>)</m:t>
              </m:r>
            </m:e>
          </m:d>
          <m:r>
            <m:rPr>
              <m:sty m:val="p"/>
            </m:rPr>
            <m:t>.</m:t>
          </m:r>
        </m:oMath>
      </m:oMathPara>
    </w:p>
    <w:p>
      <w:pPr>
        <w:pStyle w:val="FirstParagraph"/>
      </w:pPr>
      <w:r>
        <w:t xml:space="preserve">This is the gamma-frailty identity (see Equation (5) in the main text).</w:t>
      </w:r>
    </w:p>
    <w:bookmarkEnd w:id="169"/>
    <w:bookmarkStart w:id="170" w:name="a.3-inversion-formula"/>
    <w:p>
      <w:pPr>
        <w:pStyle w:val="Heading4"/>
      </w:pPr>
      <w:r>
        <w:t xml:space="preserve">A.3 Inversion formula</w:t>
      </w:r>
    </w:p>
    <w:p>
      <w:pPr>
        <w:pStyle w:val="FirstParagraph"/>
      </w:pPr>
      <w:r>
        <w:t xml:space="preserve">Solving for</w:t>
      </w:r>
      <w:r>
        <w:t xml:space="preserve"> </w:t>
      </w:r>
      <m:oMath>
        <m:sSub>
          <m:e>
            <m:r>
              <m:t>H</m:t>
            </m:r>
          </m:e>
          <m:sub>
            <m:r>
              <m:t>0</m:t>
            </m:r>
          </m:sub>
        </m:sSub>
        <m:r>
          <m:rPr>
            <m:sty m:val="p"/>
          </m:rPr>
          <m:t>(</m:t>
        </m:r>
        <m:r>
          <m:t>t</m:t>
        </m:r>
        <m:r>
          <m:rPr>
            <m:sty m:val="p"/>
          </m:rPr>
          <m:t>)</m:t>
        </m:r>
      </m:oMath>
      <w:r>
        <w:t xml:space="preserve"> </w:t>
      </w:r>
      <w:r>
        <w:t xml:space="preserve">from the gamma-frailty identity:</w:t>
      </w:r>
    </w:p>
    <w:p>
      <w:pPr>
        <w:pStyle w:val="BodyText"/>
      </w:pPr>
      <m:oMathPara>
        <m:oMathParaPr>
          <m:jc m:val="center"/>
        </m:oMathParaPr>
        <m:oMath>
          <m:r>
            <m:t>θ</m:t>
          </m:r>
          <m:sSup>
            <m:e>
              <m:r>
                <m:t>H</m:t>
              </m:r>
            </m:e>
            <m:sup>
              <m:r>
                <m:rPr>
                  <m:sty m:val="p"/>
                </m:rPr>
                <m:t>o</m:t>
              </m:r>
              <m:r>
                <m:rPr>
                  <m:sty m:val="p"/>
                </m:rPr>
                <m:t>b</m:t>
              </m:r>
              <m:r>
                <m:rPr>
                  <m:sty m:val="p"/>
                </m:rPr>
                <m:t>s</m:t>
              </m:r>
            </m:sup>
          </m:sSup>
          <m:r>
            <m:rPr>
              <m:sty m:val="p"/>
            </m:rPr>
            <m:t>(</m:t>
          </m:r>
          <m:r>
            <m:t>t</m:t>
          </m:r>
          <m:r>
            <m:rPr>
              <m:sty m:val="p"/>
            </m:rPr>
            <m:t>)</m:t>
          </m:r>
          <m:r>
            <m:rPr>
              <m:sty m:val="p"/>
            </m:rPr>
            <m:t>=</m:t>
          </m:r>
          <m:r>
            <m:rPr>
              <m:sty m:val="p"/>
            </m:rPr>
            <m:t>log</m:t>
          </m:r>
          <m:d>
            <m:dPr>
              <m:begChr m:val="("/>
              <m:sepChr m:val=""/>
              <m:endChr m:val=")"/>
              <m:grow/>
            </m:dPr>
            <m:e>
              <m:r>
                <m:t>1</m:t>
              </m:r>
              <m:r>
                <m:rPr>
                  <m:sty m:val="p"/>
                </m:rPr>
                <m:t>+</m:t>
              </m:r>
              <m:r>
                <m:t>θ</m:t>
              </m:r>
              <m:sSub>
                <m:e>
                  <m:r>
                    <m:t>H</m:t>
                  </m:r>
                </m:e>
                <m:sub>
                  <m:r>
                    <m:t>0</m:t>
                  </m:r>
                </m:sub>
              </m:sSub>
              <m:r>
                <m:rPr>
                  <m:sty m:val="p"/>
                </m:rPr>
                <m:t>(</m:t>
              </m:r>
              <m:r>
                <m:t>t</m:t>
              </m:r>
              <m:r>
                <m:rPr>
                  <m:sty m:val="p"/>
                </m:rPr>
                <m:t>)</m:t>
              </m:r>
            </m:e>
          </m:d>
        </m:oMath>
      </m:oMathPara>
    </w:p>
    <w:p>
      <w:pPr>
        <w:pStyle w:val="FirstParagraph"/>
      </w:pPr>
      <m:oMathPara>
        <m:oMathParaPr>
          <m:jc m:val="center"/>
        </m:oMathParaPr>
        <m:oMath>
          <m:sSup>
            <m:e>
              <m:r>
                <m:t>e</m:t>
              </m:r>
            </m:e>
            <m:sup>
              <m:r>
                <m:t>θ</m:t>
              </m:r>
              <m:sSup>
                <m:e>
                  <m:r>
                    <m:t>H</m:t>
                  </m:r>
                </m:e>
                <m:sup>
                  <m:r>
                    <m:rPr>
                      <m:sty m:val="p"/>
                    </m:rPr>
                    <m:t>o</m:t>
                  </m:r>
                  <m:r>
                    <m:rPr>
                      <m:sty m:val="p"/>
                    </m:rPr>
                    <m:t>b</m:t>
                  </m:r>
                  <m:r>
                    <m:rPr>
                      <m:sty m:val="p"/>
                    </m:rPr>
                    <m:t>s</m:t>
                  </m:r>
                </m:sup>
              </m:sSup>
              <m:r>
                <m:rPr>
                  <m:sty m:val="p"/>
                </m:rPr>
                <m:t>(</m:t>
              </m:r>
              <m:r>
                <m:t>t</m:t>
              </m:r>
              <m:r>
                <m:rPr>
                  <m:sty m:val="p"/>
                </m:rPr>
                <m:t>)</m:t>
              </m:r>
            </m:sup>
          </m:sSup>
          <m:r>
            <m:rPr>
              <m:sty m:val="p"/>
            </m:rPr>
            <m:t>=</m:t>
          </m:r>
          <m:r>
            <m:t>1</m:t>
          </m:r>
          <m:r>
            <m:rPr>
              <m:sty m:val="p"/>
            </m:rPr>
            <m:t>+</m:t>
          </m:r>
          <m:r>
            <m:t>θ</m:t>
          </m:r>
          <m:sSub>
            <m:e>
              <m:r>
                <m:t>H</m:t>
              </m:r>
            </m:e>
            <m:sub>
              <m:r>
                <m:t>0</m:t>
              </m:r>
            </m:sub>
          </m:sSub>
          <m:r>
            <m:rPr>
              <m:sty m:val="p"/>
            </m:rPr>
            <m:t>(</m:t>
          </m:r>
          <m:r>
            <m:t>t</m:t>
          </m:r>
          <m:r>
            <m:rPr>
              <m:sty m:val="p"/>
            </m:rPr>
            <m:t>)</m:t>
          </m:r>
        </m:oMath>
      </m:oMathPara>
    </w:p>
    <w:p>
      <w:pPr>
        <w:pStyle w:val="FirstParagraph"/>
      </w:pPr>
      <m:oMathPara>
        <m:oMathParaPr>
          <m:jc m:val="center"/>
        </m:oMathParaPr>
        <m:oMath>
          <m:sSub>
            <m:e>
              <m:r>
                <m:t>H</m:t>
              </m:r>
            </m:e>
            <m:sub>
              <m:r>
                <m:t>0</m:t>
              </m:r>
            </m:sub>
          </m:sSub>
          <m:r>
            <m:rPr>
              <m:sty m:val="p"/>
            </m:rPr>
            <m:t>(</m:t>
          </m:r>
          <m:r>
            <m:t>t</m:t>
          </m:r>
          <m:r>
            <m:rPr>
              <m:sty m:val="p"/>
            </m:rPr>
            <m:t>)</m:t>
          </m:r>
          <m:r>
            <m:rPr>
              <m:sty m:val="p"/>
            </m:rPr>
            <m:t>=</m:t>
          </m:r>
          <m:f>
            <m:fPr>
              <m:type m:val="bar"/>
            </m:fPr>
            <m:num>
              <m:sSup>
                <m:e>
                  <m:r>
                    <m:t>e</m:t>
                  </m:r>
                </m:e>
                <m:sup>
                  <m:r>
                    <m:t>θ</m:t>
                  </m:r>
                  <m:sSup>
                    <m:e>
                      <m:r>
                        <m:t>H</m:t>
                      </m:r>
                    </m:e>
                    <m:sup>
                      <m:r>
                        <m:rPr>
                          <m:sty m:val="p"/>
                        </m:rPr>
                        <m:t>o</m:t>
                      </m:r>
                      <m:r>
                        <m:rPr>
                          <m:sty m:val="p"/>
                        </m:rPr>
                        <m:t>b</m:t>
                      </m:r>
                      <m:r>
                        <m:rPr>
                          <m:sty m:val="p"/>
                        </m:rPr>
                        <m:t>s</m:t>
                      </m:r>
                    </m:sup>
                  </m:sSup>
                  <m:r>
                    <m:rPr>
                      <m:sty m:val="p"/>
                    </m:rPr>
                    <m:t>(</m:t>
                  </m:r>
                  <m:r>
                    <m:t>t</m:t>
                  </m:r>
                  <m:r>
                    <m:rPr>
                      <m:sty m:val="p"/>
                    </m:rPr>
                    <m:t>)</m:t>
                  </m:r>
                </m:sup>
              </m:sSup>
              <m:r>
                <m:rPr>
                  <m:sty m:val="p"/>
                </m:rPr>
                <m:t>−</m:t>
              </m:r>
              <m:r>
                <m:t>1</m:t>
              </m:r>
            </m:num>
            <m:den>
              <m:r>
                <m:t>θ</m:t>
              </m:r>
            </m:den>
          </m:f>
          <m:r>
            <m:rPr>
              <m:sty m:val="p"/>
            </m:rPr>
            <m:t>.</m:t>
          </m:r>
        </m:oMath>
      </m:oMathPara>
    </w:p>
    <w:p>
      <w:pPr>
        <w:pStyle w:val="FirstParagraph"/>
      </w:pPr>
      <w:r>
        <w:t xml:space="preserve">This inversion recovers the baseline cumulative hazard from the observed cumulative hazard, conditional on the frailty variance</w:t>
      </w:r>
      <w:r>
        <w:t xml:space="preserve"> </w:t>
      </w:r>
      <m:oMath>
        <m:r>
          <m:t>θ</m:t>
        </m:r>
      </m:oMath>
      <w:r>
        <w:t xml:space="preserve">.</w:t>
      </w:r>
    </w:p>
    <w:bookmarkEnd w:id="170"/>
    <w:bookmarkStart w:id="171" w:name="Xe62053e88c74ce3ce1f921b859f3d7be836aade"/>
    <w:p>
      <w:pPr>
        <w:pStyle w:val="Heading4"/>
      </w:pPr>
      <w:r>
        <w:t xml:space="preserve">A.3a Relationship to the Vaupel–Manton–Stallard gamma frailty framework</w:t>
      </w:r>
    </w:p>
    <w:p>
      <w:pPr>
        <w:pStyle w:val="FirstParagraph"/>
      </w:pPr>
      <w:r>
        <w:t xml:space="preserve">KCOR’s normalization step is grounded in the classical demographic frailty framework (e.g., Vaupel–Manton–Stallard), in which individual hazards are multiplicatively scaled by latent frailty and cohort-level hazards decelerate due to depletion of susceptibles. Under gamma frailty, the Laplace-transform identity yields a closed-form relationship between observed cohort cumulative hazard and baseline cumulative hazard, and the inversion in §A.3 recovers the baseline cumulative hazard from observed cumulative hazards given</w:t>
      </w:r>
      <w:r>
        <w:t xml:space="preserve"> </w:t>
      </w:r>
      <m:oMath>
        <m:r>
          <m:t>θ</m:t>
        </m:r>
      </m:oMath>
      <w:r>
        <w:t xml:space="preserve">.</w:t>
      </w:r>
    </w:p>
    <w:p>
      <w:pPr>
        <w:pStyle w:val="BodyText"/>
      </w:pPr>
      <w:r>
        <w:t xml:space="preserve">The distinction in KCOR is not the frailty identity itself, but the</w:t>
      </w:r>
      <w:r>
        <w:t xml:space="preserve"> </w:t>
      </w:r>
      <w:r>
        <w:rPr>
          <w:b/>
          <w:bCs/>
        </w:rPr>
        <w:t xml:space="preserve">direction of inference</w:t>
      </w:r>
      <w:r>
        <w:t xml:space="preserve"> </w:t>
      </w:r>
      <w:r>
        <w:t xml:space="preserve">and the</w:t>
      </w:r>
      <w:r>
        <w:t xml:space="preserve"> </w:t>
      </w:r>
      <w:r>
        <w:rPr>
          <w:b/>
          <w:bCs/>
        </w:rPr>
        <w:t xml:space="preserve">estimand</w:t>
      </w:r>
      <w:r>
        <w:t xml:space="preserve">. Frailty-augmented Cox and related regression approaches embed gamma frailty within a regression model to estimate covariate effects (hazard ratios). KCOR instead uses quiet-window curvature to estimate cohort-specific frailty parameters and then inverts the frailty identity to obtain depletion-neutralized baseline cumulative hazards, defining KCOR as a ratio of these cumulative quantities. Thus, KCOR solves an inverse normalization problem and targets cumulative comparisons under selection-induced non-proportional hazards rather than instantaneous hazard-ratio regression parameters.</w:t>
      </w:r>
    </w:p>
    <w:bookmarkEnd w:id="171"/>
    <w:bookmarkStart w:id="172" w:name="a.4-variance-propagation-sketch"/>
    <w:p>
      <w:pPr>
        <w:pStyle w:val="Heading4"/>
      </w:pPr>
      <w:r>
        <w:t xml:space="preserve">A.4 Variance propagation (sketch)</w:t>
      </w:r>
    </w:p>
    <w:p>
      <w:pPr>
        <w:pStyle w:val="FirstParagraph"/>
      </w:pPr>
      <w:r>
        <w:t xml:space="preserve">For uncertainty quantification, variance in KCOR</w:t>
      </w:r>
      <m:oMath>
        <m:r>
          <m:rPr>
            <m:sty m:val="p"/>
          </m:rPr>
          <m:t>(</m:t>
        </m:r>
        <m:r>
          <m:t>t</m:t>
        </m:r>
        <m:r>
          <m:rPr>
            <m:sty m:val="p"/>
          </m:rPr>
          <m:t>)</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oMath>
      <w:r>
        <w:t xml:space="preserve"> </w:t>
      </w:r>
      <w:r>
        <w:t xml:space="preserve">can be approximated via the delta method. If</w:t>
      </w:r>
      <w:r>
        <w:t xml:space="preserve"> </w:t>
      </w:r>
      <m:oMath>
        <m:r>
          <m:rPr>
            <m:sty m:val="p"/>
          </m:rPr>
          <m:t>V</m:t>
        </m:r>
        <m:r>
          <m:rPr>
            <m:sty m:val="p"/>
          </m:rPr>
          <m:t>a</m:t>
        </m:r>
        <m:r>
          <m:rPr>
            <m:sty m:val="p"/>
          </m:rPr>
          <m:t>r</m:t>
        </m:r>
        <m:r>
          <m:rPr>
            <m:sty m:val="p"/>
          </m:rPr>
          <m:t>(</m:t>
        </m:r>
        <m:sSub>
          <m:e>
            <m:acc>
              <m:accPr>
                <m:chr m:val="̃"/>
              </m:accPr>
              <m:e>
                <m:r>
                  <m:t>H</m:t>
                </m:r>
              </m:e>
            </m:acc>
          </m:e>
          <m:sub>
            <m:r>
              <m:t>0</m:t>
            </m:r>
            <m:r>
              <m:rPr>
                <m:sty m:val="p"/>
              </m:rPr>
              <m:t>,</m:t>
            </m:r>
            <m:r>
              <m:t>d</m:t>
            </m:r>
          </m:sub>
        </m:sSub>
        <m:r>
          <m:rPr>
            <m:sty m:val="p"/>
          </m:rPr>
          <m:t>)</m:t>
        </m:r>
      </m:oMath>
      <w:r>
        <w:t xml:space="preserve"> </w:t>
      </w:r>
      <w:r>
        <w:t xml:space="preserve">is available (e.g., from bootstrap or analytic propagation through the inversion), then:</w:t>
      </w:r>
    </w:p>
    <w:p>
      <w:pPr>
        <w:pStyle w:val="BodyText"/>
      </w:pPr>
      <m:oMathPara>
        <m:oMathParaPr>
          <m:jc m:val="center"/>
        </m:oMathParaPr>
        <m:oMath>
          <m:r>
            <m:rPr>
              <m:sty m:val="p"/>
            </m:rPr>
            <m:t>V</m:t>
          </m:r>
          <m:r>
            <m:rPr>
              <m:sty m:val="p"/>
            </m:rPr>
            <m:t>a</m:t>
          </m:r>
          <m:r>
            <m:rPr>
              <m:sty m:val="p"/>
            </m:rPr>
            <m:t>r</m:t>
          </m:r>
          <m:r>
            <m:rPr>
              <m:sty m:val="p"/>
            </m:rPr>
            <m:t>(</m:t>
          </m:r>
          <m:r>
            <m:rPr>
              <m:sty m:val="p"/>
            </m:rPr>
            <m:t>K</m:t>
          </m:r>
          <m:r>
            <m:rPr>
              <m:sty m:val="p"/>
            </m:rPr>
            <m:t>C</m:t>
          </m:r>
          <m:r>
            <m:rPr>
              <m:sty m:val="p"/>
            </m:rPr>
            <m:t>O</m:t>
          </m:r>
          <m:r>
            <m:rPr>
              <m:sty m:val="p"/>
            </m:rPr>
            <m:t>R</m:t>
          </m:r>
          <m:r>
            <m:rPr>
              <m:sty m:val="p"/>
            </m:rPr>
            <m:t>)</m:t>
          </m:r>
          <m:r>
            <m:rPr>
              <m:sty m:val="p"/>
            </m:rPr>
            <m:t>≈</m:t>
          </m:r>
          <m:sSup>
            <m:e>
              <m:r>
                <m:rPr>
                  <m:sty m:val="p"/>
                </m:rPr>
                <m:t>K</m:t>
              </m:r>
              <m:r>
                <m:rPr>
                  <m:sty m:val="p"/>
                </m:rPr>
                <m:t>C</m:t>
              </m:r>
              <m:r>
                <m:rPr>
                  <m:sty m:val="p"/>
                </m:rPr>
                <m:t>O</m:t>
              </m:r>
              <m:r>
                <m:rPr>
                  <m:sty m:val="p"/>
                </m:rPr>
                <m:t>R</m:t>
              </m:r>
            </m:e>
            <m:sup>
              <m:r>
                <m:t>2</m:t>
              </m:r>
            </m:sup>
          </m:sSup>
          <m:d>
            <m:dPr>
              <m:begChr m:val="["/>
              <m:sepChr m:val=""/>
              <m:endChr m:val="]"/>
              <m:grow/>
            </m:dPr>
            <m:e>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A</m:t>
                      </m:r>
                    </m:sub>
                  </m:sSub>
                  <m:r>
                    <m:rPr>
                      <m:sty m:val="p"/>
                    </m:rPr>
                    <m:t>)</m:t>
                  </m:r>
                </m:num>
                <m:den>
                  <m:sSubSup>
                    <m:e>
                      <m:acc>
                        <m:accPr>
                          <m:chr m:val="̃"/>
                        </m:accPr>
                        <m:e>
                          <m:r>
                            <m:t>H</m:t>
                          </m:r>
                        </m:e>
                      </m:acc>
                    </m:e>
                    <m:sub>
                      <m:r>
                        <m:t>0</m:t>
                      </m:r>
                      <m:r>
                        <m:rPr>
                          <m:sty m:val="p"/>
                        </m:rPr>
                        <m:t>,</m:t>
                      </m:r>
                      <m:r>
                        <m:t>A</m:t>
                      </m:r>
                    </m:sub>
                    <m:sup>
                      <m:r>
                        <m:t>2</m:t>
                      </m:r>
                    </m:sup>
                  </m:sSubSup>
                </m:den>
              </m:f>
              <m:r>
                <m:rPr>
                  <m:sty m:val="p"/>
                </m:rPr>
                <m:t>+</m:t>
              </m:r>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B</m:t>
                      </m:r>
                    </m:sub>
                  </m:sSub>
                  <m:r>
                    <m:rPr>
                      <m:sty m:val="p"/>
                    </m:rPr>
                    <m:t>)</m:t>
                  </m:r>
                </m:num>
                <m:den>
                  <m:sSubSup>
                    <m:e>
                      <m:acc>
                        <m:accPr>
                          <m:chr m:val="̃"/>
                        </m:accPr>
                        <m:e>
                          <m:r>
                            <m:t>H</m:t>
                          </m:r>
                        </m:e>
                      </m:acc>
                    </m:e>
                    <m:sub>
                      <m:r>
                        <m:t>0</m:t>
                      </m:r>
                      <m:r>
                        <m:rPr>
                          <m:sty m:val="p"/>
                        </m:rPr>
                        <m:t>,</m:t>
                      </m:r>
                      <m:r>
                        <m:t>B</m:t>
                      </m:r>
                    </m:sub>
                    <m:sup>
                      <m:r>
                        <m:t>2</m:t>
                      </m:r>
                    </m:sup>
                  </m:sSubSup>
                </m:den>
              </m:f>
              <m:r>
                <m:rPr>
                  <m:sty m:val="p"/>
                </m:rPr>
                <m:t>−</m:t>
              </m:r>
              <m:r>
                <m:t>2</m:t>
              </m:r>
              <m:f>
                <m:fPr>
                  <m:type m:val="bar"/>
                </m:fPr>
                <m:num>
                  <m:r>
                    <m:rPr>
                      <m:sty m:val="p"/>
                    </m:rPr>
                    <m:t>C</m:t>
                  </m:r>
                  <m:r>
                    <m:rPr>
                      <m:sty m:val="p"/>
                    </m:rPr>
                    <m:t>o</m:t>
                  </m:r>
                  <m:r>
                    <m:rPr>
                      <m:sty m:val="p"/>
                    </m:rPr>
                    <m:t>v</m:t>
                  </m:r>
                  <m:r>
                    <m:rPr>
                      <m:sty m:val="p"/>
                    </m:rPr>
                    <m:t>(</m:t>
                  </m:r>
                  <m:sSub>
                    <m:e>
                      <m:acc>
                        <m:accPr>
                          <m:chr m:val="̃"/>
                        </m:accPr>
                        <m:e>
                          <m:r>
                            <m:t>H</m:t>
                          </m:r>
                        </m:e>
                      </m:acc>
                    </m:e>
                    <m:sub>
                      <m:r>
                        <m:t>0</m:t>
                      </m:r>
                      <m:r>
                        <m:rPr>
                          <m:sty m:val="p"/>
                        </m:rPr>
                        <m:t>,</m:t>
                      </m:r>
                      <m:r>
                        <m:t>A</m:t>
                      </m:r>
                    </m:sub>
                  </m:sSub>
                  <m:r>
                    <m:rPr>
                      <m:sty m:val="p"/>
                    </m:rPr>
                    <m:t>,</m:t>
                  </m:r>
                  <m:sSub>
                    <m:e>
                      <m:acc>
                        <m:accPr>
                          <m:chr m:val="̃"/>
                        </m:accPr>
                        <m:e>
                          <m:r>
                            <m:t>H</m:t>
                          </m:r>
                        </m:e>
                      </m:acc>
                    </m:e>
                    <m:sub>
                      <m:r>
                        <m:t>0</m:t>
                      </m:r>
                      <m:r>
                        <m:rPr>
                          <m:sty m:val="p"/>
                        </m:rPr>
                        <m:t>,</m:t>
                      </m:r>
                      <m:r>
                        <m:t>B</m:t>
                      </m:r>
                    </m:sub>
                  </m:sSub>
                  <m:r>
                    <m:rPr>
                      <m:sty m:val="p"/>
                    </m:rPr>
                    <m:t>)</m:t>
                  </m:r>
                </m:num>
                <m:den>
                  <m:sSub>
                    <m:e>
                      <m:acc>
                        <m:accPr>
                          <m:chr m:val="̃"/>
                        </m:accPr>
                        <m:e>
                          <m:r>
                            <m:t>H</m:t>
                          </m:r>
                        </m:e>
                      </m:acc>
                    </m:e>
                    <m:sub>
                      <m:r>
                        <m:t>0</m:t>
                      </m:r>
                      <m:r>
                        <m:rPr>
                          <m:sty m:val="p"/>
                        </m:rPr>
                        <m:t>,</m:t>
                      </m:r>
                      <m:r>
                        <m:t>A</m:t>
                      </m:r>
                    </m:sub>
                  </m:sSub>
                  <m:sSub>
                    <m:e>
                      <m:acc>
                        <m:accPr>
                          <m:chr m:val="̃"/>
                        </m:accPr>
                        <m:e>
                          <m:r>
                            <m:t>H</m:t>
                          </m:r>
                        </m:e>
                      </m:acc>
                    </m:e>
                    <m:sub>
                      <m:r>
                        <m:t>0</m:t>
                      </m:r>
                      <m:r>
                        <m:rPr>
                          <m:sty m:val="p"/>
                        </m:rPr>
                        <m:t>,</m:t>
                      </m:r>
                      <m:r>
                        <m:t>B</m:t>
                      </m:r>
                    </m:sub>
                  </m:sSub>
                </m:den>
              </m:f>
            </m:e>
          </m:d>
          <m:r>
            <m:rPr>
              <m:sty m:val="p"/>
            </m:rPr>
            <m:t>.</m:t>
          </m:r>
        </m:oMath>
      </m:oMathPara>
    </w:p>
    <w:p>
      <w:pPr>
        <w:pStyle w:val="FirstParagraph"/>
      </w:pPr>
      <w:r>
        <w:t xml:space="preserve">In practice, Monte Carlo resampling provides a more robust approach that captures uncertainty from both event realization and parameter estimation.</w:t>
      </w:r>
    </w:p>
    <w:bookmarkEnd w:id="172"/>
    <w:bookmarkEnd w:id="173"/>
    <w:bookmarkStart w:id="186" w:name="appendix-b.-control-test-specifications"/>
    <w:p>
      <w:pPr>
        <w:pStyle w:val="Heading3"/>
      </w:pPr>
      <w:r>
        <w:t xml:space="preserve">Appendix B. Control-test specifications</w:t>
      </w:r>
    </w:p>
    <w:bookmarkStart w:id="174" w:name="X2180becb792c7366d1a2d9abe674c7e8eb8a3b6"/>
    <w:p>
      <w:pPr>
        <w:pStyle w:val="Heading4"/>
      </w:pPr>
      <w:r>
        <w:t xml:space="preserve">B.1 Negative control: synthetic gamma-frailty null</w:t>
      </w:r>
    </w:p>
    <w:p>
      <w:pPr>
        <w:pStyle w:val="FirstParagraph"/>
      </w:pPr>
      <w:r>
        <w:t xml:space="preserve">The synthetic negative control (Figure 5) is generated using:</w:t>
      </w:r>
    </w:p>
    <w:p>
      <w:pPr>
        <w:pStyle w:val="Compact"/>
        <w:numPr>
          <w:ilvl w:val="0"/>
          <w:numId w:val="1026"/>
        </w:numPr>
      </w:pPr>
      <w:r>
        <w:rPr>
          <w:b/>
          <w:bCs/>
        </w:rPr>
        <w:t xml:space="preserve">Data source</w:t>
      </w:r>
      <w:r>
        <w:t xml:space="preserve">:</w:t>
      </w:r>
      <w:r>
        <w:t xml:space="preserve"> </w:t>
      </w:r>
      <w:r>
        <w:rPr>
          <w:rStyle w:val="VerbatimChar"/>
        </w:rPr>
        <w:t xml:space="preserve">example/Frail_cohort_mix.xlsx</w:t>
      </w:r>
      <w:r>
        <w:t xml:space="preserve"> </w:t>
      </w:r>
      <w:r>
        <w:t xml:space="preserve">(pathological frailty mixture)</w:t>
      </w:r>
    </w:p>
    <w:p>
      <w:pPr>
        <w:pStyle w:val="Compact"/>
        <w:numPr>
          <w:ilvl w:val="0"/>
          <w:numId w:val="1026"/>
        </w:numPr>
      </w:pPr>
      <w:r>
        <w:rPr>
          <w:b/>
          <w:bCs/>
        </w:rPr>
        <w:t xml:space="preserve">Generation script</w:t>
      </w:r>
      <w:r>
        <w:t xml:space="preserve">:</w:t>
      </w:r>
      <w:r>
        <w:t xml:space="preserve"> </w:t>
      </w:r>
      <w:r>
        <w:rPr>
          <w:rStyle w:val="VerbatimChar"/>
        </w:rPr>
        <w:t xml:space="preserve">code/generate_pathological_neg_control_figs.py</w:t>
      </w:r>
    </w:p>
    <w:p>
      <w:pPr>
        <w:pStyle w:val="Compact"/>
        <w:numPr>
          <w:ilvl w:val="0"/>
          <w:numId w:val="1026"/>
        </w:numPr>
      </w:pPr>
      <w:r>
        <w:rPr>
          <w:b/>
          <w:bCs/>
        </w:rPr>
        <w:t xml:space="preserve">Cohort A weights</w:t>
      </w:r>
      <w:r>
        <w:t xml:space="preserve">: Equal weights across 5 frailty groups (0.2 each)</w:t>
      </w:r>
    </w:p>
    <w:p>
      <w:pPr>
        <w:pStyle w:val="Compact"/>
        <w:numPr>
          <w:ilvl w:val="0"/>
          <w:numId w:val="1026"/>
        </w:numPr>
      </w:pPr>
      <w:r>
        <w:rPr>
          <w:b/>
          <w:bCs/>
        </w:rPr>
        <w:t xml:space="preserve">Cohort B weights</w:t>
      </w:r>
      <w:r>
        <w:t xml:space="preserve">: Shifted weights [0.30, 0.20, 0.20, 0.20, 0.10]</w:t>
      </w:r>
    </w:p>
    <w:p>
      <w:pPr>
        <w:pStyle w:val="Compact"/>
        <w:numPr>
          <w:ilvl w:val="0"/>
          <w:numId w:val="1026"/>
        </w:numPr>
      </w:pPr>
      <w:r>
        <w:rPr>
          <w:b/>
          <w:bCs/>
        </w:rPr>
        <w:t xml:space="preserve">Frailty values</w:t>
      </w:r>
      <w:r>
        <w:t xml:space="preserve">: [1, 2, 4, 6, 10] (relative frailty multipliers)</w:t>
      </w:r>
    </w:p>
    <w:p>
      <w:pPr>
        <w:pStyle w:val="Compact"/>
        <w:numPr>
          <w:ilvl w:val="0"/>
          <w:numId w:val="1026"/>
        </w:numPr>
      </w:pPr>
      <w:r>
        <w:rPr>
          <w:b/>
          <w:bCs/>
        </w:rPr>
        <w:t xml:space="preserve">Base weekly probability</w:t>
      </w:r>
      <w:r>
        <w:t xml:space="preserve">: 0.01</w:t>
      </w:r>
    </w:p>
    <w:p>
      <w:pPr>
        <w:pStyle w:val="Compact"/>
        <w:numPr>
          <w:ilvl w:val="0"/>
          <w:numId w:val="1026"/>
        </w:numPr>
      </w:pPr>
      <w:r>
        <w:rPr>
          <w:b/>
          <w:bCs/>
        </w:rPr>
        <w:t xml:space="preserve">Weekly log-slope</w:t>
      </w:r>
      <w:r>
        <w:t xml:space="preserve">: 0.0 (constant baseline during quiet periods)</w:t>
      </w:r>
    </w:p>
    <w:p>
      <w:pPr>
        <w:pStyle w:val="Compact"/>
        <w:numPr>
          <w:ilvl w:val="0"/>
          <w:numId w:val="1026"/>
        </w:numPr>
      </w:pPr>
      <w:r>
        <w:rPr>
          <w:b/>
          <w:bCs/>
        </w:rPr>
        <w:t xml:space="preserve">Skip weeks</w:t>
      </w:r>
      <w:r>
        <w:t xml:space="preserve">: 2</w:t>
      </w:r>
    </w:p>
    <w:p>
      <w:pPr>
        <w:pStyle w:val="Compact"/>
        <w:numPr>
          <w:ilvl w:val="0"/>
          <w:numId w:val="1026"/>
        </w:numPr>
      </w:pPr>
      <w:r>
        <w:rPr>
          <w:b/>
          <w:bCs/>
        </w:rPr>
        <w:t xml:space="preserve">Normalization weeks</w:t>
      </w:r>
      <w:r>
        <w:t xml:space="preserve">: 4</w:t>
      </w:r>
    </w:p>
    <w:p>
      <w:pPr>
        <w:pStyle w:val="Compact"/>
        <w:numPr>
          <w:ilvl w:val="0"/>
          <w:numId w:val="1026"/>
        </w:numPr>
      </w:pPr>
      <w:r>
        <w:rPr>
          <w:b/>
          <w:bCs/>
        </w:rPr>
        <w:t xml:space="preserve">Time horizon</w:t>
      </w:r>
      <w:r>
        <w:t xml:space="preserve">: 250 weeks</w:t>
      </w:r>
    </w:p>
    <w:p>
      <w:pPr>
        <w:pStyle w:val="FirstParagraph"/>
      </w:pPr>
      <w:r>
        <w:t xml:space="preserve">Both cohorts share identical per-frailty-group death probabilities; only the mixture weights differ. This induces different cohort-level curvature under the null.</w:t>
      </w:r>
    </w:p>
    <w:bookmarkEnd w:id="174"/>
    <w:bookmarkStart w:id="175" w:name="X6ca5a97e85e9ee460a15280db933ceb5c1ed112"/>
    <w:p>
      <w:pPr>
        <w:pStyle w:val="Heading4"/>
      </w:pPr>
      <w:r>
        <w:t xml:space="preserve">B.2 Negative control: empirical age-shift construction</w:t>
      </w:r>
    </w:p>
    <w:p>
      <w:pPr>
        <w:pStyle w:val="FirstParagraph"/>
      </w:pPr>
      <w:r>
        <w:t xml:space="preserve">The empirical negative control (Figures 6 and 7) is generated using:</w:t>
      </w:r>
    </w:p>
    <w:p>
      <w:pPr>
        <w:pStyle w:val="Compact"/>
        <w:numPr>
          <w:ilvl w:val="0"/>
          <w:numId w:val="1027"/>
        </w:numPr>
      </w:pPr>
      <w:r>
        <w:rPr>
          <w:b/>
          <w:bCs/>
        </w:rPr>
        <w:t xml:space="preserve">Data source</w:t>
      </w:r>
      <w:r>
        <w:t xml:space="preserve">: Czech Republic administrative mortality and vaccination data, aggregated into KCOR_CMR format</w:t>
      </w:r>
    </w:p>
    <w:p>
      <w:pPr>
        <w:pStyle w:val="Compact"/>
        <w:numPr>
          <w:ilvl w:val="0"/>
          <w:numId w:val="1027"/>
        </w:numPr>
      </w:pPr>
      <w:r>
        <w:rPr>
          <w:b/>
          <w:bCs/>
        </w:rPr>
        <w:t xml:space="preserve">Generation script</w:t>
      </w:r>
      <w:r>
        <w:t xml:space="preserve">:</w:t>
      </w:r>
      <w:r>
        <w:t xml:space="preserve"> </w:t>
      </w:r>
      <w:r>
        <w:rPr>
          <w:rStyle w:val="VerbatimChar"/>
        </w:rPr>
        <w:t xml:space="preserve">test/negative_control/code/generate_negative_control.py</w:t>
      </w:r>
    </w:p>
    <w:p>
      <w:pPr>
        <w:pStyle w:val="Compact"/>
        <w:numPr>
          <w:ilvl w:val="0"/>
          <w:numId w:val="1027"/>
        </w:numPr>
      </w:pPr>
      <w:r>
        <w:rPr>
          <w:b/>
          <w:bCs/>
        </w:rPr>
        <w:t xml:space="preserve">Construction</w:t>
      </w:r>
      <w:r>
        <w:t xml:space="preserve">: Age strata remapped to pseudo-doses within same vaccination category</w:t>
      </w:r>
    </w:p>
    <w:p>
      <w:pPr>
        <w:pStyle w:val="Compact"/>
        <w:numPr>
          <w:ilvl w:val="0"/>
          <w:numId w:val="1027"/>
        </w:numPr>
      </w:pPr>
      <w:r>
        <w:rPr>
          <w:b/>
          <w:bCs/>
        </w:rPr>
        <w:t xml:space="preserve">Age mapping</w:t>
      </w:r>
      <w:r>
        <w:t xml:space="preserve">:</w:t>
      </w:r>
    </w:p>
    <w:p>
      <w:pPr>
        <w:pStyle w:val="Compact"/>
        <w:numPr>
          <w:ilvl w:val="1"/>
          <w:numId w:val="1028"/>
        </w:numPr>
      </w:pPr>
      <w:r>
        <w:t xml:space="preserve">Dose 0 → YoB {1930, 1935}</w:t>
      </w:r>
    </w:p>
    <w:p>
      <w:pPr>
        <w:pStyle w:val="Compact"/>
        <w:numPr>
          <w:ilvl w:val="1"/>
          <w:numId w:val="1028"/>
        </w:numPr>
      </w:pPr>
      <w:r>
        <w:t xml:space="preserve">Dose 1 → YoB {1940, 1945}</w:t>
      </w:r>
    </w:p>
    <w:p>
      <w:pPr>
        <w:pStyle w:val="Compact"/>
        <w:numPr>
          <w:ilvl w:val="1"/>
          <w:numId w:val="1028"/>
        </w:numPr>
      </w:pPr>
      <w:r>
        <w:t xml:space="preserve">Dose 2 → YoB {1950, 1955}</w:t>
      </w:r>
    </w:p>
    <w:p>
      <w:pPr>
        <w:pStyle w:val="Compact"/>
        <w:numPr>
          <w:ilvl w:val="0"/>
          <w:numId w:val="1027"/>
        </w:numPr>
      </w:pPr>
      <w:r>
        <w:rPr>
          <w:b/>
          <w:bCs/>
        </w:rPr>
        <w:t xml:space="preserve">Output YoB</w:t>
      </w:r>
      <w:r>
        <w:t xml:space="preserve">: Fixed at 1950 (unvax cohort) or 1940 (vax cohort)</w:t>
      </w:r>
    </w:p>
    <w:p>
      <w:pPr>
        <w:pStyle w:val="Compact"/>
        <w:numPr>
          <w:ilvl w:val="0"/>
          <w:numId w:val="1027"/>
        </w:numPr>
      </w:pPr>
      <w:r>
        <w:rPr>
          <w:b/>
          <w:bCs/>
        </w:rPr>
        <w:t xml:space="preserve">Sheets processed</w:t>
      </w:r>
      <w:r>
        <w:t xml:space="preserve">: 2021_24, 2022_06</w:t>
      </w:r>
    </w:p>
    <w:p>
      <w:pPr>
        <w:pStyle w:val="FirstParagraph"/>
      </w:pPr>
      <w:r>
        <w:t xml:space="preserve">This construction ensures that dose comparisons are within the same underlying vaccination category, preserving a true null while inducing 10–20 year age differences.</w:t>
      </w:r>
    </w:p>
    <w:bookmarkEnd w:id="175"/>
    <w:bookmarkStart w:id="176" w:name="b.3-positive-control-injected-effect"/>
    <w:p>
      <w:pPr>
        <w:pStyle w:val="Heading4"/>
      </w:pPr>
      <w:r>
        <w:t xml:space="preserve">B.3 Positive control: injected effect</w:t>
      </w:r>
    </w:p>
    <w:p>
      <w:pPr>
        <w:pStyle w:val="FirstParagraph"/>
      </w:pPr>
      <w:r>
        <w:t xml:space="preserve">The positive control (Figure 8 and Table 10) is generated using:</w:t>
      </w:r>
    </w:p>
    <w:p>
      <w:pPr>
        <w:pStyle w:val="Compact"/>
        <w:numPr>
          <w:ilvl w:val="0"/>
          <w:numId w:val="1029"/>
        </w:numPr>
      </w:pPr>
      <w:r>
        <w:rPr>
          <w:b/>
          <w:bCs/>
        </w:rPr>
        <w:t xml:space="preserve">Generation script</w:t>
      </w:r>
      <w:r>
        <w:t xml:space="preserve">:</w:t>
      </w:r>
      <w:r>
        <w:t xml:space="preserve"> </w:t>
      </w:r>
      <w:r>
        <w:rPr>
          <w:rStyle w:val="VerbatimChar"/>
        </w:rPr>
        <w:t xml:space="preserve">test/positive_control/code/generate_positive_control.py</w:t>
      </w:r>
    </w:p>
    <w:p>
      <w:pPr>
        <w:pStyle w:val="Compact"/>
        <w:numPr>
          <w:ilvl w:val="0"/>
          <w:numId w:val="1029"/>
        </w:numPr>
      </w:pPr>
      <w:r>
        <w:rPr>
          <w:b/>
          <w:bCs/>
        </w:rPr>
        <w:t xml:space="preserve">Initial cohort size</w:t>
      </w:r>
      <w:r>
        <w:t xml:space="preserve">: 100,000 per cohort</w:t>
      </w:r>
    </w:p>
    <w:p>
      <w:pPr>
        <w:pStyle w:val="Compact"/>
        <w:numPr>
          <w:ilvl w:val="0"/>
          <w:numId w:val="1029"/>
        </w:numPr>
      </w:pPr>
      <w:r>
        <w:rPr>
          <w:b/>
          <w:bCs/>
        </w:rPr>
        <w:t xml:space="preserve">Baseline hazard</w:t>
      </w:r>
      <w:r>
        <w:t xml:space="preserve">: 0.002 per week</w:t>
      </w:r>
    </w:p>
    <w:p>
      <w:pPr>
        <w:pStyle w:val="Compact"/>
        <w:numPr>
          <w:ilvl w:val="0"/>
          <w:numId w:val="1029"/>
        </w:numPr>
      </w:pPr>
      <w:r>
        <w:rPr>
          <w:b/>
          <w:bCs/>
        </w:rPr>
        <w:t xml:space="preserve">Frailty variance</w:t>
      </w:r>
      <w:r>
        <w:t xml:space="preserve">:</w:t>
      </w:r>
      <w:r>
        <w:t xml:space="preserve"> </w:t>
      </w:r>
      <m:oMath>
        <m:sSub>
          <m:e>
            <m:r>
              <m:t>θ</m:t>
            </m:r>
          </m:e>
          <m:sub>
            <m:r>
              <m:t>0</m:t>
            </m:r>
          </m:sub>
        </m:sSub>
        <m:r>
          <m:rPr>
            <m:sty m:val="p"/>
          </m:rPr>
          <m:t>=</m:t>
        </m:r>
        <m:r>
          <m:t>0.5</m:t>
        </m:r>
      </m:oMath>
      <w:r>
        <w:t xml:space="preserve"> </w:t>
      </w:r>
      <w:r>
        <w:t xml:space="preserve">(control),</w:t>
      </w:r>
      <w:r>
        <w:t xml:space="preserve"> </w:t>
      </w:r>
      <m:oMath>
        <m:sSub>
          <m:e>
            <m:r>
              <m:t>θ</m:t>
            </m:r>
          </m:e>
          <m:sub>
            <m:r>
              <m:t>1</m:t>
            </m:r>
          </m:sub>
        </m:sSub>
        <m:r>
          <m:rPr>
            <m:sty m:val="p"/>
          </m:rPr>
          <m:t>=</m:t>
        </m:r>
        <m:r>
          <m:t>1.0</m:t>
        </m:r>
      </m:oMath>
      <w:r>
        <w:t xml:space="preserve"> </w:t>
      </w:r>
      <w:r>
        <w:t xml:space="preserve">(treatment)</w:t>
      </w:r>
    </w:p>
    <w:p>
      <w:pPr>
        <w:pStyle w:val="Compact"/>
        <w:numPr>
          <w:ilvl w:val="0"/>
          <w:numId w:val="1029"/>
        </w:numPr>
      </w:pPr>
      <w:r>
        <w:rPr>
          <w:b/>
          <w:bCs/>
        </w:rPr>
        <w:t xml:space="preserve">Effect window</w:t>
      </w:r>
      <w:r>
        <w:t xml:space="preserve">: weeks 20–80</w:t>
      </w:r>
    </w:p>
    <w:p>
      <w:pPr>
        <w:pStyle w:val="Compact"/>
        <w:numPr>
          <w:ilvl w:val="0"/>
          <w:numId w:val="1029"/>
        </w:numPr>
      </w:pPr>
      <w:r>
        <w:rPr>
          <w:b/>
          <w:bCs/>
        </w:rPr>
        <w:t xml:space="preserve">Hazard multipliers</w:t>
      </w:r>
      <w:r>
        <w:t xml:space="preserve">:</w:t>
      </w:r>
    </w:p>
    <w:p>
      <w:pPr>
        <w:pStyle w:val="Compact"/>
        <w:numPr>
          <w:ilvl w:val="1"/>
          <w:numId w:val="1030"/>
        </w:numPr>
      </w:pPr>
      <w:r>
        <w:t xml:space="preserve">Harm scenario:</w:t>
      </w:r>
      <w:r>
        <w:t xml:space="preserve"> </w:t>
      </w:r>
      <m:oMath>
        <m:r>
          <m:t>r</m:t>
        </m:r>
        <m:r>
          <m:rPr>
            <m:sty m:val="p"/>
          </m:rPr>
          <m:t>=</m:t>
        </m:r>
        <m:r>
          <m:t>1.2</m:t>
        </m:r>
      </m:oMath>
    </w:p>
    <w:p>
      <w:pPr>
        <w:pStyle w:val="Compact"/>
        <w:numPr>
          <w:ilvl w:val="1"/>
          <w:numId w:val="1030"/>
        </w:numPr>
      </w:pPr>
      <w:r>
        <w:t xml:space="preserve">Benefit scenario:</w:t>
      </w:r>
      <w:r>
        <w:t xml:space="preserve"> </w:t>
      </w:r>
      <m:oMath>
        <m:r>
          <m:t>r</m:t>
        </m:r>
        <m:r>
          <m:rPr>
            <m:sty m:val="p"/>
          </m:rPr>
          <m:t>=</m:t>
        </m:r>
        <m:r>
          <m:t>0.8</m:t>
        </m:r>
      </m:oMath>
    </w:p>
    <w:p>
      <w:pPr>
        <w:pStyle w:val="Compact"/>
        <w:numPr>
          <w:ilvl w:val="0"/>
          <w:numId w:val="1029"/>
        </w:numPr>
      </w:pPr>
      <w:r>
        <w:rPr>
          <w:b/>
          <w:bCs/>
        </w:rPr>
        <w:t xml:space="preserve">Random seed</w:t>
      </w:r>
      <w:r>
        <w:t xml:space="preserve">: 42</w:t>
      </w:r>
    </w:p>
    <w:p>
      <w:pPr>
        <w:pStyle w:val="Compact"/>
        <w:numPr>
          <w:ilvl w:val="0"/>
          <w:numId w:val="1029"/>
        </w:numPr>
      </w:pPr>
      <w:r>
        <w:rPr>
          <w:b/>
          <w:bCs/>
        </w:rPr>
        <w:t xml:space="preserve">Enrollment date</w:t>
      </w:r>
      <w:r>
        <w:t xml:space="preserve">: 2021-06-14 (ISO week 2021_24)</w:t>
      </w:r>
    </w:p>
    <w:p>
      <w:pPr>
        <w:pStyle w:val="FirstParagraph"/>
      </w:pPr>
      <w:r>
        <w:t xml:space="preserve">The injection multiplies the treatment cohort’s baseline hazard by factor</w:t>
      </w:r>
      <w:r>
        <w:t xml:space="preserve"> </w:t>
      </w:r>
      <m:oMath>
        <m:r>
          <m:t>r</m:t>
        </m:r>
      </m:oMath>
      <w:r>
        <w:t xml:space="preserve"> </w:t>
      </w:r>
      <w:r>
        <w:t xml:space="preserve">during the effect window, while leaving the control cohort unchanged.</w:t>
      </w:r>
    </w:p>
    <w:bookmarkEnd w:id="176"/>
    <w:bookmarkStart w:id="177" w:name="b.4-sensitivity-analysis-parameters"/>
    <w:p>
      <w:pPr>
        <w:pStyle w:val="Heading4"/>
      </w:pPr>
      <w:r>
        <w:t xml:space="preserve">B.4 Sensitivity analysis parameters</w:t>
      </w:r>
    </w:p>
    <w:p>
      <w:pPr>
        <w:pStyle w:val="FirstParagraph"/>
      </w:pPr>
      <w:r>
        <w:t xml:space="preserve">The sensitivity analysis (Figure 9) varies:</w:t>
      </w:r>
    </w:p>
    <w:p>
      <w:pPr>
        <w:pStyle w:val="Compact"/>
        <w:numPr>
          <w:ilvl w:val="0"/>
          <w:numId w:val="1031"/>
        </w:numPr>
      </w:pPr>
      <w:r>
        <w:rPr>
          <w:b/>
          <w:bCs/>
        </w:rPr>
        <w:t xml:space="preserve">Baseline weeks</w:t>
      </w:r>
      <w:r>
        <w:t xml:space="preserve">: [2, 3, 4, 5, 6, 7, 8]</w:t>
      </w:r>
    </w:p>
    <w:p>
      <w:pPr>
        <w:pStyle w:val="Compact"/>
        <w:numPr>
          <w:ilvl w:val="0"/>
          <w:numId w:val="1031"/>
        </w:numPr>
      </w:pPr>
      <w:r>
        <w:rPr>
          <w:b/>
          <w:bCs/>
        </w:rPr>
        <w:t xml:space="preserve">Quiet-start offsets</w:t>
      </w:r>
      <w:r>
        <w:t xml:space="preserve">: [-12, -8, -4, 0, +4, +8, +12] weeks from 2022-24</w:t>
      </w:r>
    </w:p>
    <w:p>
      <w:pPr>
        <w:pStyle w:val="Compact"/>
        <w:numPr>
          <w:ilvl w:val="0"/>
          <w:numId w:val="1031"/>
        </w:numPr>
      </w:pPr>
      <w:r>
        <w:rPr>
          <w:b/>
          <w:bCs/>
        </w:rPr>
        <w:t xml:space="preserve">Quiet-window end</w:t>
      </w:r>
      <w:r>
        <w:t xml:space="preserve">: Fixed at 2024-16</w:t>
      </w:r>
    </w:p>
    <w:p>
      <w:pPr>
        <w:pStyle w:val="Compact"/>
        <w:numPr>
          <w:ilvl w:val="0"/>
          <w:numId w:val="1031"/>
        </w:numPr>
      </w:pPr>
      <w:r>
        <w:rPr>
          <w:b/>
          <w:bCs/>
        </w:rPr>
        <w:t xml:space="preserve">Dose pairs</w:t>
      </w:r>
      <w:r>
        <w:t xml:space="preserve">: 1 vs 0, 2 vs 0, 2 vs 1</w:t>
      </w:r>
    </w:p>
    <w:p>
      <w:pPr>
        <w:pStyle w:val="Compact"/>
        <w:numPr>
          <w:ilvl w:val="0"/>
          <w:numId w:val="1031"/>
        </w:numPr>
      </w:pPr>
      <w:r>
        <w:rPr>
          <w:b/>
          <w:bCs/>
        </w:rPr>
        <w:t xml:space="preserve">Cohorts</w:t>
      </w:r>
      <w:r>
        <w:t xml:space="preserve">: 2021_24</w:t>
      </w:r>
    </w:p>
    <w:p>
      <w:pPr>
        <w:pStyle w:val="FirstParagraph"/>
      </w:pPr>
      <w:r>
        <w:t xml:space="preserve">Output grids show KCOR values for each parameter combination.</w:t>
      </w:r>
    </w:p>
    <w:bookmarkEnd w:id="177"/>
    <w:bookmarkStart w:id="178" w:name="Xbd1462ff0bc513130e3b940479c9db4fb357ab5"/>
    <w:p>
      <w:pPr>
        <w:pStyle w:val="Heading4"/>
      </w:pPr>
      <w:r>
        <w:t xml:space="preserve">B.5 Tail-sampling / bimodal selection (adversarial selection geometry)</w:t>
      </w:r>
    </w:p>
    <w:p>
      <w:pPr>
        <w:pStyle w:val="FirstParagraph"/>
      </w:pPr>
      <w:r>
        <w:t xml:space="preserve">We generate a base frailty population distribution with mean 1. Cohort construction differs by selection rule:</w:t>
      </w:r>
    </w:p>
    <w:p>
      <w:pPr>
        <w:pStyle w:val="Compact"/>
        <w:numPr>
          <w:ilvl w:val="0"/>
          <w:numId w:val="1032"/>
        </w:numPr>
      </w:pPr>
      <w:r>
        <w:rPr>
          <w:b/>
          <w:bCs/>
        </w:rPr>
        <w:t xml:space="preserve">Mid-sampled cohort</w:t>
      </w:r>
      <w:r>
        <w:t xml:space="preserve">: frailty restricted to central quantiles (e.g., 25th–75th percentile) and renormalized to mean 1.</w:t>
      </w:r>
    </w:p>
    <w:p>
      <w:pPr>
        <w:pStyle w:val="Compact"/>
        <w:numPr>
          <w:ilvl w:val="0"/>
          <w:numId w:val="1032"/>
        </w:numPr>
      </w:pPr>
      <w:r>
        <w:rPr>
          <w:b/>
          <w:bCs/>
        </w:rPr>
        <w:t xml:space="preserve">Tail-sampled cohort</w:t>
      </w:r>
      <w:r>
        <w:t xml:space="preserve">: mixture of low and high tails (e.g., 0–15th and 85th–100th percentiles) with mixture weights chosen to yield mean 1.</w:t>
      </w:r>
    </w:p>
    <w:p>
      <w:pPr>
        <w:pStyle w:val="FirstParagraph"/>
      </w:pPr>
      <w:r>
        <w:t xml:space="preserve">Both cohorts share the same baseline hazard</w:t>
      </w:r>
      <w:r>
        <w:t xml:space="preserve"> </w:t>
      </w:r>
      <m:oMath>
        <m:sSub>
          <m:e>
            <m:r>
              <m:t>h</m:t>
            </m:r>
          </m:e>
          <m:sub>
            <m:r>
              <m:t>0</m:t>
            </m:r>
          </m:sub>
        </m:sSub>
        <m:r>
          <m:rPr>
            <m:sty m:val="p"/>
          </m:rPr>
          <m:t>(</m:t>
        </m:r>
        <m:r>
          <m:t>t</m:t>
        </m:r>
        <m:r>
          <m:rPr>
            <m:sty m:val="p"/>
          </m:rPr>
          <m:t>)</m:t>
        </m:r>
      </m:oMath>
      <w:r>
        <w:t xml:space="preserve"> </w:t>
      </w:r>
      <w:r>
        <w:t xml:space="preserve">and no treatment effect (negative-control version). We also generate positive-control versions by applying a known hazard multiplier in a prespecified window. We evaluate (i) KCOR drift, (ii) quiet-window fit RMSE, (iii) post-normalization linearity, and (iv) parameter stability under window perturbation.</w:t>
      </w:r>
    </w:p>
    <w:p>
      <w:pPr>
        <w:pStyle w:val="Compact"/>
        <w:numPr>
          <w:ilvl w:val="0"/>
          <w:numId w:val="1033"/>
        </w:numPr>
      </w:pPr>
      <w:r>
        <w:rPr>
          <w:b/>
          <w:bCs/>
        </w:rPr>
        <w:t xml:space="preserve">Generation script</w:t>
      </w:r>
      <w:r>
        <w:t xml:space="preserve">:</w:t>
      </w:r>
      <w:r>
        <w:t xml:space="preserve"> </w:t>
      </w:r>
      <w:r>
        <w:rPr>
          <w:rStyle w:val="VerbatimChar"/>
        </w:rPr>
        <w:t xml:space="preserve">test/sim_grid/code/generate_tail_sampling_sim.py</w:t>
      </w:r>
    </w:p>
    <w:p>
      <w:pPr>
        <w:pStyle w:val="Compact"/>
        <w:numPr>
          <w:ilvl w:val="0"/>
          <w:numId w:val="1033"/>
        </w:numPr>
      </w:pPr>
      <w:r>
        <w:rPr>
          <w:b/>
          <w:bCs/>
        </w:rPr>
        <w:t xml:space="preserve">Base frailty distribution</w:t>
      </w:r>
      <w:r>
        <w:t xml:space="preserve">: Log-normal with mean 1, variance 0.5</w:t>
      </w:r>
    </w:p>
    <w:p>
      <w:pPr>
        <w:pStyle w:val="Compact"/>
        <w:numPr>
          <w:ilvl w:val="0"/>
          <w:numId w:val="1033"/>
        </w:numPr>
      </w:pPr>
      <w:r>
        <w:rPr>
          <w:b/>
          <w:bCs/>
        </w:rPr>
        <w:t xml:space="preserve">Mid-quantile cohort</w:t>
      </w:r>
      <w:r>
        <w:t xml:space="preserve">: 25th–75th percentile</w:t>
      </w:r>
    </w:p>
    <w:p>
      <w:pPr>
        <w:pStyle w:val="Compact"/>
        <w:numPr>
          <w:ilvl w:val="0"/>
          <w:numId w:val="1033"/>
        </w:numPr>
      </w:pPr>
      <w:r>
        <w:rPr>
          <w:b/>
          <w:bCs/>
        </w:rPr>
        <w:t xml:space="preserve">Tail-mixture cohort</w:t>
      </w:r>
      <w:r>
        <w:t xml:space="preserve">: [0–15th] + [85th–100th] percentiles, equal weights</w:t>
      </w:r>
    </w:p>
    <w:p>
      <w:pPr>
        <w:pStyle w:val="Compact"/>
        <w:numPr>
          <w:ilvl w:val="0"/>
          <w:numId w:val="1033"/>
        </w:numPr>
      </w:pPr>
      <w:r>
        <w:rPr>
          <w:b/>
          <w:bCs/>
        </w:rPr>
        <w:t xml:space="preserve">Baseline hazard</w:t>
      </w:r>
      <w:r>
        <w:t xml:space="preserve">: 0.002 per week (constant)</w:t>
      </w:r>
    </w:p>
    <w:p>
      <w:pPr>
        <w:pStyle w:val="Compact"/>
        <w:numPr>
          <w:ilvl w:val="0"/>
          <w:numId w:val="1033"/>
        </w:numPr>
      </w:pPr>
      <w:r>
        <w:rPr>
          <w:b/>
          <w:bCs/>
        </w:rPr>
        <w:t xml:space="preserve">Positive-control hazard multiplier</w:t>
      </w:r>
      <w:r>
        <w:t xml:space="preserve">:</w:t>
      </w:r>
      <w:r>
        <w:t xml:space="preserve"> </w:t>
      </w:r>
      <m:oMath>
        <m:r>
          <m:t>r</m:t>
        </m:r>
        <m:r>
          <m:rPr>
            <m:sty m:val="p"/>
          </m:rPr>
          <m:t>=</m:t>
        </m:r>
        <m:r>
          <m:t>1.2</m:t>
        </m:r>
      </m:oMath>
      <w:r>
        <w:t xml:space="preserve"> </w:t>
      </w:r>
      <w:r>
        <w:t xml:space="preserve">(harm) or</w:t>
      </w:r>
      <w:r>
        <w:t xml:space="preserve"> </w:t>
      </w:r>
      <m:oMath>
        <m:r>
          <m:t>r</m:t>
        </m:r>
        <m:r>
          <m:rPr>
            <m:sty m:val="p"/>
          </m:rPr>
          <m:t>=</m:t>
        </m:r>
        <m:r>
          <m:t>0.8</m:t>
        </m:r>
      </m:oMath>
      <w:r>
        <w:t xml:space="preserve"> </w:t>
      </w:r>
      <w:r>
        <w:t xml:space="preserve">(benefit)</w:t>
      </w:r>
    </w:p>
    <w:p>
      <w:pPr>
        <w:pStyle w:val="Compact"/>
        <w:numPr>
          <w:ilvl w:val="0"/>
          <w:numId w:val="1033"/>
        </w:numPr>
      </w:pPr>
      <w:r>
        <w:rPr>
          <w:b/>
          <w:bCs/>
        </w:rPr>
        <w:t xml:space="preserve">Effect window</w:t>
      </w:r>
      <w:r>
        <w:t xml:space="preserve">: weeks 20–80</w:t>
      </w:r>
    </w:p>
    <w:p>
      <w:pPr>
        <w:pStyle w:val="Compact"/>
        <w:numPr>
          <w:ilvl w:val="0"/>
          <w:numId w:val="1033"/>
        </w:numPr>
      </w:pPr>
      <w:r>
        <w:rPr>
          <w:b/>
          <w:bCs/>
        </w:rPr>
        <w:t xml:space="preserve">Random seed</w:t>
      </w:r>
      <w:r>
        <w:t xml:space="preserve">: 42</w:t>
      </w:r>
    </w:p>
    <w:bookmarkEnd w:id="178"/>
    <w:bookmarkStart w:id="185" w:name="X3015f8ef00f2c60a61b881605023dd43c1dd17f"/>
    <w:p>
      <w:pPr>
        <w:pStyle w:val="Heading4"/>
      </w:pPr>
      <w:r>
        <w:t xml:space="preserve">B.6 Joint frailty and treatment-effect simulation (S7)</w:t>
      </w:r>
    </w:p>
    <w:p>
      <w:pPr>
        <w:pStyle w:val="FirstParagraph"/>
      </w:pPr>
      <w:r>
        <w:t xml:space="preserve">This simulation evaluates KCOR under conditions in which</w:t>
      </w:r>
      <w:r>
        <w:t xml:space="preserve"> </w:t>
      </w:r>
      <w:r>
        <w:rPr>
          <w:b/>
          <w:bCs/>
        </w:rPr>
        <w:t xml:space="preserve">both selection-induced depletion (frailty heterogeneity)</w:t>
      </w:r>
      <w:r>
        <w:t xml:space="preserve"> </w:t>
      </w:r>
      <w:r>
        <w:t xml:space="preserve">and a</w:t>
      </w:r>
      <w:r>
        <w:t xml:space="preserve"> </w:t>
      </w:r>
      <w:r>
        <w:rPr>
          <w:b/>
          <w:bCs/>
        </w:rPr>
        <w:t xml:space="preserve">true treatment effect (harm or benefit)</w:t>
      </w:r>
      <w:r>
        <w:t xml:space="preserve"> </w:t>
      </w:r>
      <w:r>
        <w:t xml:space="preserve">are present simultaneously. The purpose is to assess whether KCOR can (i) correctly identify and neutralize frailty-driven curvature using a quiet period and (ii) detect a true treatment effect outside that period without confounding the two mechanisms.</w:t>
      </w:r>
    </w:p>
    <w:bookmarkStart w:id="179" w:name="design"/>
    <w:p>
      <w:pPr>
        <w:pStyle w:val="Heading5"/>
      </w:pPr>
      <w:r>
        <w:t xml:space="preserve">Design</w:t>
      </w:r>
    </w:p>
    <w:p>
      <w:pPr>
        <w:pStyle w:val="FirstParagraph"/>
      </w:pPr>
      <w:r>
        <w:t xml:space="preserve">Two fixed cohorts are generated with identical baseline hazards but differing frailty variance. Individual hazards are multiplicatively scaled by a latent frailty term drawn from a gamma distribution with unit mean and cohort-specific variance. A treatment effect is then injected over a prespecified time window that does not overlap the quiet period used for frailty estimation.</w:t>
      </w:r>
    </w:p>
    <w:p>
      <w:pPr>
        <w:pStyle w:val="BodyText"/>
      </w:pPr>
      <w:r>
        <w:t xml:space="preserve">Formally, individual hazards are generated as</w:t>
      </w:r>
    </w:p>
    <w:p>
      <w:pPr>
        <w:pStyle w:val="BodyText"/>
      </w:pPr>
      <m:oMathPara>
        <m:oMathParaPr>
          <m:jc m:val="center"/>
        </m:oMathParaP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r>
            <m:rPr>
              <m:sty m:val="p"/>
            </m:rPr>
            <m:t>⋅</m:t>
          </m:r>
          <m:r>
            <m:t>r</m:t>
          </m:r>
          <m:r>
            <m:rPr>
              <m:sty m:val="p"/>
            </m:rPr>
            <m:t>(</m:t>
          </m:r>
          <m:r>
            <m:t>t</m:t>
          </m:r>
          <m:r>
            <m:rPr>
              <m:sty m:val="p"/>
            </m:rPr>
            <m:t>)</m:t>
          </m:r>
          <m:r>
            <m:rPr>
              <m:sty m:val="p"/>
            </m:rPr>
            <m:t>,</m:t>
          </m:r>
        </m:oMath>
      </m:oMathPara>
    </w:p>
    <w:p>
      <w:pPr>
        <w:pStyle w:val="FirstParagraph"/>
      </w:pPr>
      <w:r>
        <w:t xml:space="preserve">where</w:t>
      </w:r>
      <w:r>
        <w:t xml:space="preserve"> </w:t>
      </w:r>
      <m:oMath>
        <m:sSub>
          <m:e>
            <m:r>
              <m:t>z</m:t>
            </m:r>
          </m:e>
          <m:sub>
            <m:r>
              <m:t>i</m:t>
            </m:r>
          </m:sub>
        </m:sSub>
      </m:oMath>
      <w:r>
        <w:t xml:space="preserve"> </w:t>
      </w:r>
      <w:r>
        <w:t xml:space="preserve">is individual frailty,</w:t>
      </w:r>
      <w:r>
        <w:t xml:space="preserve"> </w:t>
      </w:r>
      <m:oMath>
        <m:sSub>
          <m:e>
            <m:r>
              <m:t>h</m:t>
            </m:r>
          </m:e>
          <m:sub>
            <m:r>
              <m:t>0</m:t>
            </m:r>
          </m:sub>
        </m:sSub>
        <m:r>
          <m:rPr>
            <m:sty m:val="p"/>
          </m:rPr>
          <m:t>(</m:t>
        </m:r>
        <m:r>
          <m:t>t</m:t>
        </m:r>
        <m:r>
          <m:rPr>
            <m:sty m:val="p"/>
          </m:rPr>
          <m:t>)</m:t>
        </m:r>
      </m:oMath>
      <w:r>
        <w:t xml:space="preserve"> </w:t>
      </w:r>
      <w:r>
        <w:t xml:space="preserve">is a shared baseline hazard, and</w:t>
      </w:r>
      <w:r>
        <w:t xml:space="preserve"> </w:t>
      </w:r>
      <m:oMath>
        <m:r>
          <m:t>r</m:t>
        </m:r>
        <m:r>
          <m:rPr>
            <m:sty m:val="p"/>
          </m:rPr>
          <m:t>(</m:t>
        </m:r>
        <m:r>
          <m:t>t</m:t>
        </m:r>
        <m:r>
          <m:rPr>
            <m:sty m:val="p"/>
          </m:rPr>
          <m:t>)</m:t>
        </m:r>
      </m:oMath>
      <w:r>
        <w:t xml:space="preserve"> </w:t>
      </w:r>
      <w:r>
        <w:t xml:space="preserve">is a time-localized multiplicative treatment effect applied to one cohort only.</w:t>
      </w:r>
    </w:p>
    <w:bookmarkEnd w:id="179"/>
    <w:bookmarkStart w:id="180" w:name="frailty-structure"/>
    <w:p>
      <w:pPr>
        <w:pStyle w:val="Heading5"/>
      </w:pPr>
      <w:r>
        <w:t xml:space="preserve">Frailty structure</w:t>
      </w:r>
    </w:p>
    <w:p>
      <w:pPr>
        <w:pStyle w:val="Compact"/>
        <w:numPr>
          <w:ilvl w:val="0"/>
          <w:numId w:val="1034"/>
        </w:numPr>
      </w:pPr>
      <w:r>
        <w:t xml:space="preserve">Cohort 0:</w:t>
      </w:r>
      <w:r>
        <w:t xml:space="preserve"> </w:t>
      </w:r>
      <m:oMath>
        <m:r>
          <m:t>z</m:t>
        </m:r>
        <m:r>
          <m:rPr>
            <m:sty m:val="p"/>
          </m:rPr>
          <m:t>∼</m:t>
        </m:r>
        <m:r>
          <m:rPr>
            <m:nor/>
            <m:sty m:val="p"/>
          </m:rPr>
          <m:t>Gamma</m:t>
        </m:r>
        <m:r>
          <m:rPr>
            <m:sty m:val="p"/>
          </m:rPr>
          <m:t>(</m:t>
        </m:r>
        <m:sSub>
          <m:e>
            <m:r>
              <m:t>θ</m:t>
            </m:r>
          </m:e>
          <m:sub>
            <m:r>
              <m:t>0</m:t>
            </m:r>
          </m:sub>
        </m:sSub>
        <m:r>
          <m:rPr>
            <m:sty m:val="p"/>
          </m:rPr>
          <m:t>)</m:t>
        </m:r>
      </m:oMath>
    </w:p>
    <w:p>
      <w:pPr>
        <w:pStyle w:val="Compact"/>
        <w:numPr>
          <w:ilvl w:val="0"/>
          <w:numId w:val="1034"/>
        </w:numPr>
      </w:pPr>
      <w:r>
        <w:t xml:space="preserve">Cohort 1:</w:t>
      </w:r>
      <w:r>
        <w:t xml:space="preserve"> </w:t>
      </w:r>
      <m:oMath>
        <m:r>
          <m:t>z</m:t>
        </m:r>
        <m:r>
          <m:rPr>
            <m:sty m:val="p"/>
          </m:rPr>
          <m:t>∼</m:t>
        </m:r>
        <m:r>
          <m:rPr>
            <m:nor/>
            <m:sty m:val="p"/>
          </m:rPr>
          <m:t>Gamma</m:t>
        </m:r>
        <m:r>
          <m:rPr>
            <m:sty m:val="p"/>
          </m:rPr>
          <m:t>(</m:t>
        </m:r>
        <m:sSub>
          <m:e>
            <m:r>
              <m:t>θ</m:t>
            </m:r>
          </m:e>
          <m:sub>
            <m:r>
              <m:t>1</m:t>
            </m:r>
          </m:sub>
        </m:sSub>
        <m:r>
          <m:rPr>
            <m:sty m:val="p"/>
          </m:rPr>
          <m:t>)</m:t>
        </m:r>
      </m:oMath>
      <w:r>
        <w:t xml:space="preserve">, with</w:t>
      </w:r>
      <w:r>
        <w:t xml:space="preserve"> </w:t>
      </w:r>
      <m:oMath>
        <m:sSub>
          <m:e>
            <m:r>
              <m:t>θ</m:t>
            </m:r>
          </m:e>
          <m:sub>
            <m:r>
              <m:t>1</m:t>
            </m:r>
          </m:sub>
        </m:sSub>
        <m:r>
          <m:rPr>
            <m:sty m:val="p"/>
          </m:rPr>
          <m:t>≠</m:t>
        </m:r>
        <m:sSub>
          <m:e>
            <m:r>
              <m:t>θ</m:t>
            </m:r>
          </m:e>
          <m:sub>
            <m:r>
              <m:t>0</m:t>
            </m:r>
          </m:sub>
        </m:sSub>
      </m:oMath>
    </w:p>
    <w:p>
      <w:pPr>
        <w:pStyle w:val="FirstParagraph"/>
      </w:pPr>
      <w:r>
        <w:t xml:space="preserve">Frailty distributions are normalized to unit mean, differing only in variance, thereby inducing different depletion dynamics and cumulative-hazard curvature across cohorts in the absence of any treatment effect.</w:t>
      </w:r>
    </w:p>
    <w:bookmarkEnd w:id="180"/>
    <w:bookmarkStart w:id="181" w:name="treatment-effect"/>
    <w:p>
      <w:pPr>
        <w:pStyle w:val="Heading5"/>
      </w:pPr>
      <w:r>
        <w:t xml:space="preserve">Treatment effect</w:t>
      </w:r>
    </w:p>
    <w:p>
      <w:pPr>
        <w:pStyle w:val="FirstParagraph"/>
      </w:pPr>
      <w:r>
        <w:t xml:space="preserve">A known treatment effect is applied to Cohort 1 during a finite window</w:t>
      </w:r>
      <w:r>
        <w:t xml:space="preserve"> </w:t>
      </w:r>
      <m:oMath>
        <m:r>
          <m:rPr>
            <m:sty m:val="p"/>
          </m:rPr>
          <m:t>[</m:t>
        </m:r>
        <m:sSub>
          <m:e>
            <m:r>
              <m:t>t</m:t>
            </m:r>
          </m:e>
          <m:sub>
            <m:r>
              <m:rPr>
                <m:nor/>
                <m:sty m:val="p"/>
              </m:rPr>
              <m:t>on</m:t>
            </m:r>
          </m:sub>
        </m:sSub>
        <m:r>
          <m:rPr>
            <m:sty m:val="p"/>
          </m:rPr>
          <m:t>,</m:t>
        </m:r>
        <m:sSub>
          <m:e>
            <m:r>
              <m:t>t</m:t>
            </m:r>
          </m:e>
          <m:sub>
            <m:r>
              <m:rPr>
                <m:nor/>
                <m:sty m:val="p"/>
              </m:rPr>
              <m:t>off</m:t>
            </m:r>
          </m:sub>
        </m:sSub>
        <m:r>
          <m:rPr>
            <m:sty m:val="p"/>
          </m:rPr>
          <m:t>]</m:t>
        </m:r>
      </m:oMath>
      <w:r>
        <w:t xml:space="preserve">. Three effect shapes are considered:</w:t>
      </w:r>
    </w:p>
    <w:p>
      <w:pPr>
        <w:pStyle w:val="Compact"/>
        <w:numPr>
          <w:ilvl w:val="0"/>
          <w:numId w:val="1035"/>
        </w:numPr>
      </w:pPr>
      <w:r>
        <w:t xml:space="preserve">Step change (constant multiplicative factor),</w:t>
      </w:r>
    </w:p>
    <w:p>
      <w:pPr>
        <w:pStyle w:val="Compact"/>
        <w:numPr>
          <w:ilvl w:val="0"/>
          <w:numId w:val="1035"/>
        </w:numPr>
      </w:pPr>
      <w:r>
        <w:t xml:space="preserve">Linear ramp,</w:t>
      </w:r>
    </w:p>
    <w:p>
      <w:pPr>
        <w:pStyle w:val="Compact"/>
        <w:numPr>
          <w:ilvl w:val="0"/>
          <w:numId w:val="1035"/>
        </w:numPr>
      </w:pPr>
      <w:r>
        <w:t xml:space="preserve">Smooth pulse (</w:t>
      </w:r>
      <w:r>
        <w:t xml:space="preserve">“bump”</w:t>
      </w:r>
      <w:r>
        <w:t xml:space="preserve">).</w:t>
      </w:r>
    </w:p>
    <w:p>
      <w:pPr>
        <w:pStyle w:val="FirstParagraph"/>
      </w:pPr>
      <w:r>
        <w:t xml:space="preserve">Both harmful (</w:t>
      </w:r>
      <m:oMath>
        <m:r>
          <m:t>r</m:t>
        </m:r>
        <m:r>
          <m:rPr>
            <m:sty m:val="p"/>
          </m:rPr>
          <m:t>(</m:t>
        </m:r>
        <m:r>
          <m:t>t</m:t>
        </m:r>
        <m:r>
          <m:rPr>
            <m:sty m:val="p"/>
          </m:rPr>
          <m:t>)</m:t>
        </m:r>
        <m:r>
          <m:rPr>
            <m:sty m:val="p"/>
          </m:rPr>
          <m:t>&gt;</m:t>
        </m:r>
        <m:r>
          <m:t>1</m:t>
        </m:r>
      </m:oMath>
      <w:r>
        <w:t xml:space="preserve">) and protective (</w:t>
      </w:r>
      <m:oMath>
        <m:r>
          <m:t>r</m:t>
        </m:r>
        <m:r>
          <m:rPr>
            <m:sty m:val="p"/>
          </m:rPr>
          <m:t>(</m:t>
        </m:r>
        <m:r>
          <m:t>t</m:t>
        </m:r>
        <m:r>
          <m:rPr>
            <m:sty m:val="p"/>
          </m:rPr>
          <m:t>)</m:t>
        </m:r>
        <m:r>
          <m:rPr>
            <m:sty m:val="p"/>
          </m:rPr>
          <m:t>&lt;</m:t>
        </m:r>
        <m:r>
          <m:t>1</m:t>
        </m:r>
      </m:oMath>
      <w:r>
        <w:t xml:space="preserve">) effects are evaluated. The treatment window is chosen to lie strictly outside the quiet period used for frailty estimation.</w:t>
      </w:r>
    </w:p>
    <w:bookmarkEnd w:id="181"/>
    <w:bookmarkStart w:id="182" w:name="quiet-period-and-estimation"/>
    <w:p>
      <w:pPr>
        <w:pStyle w:val="Heading5"/>
      </w:pPr>
      <w:r>
        <w:t xml:space="preserve">Quiet period and estimation</w:t>
      </w:r>
    </w:p>
    <w:p>
      <w:pPr>
        <w:pStyle w:val="FirstParagraph"/>
      </w:pPr>
      <w:r>
        <w:t xml:space="preserve">Frailty parameters are estimated independently for each cohort using observed cumulative hazards over a prespecified quiet window</w:t>
      </w:r>
      <w:r>
        <w:t xml:space="preserve"> </w:t>
      </w:r>
      <m:oMath>
        <m:r>
          <m:rPr>
            <m:sty m:val="p"/>
          </m:rPr>
          <m:t>[</m:t>
        </m:r>
        <m:sSubSup>
          <m:e>
            <m:r>
              <m:t>t</m:t>
            </m:r>
          </m:e>
          <m:sub>
            <m:r>
              <m:t>q</m:t>
            </m:r>
          </m:sub>
          <m:sup>
            <m:r>
              <m:rPr>
                <m:nor/>
                <m:sty m:val="p"/>
              </m:rPr>
              <m:t>start</m:t>
            </m:r>
          </m:sup>
        </m:sSubSup>
        <m:r>
          <m:rPr>
            <m:sty m:val="p"/>
          </m:rPr>
          <m:t>,</m:t>
        </m:r>
        <m:sSubSup>
          <m:e>
            <m:r>
              <m:t>t</m:t>
            </m:r>
          </m:e>
          <m:sub>
            <m:r>
              <m:t>q</m:t>
            </m:r>
          </m:sub>
          <m:sup>
            <m:r>
              <m:rPr>
                <m:nor/>
                <m:sty m:val="p"/>
              </m:rPr>
              <m:t>end</m:t>
            </m:r>
          </m:sup>
        </m:sSubSup>
        <m:r>
          <m:rPr>
            <m:sty m:val="p"/>
          </m:rPr>
          <m:t>]</m:t>
        </m:r>
      </m:oMath>
      <w:r>
        <w:t xml:space="preserve"> </w:t>
      </w:r>
      <w:r>
        <w:t xml:space="preserve">during which</w:t>
      </w:r>
      <w:r>
        <w:t xml:space="preserve"> </w:t>
      </w:r>
      <m:oMath>
        <m:r>
          <m:t>r</m:t>
        </m:r>
        <m:r>
          <m:rPr>
            <m:sty m:val="p"/>
          </m:rPr>
          <m:t>(</m:t>
        </m:r>
        <m:r>
          <m:t>t</m:t>
        </m:r>
        <m:r>
          <m:rPr>
            <m:sty m:val="p"/>
          </m:rPr>
          <m:t>)</m:t>
        </m:r>
        <m:r>
          <m:rPr>
            <m:sty m:val="p"/>
          </m:rPr>
          <m:t>=</m:t>
        </m:r>
        <m:r>
          <m:t>1</m:t>
        </m:r>
      </m:oMath>
      <w:r>
        <w:t xml:space="preserve"> </w:t>
      </w:r>
      <w:r>
        <w:t xml:space="preserve">by construction. KCOR normalization is then applied to the full time horizon using these estimated parameters.</w:t>
      </w:r>
    </w:p>
    <w:p>
      <w:pPr>
        <w:pStyle w:val="BodyText"/>
      </w:pPr>
      <w:r>
        <w:t xml:space="preserve">This design enforces</w:t>
      </w:r>
      <w:r>
        <w:t xml:space="preserve"> </w:t>
      </w:r>
      <w:r>
        <w:rPr>
          <w:b/>
          <w:bCs/>
        </w:rPr>
        <w:t xml:space="preserve">temporal separability</w:t>
      </w:r>
      <w:r>
        <w:t xml:space="preserve"> </w:t>
      </w:r>
      <w:r>
        <w:t xml:space="preserve">between selection-induced depletion and treatment effects.</w:t>
      </w:r>
    </w:p>
    <w:bookmarkEnd w:id="182"/>
    <w:bookmarkStart w:id="183" w:name="evaluation-criteria"/>
    <w:p>
      <w:pPr>
        <w:pStyle w:val="Heading5"/>
      </w:pPr>
      <w:r>
        <w:t xml:space="preserve">Evaluation criteria</w:t>
      </w:r>
    </w:p>
    <w:p>
      <w:pPr>
        <w:pStyle w:val="FirstParagraph"/>
      </w:pPr>
      <w:r>
        <w:t xml:space="preserve">The simulation is considered successful if:</w:t>
      </w:r>
    </w:p>
    <w:p>
      <w:pPr>
        <w:pStyle w:val="Compact"/>
        <w:numPr>
          <w:ilvl w:val="0"/>
          <w:numId w:val="1036"/>
        </w:numPr>
      </w:pPr>
      <w:r>
        <w:t xml:space="preserve">KCOR remains approximately flat and near unity during the quiet window,</w:t>
      </w:r>
    </w:p>
    <w:p>
      <w:pPr>
        <w:pStyle w:val="Compact"/>
        <w:numPr>
          <w:ilvl w:val="0"/>
          <w:numId w:val="1036"/>
        </w:numPr>
      </w:pPr>
      <w:r>
        <w:t xml:space="preserve">KCOR deviates in the correct direction and magnitude during the treatment window,</w:t>
      </w:r>
    </w:p>
    <w:p>
      <w:pPr>
        <w:pStyle w:val="Compact"/>
        <w:numPr>
          <w:ilvl w:val="0"/>
          <w:numId w:val="1036"/>
        </w:numPr>
      </w:pPr>
      <w:r>
        <w:t xml:space="preserve">Fit diagnostics (e.g., residual curvature, post-normalization linearity) remain stable outside intentionally violated scenarios.</w:t>
      </w:r>
    </w:p>
    <w:p>
      <w:pPr>
        <w:pStyle w:val="FirstParagraph"/>
      </w:pPr>
      <w:r>
        <w:t xml:space="preserve">An additional stress-test variant intentionally overlaps the treatment window with the quiet period. In this case, KCOR diagnostics degrade and normalized trajectories fail to stabilize, correctly signaling violation of the identifiability assumptions rather than producing spurious treatment effects.</w:t>
      </w:r>
    </w:p>
    <w:bookmarkEnd w:id="183"/>
    <w:bookmarkStart w:id="184" w:name="interpretation"/>
    <w:p>
      <w:pPr>
        <w:pStyle w:val="Heading5"/>
      </w:pPr>
      <w:r>
        <w:t xml:space="preserve">Interpretation</w:t>
      </w:r>
    </w:p>
    <w:p>
      <w:pPr>
        <w:pStyle w:val="FirstParagraph"/>
      </w:pPr>
      <w:r>
        <w:t xml:space="preserve">This simulation demonstrates that when selection-induced depletion and treatment effects are temporally separable, KCOR can disentangle the two mechanisms: frailty parameters are identified from quiet-period curvature, and true treatment effects manifest as deviations from unity outside that window. When separability is violated, KCOR does not silently misattribute effects; instead, diagnostics flag reduced interpretability.</w:t>
      </w:r>
    </w:p>
    <w:bookmarkEnd w:id="184"/>
    <w:bookmarkEnd w:id="185"/>
    <w:bookmarkEnd w:id="186"/>
    <w:bookmarkStart w:id="191" w:name="X3fb27f9d14d988b0afc4c757bd6d2a45d2ae0b5"/>
    <w:p>
      <w:pPr>
        <w:pStyle w:val="Heading3"/>
      </w:pPr>
      <w:r>
        <w:t xml:space="preserve">Appendix C. Additional figures and diagnostics</w:t>
      </w:r>
    </w:p>
    <w:bookmarkStart w:id="187" w:name="c.1-fit-diagnostics"/>
    <w:p>
      <w:pPr>
        <w:pStyle w:val="Heading4"/>
      </w:pPr>
      <w:r>
        <w:t xml:space="preserve">C.1 Fit diagnostics</w:t>
      </w:r>
    </w:p>
    <w:p>
      <w:pPr>
        <w:pStyle w:val="FirstParagraph"/>
      </w:pPr>
      <w:r>
        <w:t xml:space="preserve">For each cohort</w:t>
      </w:r>
      <w:r>
        <w:t xml:space="preserve"> </w:t>
      </w:r>
      <m:oMath>
        <m:r>
          <m:t>d</m:t>
        </m:r>
      </m:oMath>
      <w:r>
        <w:t xml:space="preserve">, the gamma-frailty fit produces diagnostic outputs including:</w:t>
      </w:r>
    </w:p>
    <w:p>
      <w:pPr>
        <w:pStyle w:val="Compact"/>
        <w:numPr>
          <w:ilvl w:val="0"/>
          <w:numId w:val="1037"/>
        </w:numPr>
      </w:pPr>
      <w:r>
        <w:rPr>
          <w:b/>
          <w:bCs/>
        </w:rPr>
        <w:t xml:space="preserve">RMSE in</w:t>
      </w:r>
      <w:r>
        <w:rPr>
          <w:b/>
          <w:bCs/>
        </w:rPr>
        <w:t xml:space="preserve"> </w:t>
      </w:r>
      <m:oMath>
        <m:r>
          <m:t>H</m:t>
        </m:r>
      </m:oMath>
      <w:r>
        <w:rPr>
          <w:b/>
          <w:bCs/>
        </w:rPr>
        <w:t xml:space="preserve">-space</w:t>
      </w:r>
      <w:r>
        <w:t xml:space="preserve">: Root mean squared error between observed and model-predicted cumulative hazards over the quiet window. Values &lt; 0.01 indicate excellent fit; values &gt; 0.05 may warrant investigation.</w:t>
      </w:r>
    </w:p>
    <w:p>
      <w:pPr>
        <w:pStyle w:val="Compact"/>
        <w:numPr>
          <w:ilvl w:val="0"/>
          <w:numId w:val="1037"/>
        </w:numPr>
      </w:pPr>
      <w:r>
        <w:rPr>
          <w:b/>
          <w:bCs/>
        </w:rPr>
        <w:t xml:space="preserve">Fitted parameters</w:t>
      </w:r>
      <w:r>
        <w:t xml:space="preserve">:</w:t>
      </w:r>
      <w:r>
        <w:t xml:space="preserve"> </w:t>
      </w:r>
      <m:oMath>
        <m:sSub>
          <m:e>
            <m:acc>
              <m:accPr>
                <m:chr m:val="̂"/>
              </m:accPr>
              <m:e>
                <m:r>
                  <m:t>k</m:t>
                </m:r>
              </m:e>
            </m:acc>
          </m:e>
          <m:sub>
            <m:r>
              <m:t>d</m:t>
            </m:r>
          </m:sub>
        </m:sSub>
      </m:oMath>
      <w:r>
        <w:t xml:space="preserve"> </w:t>
      </w:r>
      <w:r>
        <w:t xml:space="preserve">(baseline hazard level) and</w:t>
      </w:r>
      <w:r>
        <w:t xml:space="preserve"> </w:t>
      </w:r>
      <m:oMath>
        <m:sSub>
          <m:e>
            <m:acc>
              <m:accPr>
                <m:chr m:val="̂"/>
              </m:accPr>
              <m:e>
                <m:r>
                  <m:t>θ</m:t>
                </m:r>
              </m:e>
            </m:acc>
          </m:e>
          <m:sub>
            <m:r>
              <m:t>d</m:t>
            </m:r>
          </m:sub>
        </m:sSub>
      </m:oMath>
      <w:r>
        <w:t xml:space="preserve"> </w:t>
      </w:r>
      <w:r>
        <w:t xml:space="preserve">(frailty variance). Very small</w:t>
      </w:r>
      <w:r>
        <w:t xml:space="preserve"> </w:t>
      </w:r>
      <m:oMath>
        <m:sSub>
          <m:e>
            <m:acc>
              <m:accPr>
                <m:chr m:val="̂"/>
              </m:accPr>
              <m:e>
                <m:r>
                  <m:t>θ</m:t>
                </m:r>
              </m:e>
            </m:acc>
          </m:e>
          <m:sub>
            <m:r>
              <m:t>d</m:t>
            </m:r>
          </m:sub>
        </m:sSub>
      </m:oMath>
      <w:r>
        <w:t xml:space="preserve"> </w:t>
      </w:r>
      <w:r>
        <w:t xml:space="preserve">(&lt; 0.01) indicates minimal detected depletion; very large values (&gt; 5) may indicate model stress.</w:t>
      </w:r>
    </w:p>
    <w:p>
      <w:pPr>
        <w:pStyle w:val="Compact"/>
        <w:numPr>
          <w:ilvl w:val="0"/>
          <w:numId w:val="1037"/>
        </w:numPr>
      </w:pPr>
      <w:r>
        <w:rPr>
          <w:b/>
          <w:bCs/>
        </w:rPr>
        <w:t xml:space="preserve">Number of fit points</w:t>
      </w:r>
      <w:r>
        <w:t xml:space="preserve">:</w:t>
      </w:r>
      <w:r>
        <w:t xml:space="preserve"> </w:t>
      </w:r>
      <m:oMath>
        <m:sSub>
          <m:e>
            <m:r>
              <m:t>n</m:t>
            </m:r>
          </m:e>
          <m:sub>
            <m:r>
              <m:rPr>
                <m:sty m:val="p"/>
              </m:rPr>
              <m:t>o</m:t>
            </m:r>
            <m:r>
              <m:rPr>
                <m:sty m:val="p"/>
              </m:rPr>
              <m:t>b</m:t>
            </m:r>
            <m:r>
              <m:rPr>
                <m:sty m:val="p"/>
              </m:rPr>
              <m:t>s</m:t>
            </m:r>
          </m:sub>
        </m:sSub>
      </m:oMath>
      <w:r>
        <w:t xml:space="preserve"> </w:t>
      </w:r>
      <w:r>
        <w:t xml:space="preserve">observations in quiet window. Larger</w:t>
      </w:r>
      <w:r>
        <w:t xml:space="preserve"> </w:t>
      </w:r>
      <m:oMath>
        <m:sSub>
          <m:e>
            <m:r>
              <m:t>n</m:t>
            </m:r>
          </m:e>
          <m:sub>
            <m:r>
              <m:rPr>
                <m:sty m:val="p"/>
              </m:rPr>
              <m:t>o</m:t>
            </m:r>
            <m:r>
              <m:rPr>
                <m:sty m:val="p"/>
              </m:rPr>
              <m:t>b</m:t>
            </m:r>
            <m:r>
              <m:rPr>
                <m:sty m:val="p"/>
              </m:rPr>
              <m:t>s</m:t>
            </m:r>
          </m:sub>
        </m:sSub>
      </m:oMath>
      <w:r>
        <w:t xml:space="preserve"> </w:t>
      </w:r>
      <w:r>
        <w:t xml:space="preserve">provides more stable estimates.</w:t>
      </w:r>
    </w:p>
    <w:p>
      <w:pPr>
        <w:pStyle w:val="FirstParagraph"/>
      </w:pPr>
      <w:r>
        <w:t xml:space="preserve">Example diagnostic output from the reference implementation:</w:t>
      </w:r>
    </w:p>
    <w:p>
      <w:pPr>
        <w:pStyle w:val="SourceCode"/>
      </w:pPr>
      <w:r>
        <w:rPr>
          <w:rStyle w:val="VerbatimChar"/>
        </w:rPr>
        <w:t xml:space="preserve">KCOR_FIT,EnrollmentDate=2021_24,YoB=1950,Dose=0,</w:t>
      </w:r>
      <w:r>
        <w:br/>
      </w:r>
      <w:r>
        <w:rPr>
          <w:rStyle w:val="VerbatimChar"/>
        </w:rPr>
        <w:t xml:space="preserve">  k_hat=4.29e-03,theta_hat=8.02e-01,</w:t>
      </w:r>
      <w:r>
        <w:br/>
      </w:r>
      <w:r>
        <w:rPr>
          <w:rStyle w:val="VerbatimChar"/>
        </w:rPr>
        <w:t xml:space="preserve">  RMSE_Hobs=3.37e-03,n_obs=97,success=1</w:t>
      </w:r>
    </w:p>
    <w:bookmarkEnd w:id="187"/>
    <w:bookmarkStart w:id="188" w:name="c.2-residual-analysis"/>
    <w:p>
      <w:pPr>
        <w:pStyle w:val="Heading4"/>
      </w:pPr>
      <w:r>
        <w:t xml:space="preserve">C.2 Residual analysis</w:t>
      </w:r>
    </w:p>
    <w:p>
      <w:pPr>
        <w:pStyle w:val="FirstParagraph"/>
      </w:pPr>
      <w:r>
        <w:t xml:space="preserve">Fit residuals</w:t>
      </w:r>
      <w:r>
        <w:t xml:space="preserve"> </w:t>
      </w:r>
      <m:oMath>
        <m:sSub>
          <m:e>
            <m:r>
              <m:t>r</m:t>
            </m:r>
          </m:e>
          <m:sub>
            <m:r>
              <m:t>t</m:t>
            </m:r>
          </m:sub>
        </m:sSub>
        <m:r>
          <m:rPr>
            <m:sty m:val="p"/>
          </m:rPr>
          <m:t>=</m:t>
        </m:r>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examined for:</w:t>
      </w:r>
    </w:p>
    <w:p>
      <w:pPr>
        <w:pStyle w:val="Compact"/>
        <w:numPr>
          <w:ilvl w:val="0"/>
          <w:numId w:val="1038"/>
        </w:numPr>
      </w:pPr>
      <w:r>
        <w:rPr>
          <w:b/>
          <w:bCs/>
        </w:rPr>
        <w:t xml:space="preserve">Systematic patterns</w:t>
      </w:r>
      <w:r>
        <w:t xml:space="preserve">: Residuals should be approximately random around zero. Systematic curvature in residuals suggests model inadequacy.</w:t>
      </w:r>
    </w:p>
    <w:p>
      <w:pPr>
        <w:pStyle w:val="Compact"/>
        <w:numPr>
          <w:ilvl w:val="0"/>
          <w:numId w:val="1038"/>
        </w:numPr>
      </w:pPr>
      <w:r>
        <w:rPr>
          <w:b/>
          <w:bCs/>
        </w:rPr>
        <w:t xml:space="preserve">Outliers</w:t>
      </w:r>
      <w:r>
        <w:t xml:space="preserve">: Individual weeks with large residuals may indicate data quality issues or external shocks.</w:t>
      </w:r>
    </w:p>
    <w:p>
      <w:pPr>
        <w:pStyle w:val="Compact"/>
        <w:numPr>
          <w:ilvl w:val="0"/>
          <w:numId w:val="1038"/>
        </w:numPr>
      </w:pPr>
      <w:r>
        <w:rPr>
          <w:b/>
          <w:bCs/>
        </w:rPr>
        <w:t xml:space="preserve">Autocorrelation</w:t>
      </w:r>
      <w:r>
        <w:t xml:space="preserve">: Strong autocorrelation in residuals suggests the model is missing time-varying structure.</w:t>
      </w:r>
    </w:p>
    <w:bookmarkEnd w:id="188"/>
    <w:bookmarkStart w:id="189" w:name="c.3-parameter-stability-checks"/>
    <w:p>
      <w:pPr>
        <w:pStyle w:val="Heading4"/>
      </w:pPr>
      <w:r>
        <w:t xml:space="preserve">C.3 Parameter stability checks</w:t>
      </w:r>
    </w:p>
    <w:p>
      <w:pPr>
        <w:pStyle w:val="FirstParagraph"/>
      </w:pPr>
      <w:r>
        <w:t xml:space="preserve">Robustness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assessed by:</w:t>
      </w:r>
    </w:p>
    <w:p>
      <w:pPr>
        <w:pStyle w:val="Compact"/>
        <w:numPr>
          <w:ilvl w:val="0"/>
          <w:numId w:val="1039"/>
        </w:numPr>
      </w:pPr>
      <w:r>
        <w:rPr>
          <w:b/>
          <w:bCs/>
        </w:rPr>
        <w:t xml:space="preserve">Quiet-window perturbation</w:t>
      </w:r>
      <w:r>
        <w:t xml:space="preserve">: Shift the quiet-window start/end by ±4 weeks and re-fit. Stable parameters should vary by &lt; 10%.</w:t>
      </w:r>
    </w:p>
    <w:p>
      <w:pPr>
        <w:pStyle w:val="Compact"/>
        <w:numPr>
          <w:ilvl w:val="0"/>
          <w:numId w:val="1039"/>
        </w:numPr>
      </w:pPr>
      <w:r>
        <w:rPr>
          <w:b/>
          <w:bCs/>
        </w:rPr>
        <w:t xml:space="preserve">Skip-weeks sensitivity</w:t>
      </w:r>
      <w:r>
        <w:t xml:space="preserve">: Vary SKIP_WEEKS from 0 to 8 and verify KCOR trajectories remain qualitatively similar.</w:t>
      </w:r>
    </w:p>
    <w:p>
      <w:pPr>
        <w:pStyle w:val="Compact"/>
        <w:numPr>
          <w:ilvl w:val="0"/>
          <w:numId w:val="1039"/>
        </w:numPr>
      </w:pPr>
      <w:r>
        <w:rPr>
          <w:b/>
          <w:bCs/>
        </w:rPr>
        <w:t xml:space="preserve">Baseline-shape alternatives</w:t>
      </w:r>
      <w:r>
        <w:t xml:space="preserve">: Compare default</w:t>
      </w:r>
      <w:r>
        <w:t xml:space="preserve"> </w:t>
      </w:r>
      <m:oMath>
        <m:r>
          <m:t>g</m:t>
        </m:r>
        <m:r>
          <m:rPr>
            <m:sty m:val="p"/>
          </m:rPr>
          <m:t>(</m:t>
        </m:r>
        <m:r>
          <m:t>t</m:t>
        </m:r>
        <m:r>
          <m:rPr>
            <m:sty m:val="p"/>
          </m:rPr>
          <m:t>)</m:t>
        </m:r>
        <m:r>
          <m:rPr>
            <m:sty m:val="p"/>
          </m:rPr>
          <m:t>=</m:t>
        </m:r>
        <m:r>
          <m:t>1</m:t>
        </m:r>
      </m:oMath>
      <w:r>
        <w:t xml:space="preserve"> </w:t>
      </w:r>
      <w:r>
        <w:t xml:space="preserve">to mild linear trends and verify normalization is not sensitive to this choice.</w:t>
      </w:r>
    </w:p>
    <w:p>
      <w:pPr>
        <w:pStyle w:val="FirstParagraph"/>
      </w:pPr>
      <w:r>
        <w:t xml:space="preserve">The sensitivity analysis (§3.3 and Figure 9) provides a systematic assessment of parameter stability.</w:t>
      </w:r>
    </w:p>
    <w:bookmarkEnd w:id="189"/>
    <w:bookmarkStart w:id="190" w:name="c.4-quiet-window-overlay-plots"/>
    <w:p>
      <w:pPr>
        <w:pStyle w:val="Heading4"/>
      </w:pPr>
      <w:r>
        <w:t xml:space="preserve">C.4 Quiet-window overlay plots</w:t>
      </w:r>
    </w:p>
    <w:p>
      <w:pPr>
        <w:pStyle w:val="FirstParagraph"/>
      </w:pPr>
      <w:r>
        <w:t xml:space="preserve">Recommended diagnostic: overlay the prespecified quiet window on hazard and cumulative-hazard time series plots. The fit window should:</w:t>
      </w:r>
    </w:p>
    <w:p>
      <w:pPr>
        <w:pStyle w:val="Compact"/>
        <w:numPr>
          <w:ilvl w:val="0"/>
          <w:numId w:val="1040"/>
        </w:numPr>
      </w:pPr>
      <w:r>
        <w:t xml:space="preserve">Avoid major epidemic waves or external mortality shocks</w:t>
      </w:r>
    </w:p>
    <w:p>
      <w:pPr>
        <w:pStyle w:val="Compact"/>
        <w:numPr>
          <w:ilvl w:val="0"/>
          <w:numId w:val="1040"/>
        </w:numPr>
      </w:pPr>
      <w:r>
        <w:t xml:space="preserve">Contain sufficient event counts for stable estimation</w:t>
      </w:r>
    </w:p>
    <w:p>
      <w:pPr>
        <w:pStyle w:val="Compact"/>
        <w:numPr>
          <w:ilvl w:val="0"/>
          <w:numId w:val="1040"/>
        </w:numPr>
      </w:pPr>
      <w:r>
        <w:t xml:space="preserve">Span a time range where baseline mortality is approximately stationary</w:t>
      </w:r>
    </w:p>
    <w:p>
      <w:pPr>
        <w:pStyle w:val="FirstParagraph"/>
      </w:pPr>
      <w:r>
        <w:t xml:space="preserve">Visual inspection of quiet-window placement relative to mortality dynamics is an essential diagnostic step.</w:t>
      </w:r>
    </w:p>
    <w:bookmarkEnd w:id="190"/>
    <w:bookmarkEnd w:id="191"/>
    <w:bookmarkStart w:id="200" w:name="X69b5e35053b6e4d59eb22647dfb47df86b0bc52"/>
    <w:p>
      <w:pPr>
        <w:pStyle w:val="Heading3"/>
      </w:pPr>
      <w:r>
        <w:t xml:space="preserve">Appendix D — Diagnostics and Failure Modes for KCOR Assumptions</w:t>
      </w:r>
    </w:p>
    <w:p>
      <w:pPr>
        <w:pStyle w:val="FirstParagraph"/>
      </w:pPr>
      <w:r>
        <w:t xml:space="preserve">This appendix describes the</w:t>
      </w:r>
      <w:r>
        <w:t xml:space="preserve"> </w:t>
      </w:r>
      <w:r>
        <w:rPr>
          <w:b/>
          <w:bCs/>
        </w:rPr>
        <w:t xml:space="preserve">observable diagnostics and failure modes</w:t>
      </w:r>
      <w:r>
        <w:t xml:space="preserve"> </w:t>
      </w:r>
      <w:r>
        <w:t xml:space="preserve">associated with each of the five KCOR assumptions (A1–A5). No additional assumptions are introduced here. KCOR is designed to</w:t>
      </w:r>
      <w:r>
        <w:t xml:space="preserve"> </w:t>
      </w:r>
      <w:r>
        <w:rPr>
          <w:b/>
          <w:bCs/>
        </w:rPr>
        <w:t xml:space="preserve">fail transparently rather than silently</w:t>
      </w:r>
      <w:r>
        <w:t xml:space="preserve">: when an assumption is violated, the resulting lack of identifiability or model stress manifests through explicit diagnostic signals rather than spurious estimates.</w:t>
      </w:r>
    </w:p>
    <w:bookmarkStart w:id="192" w:name="Xe3738a2c16164a2ac95ac03928e5c7877b0667e"/>
    <w:p>
      <w:pPr>
        <w:pStyle w:val="Heading4"/>
      </w:pPr>
      <w:r>
        <w:t xml:space="preserve">D.1 Diagnostics for Assumption A1 (Fixed cohorts at enrollment)</w:t>
      </w:r>
    </w:p>
    <w:p>
      <w:pPr>
        <w:pStyle w:val="FirstParagraph"/>
      </w:pPr>
      <w:r>
        <w:rPr>
          <w:b/>
          <w:bCs/>
        </w:rPr>
        <w:t xml:space="preserve">Assumption A1</w:t>
      </w:r>
      <w:r>
        <w:t xml:space="preserve"> </w:t>
      </w:r>
      <w:r>
        <w:t xml:space="preserve">requires that cohorts be fixed at enrollment, with no post-enrollment switching or censoring in the primary estimand.</w:t>
      </w:r>
    </w:p>
    <w:p>
      <w:pPr>
        <w:pStyle w:val="BodyText"/>
      </w:pPr>
      <w:r>
        <w:rPr>
          <w:b/>
          <w:bCs/>
        </w:rPr>
        <w:t xml:space="preserve">Diagnostic signals of violation.</w:t>
      </w:r>
    </w:p>
    <w:p>
      <w:pPr>
        <w:pStyle w:val="Compact"/>
        <w:numPr>
          <w:ilvl w:val="0"/>
          <w:numId w:val="1041"/>
        </w:numPr>
      </w:pPr>
      <w:r>
        <w:t xml:space="preserve">Inconsistencies in cohort risk sets (e.g., unexplained increases in at-risk counts).</w:t>
      </w:r>
    </w:p>
    <w:p>
      <w:pPr>
        <w:pStyle w:val="Compact"/>
        <w:numPr>
          <w:ilvl w:val="0"/>
          <w:numId w:val="1041"/>
        </w:numPr>
      </w:pPr>
      <w:r>
        <w:t xml:space="preserve">Early-time hazard suppression or inflation inconsistent with selection or depletion geometry.</w:t>
      </w:r>
    </w:p>
    <w:p>
      <w:pPr>
        <w:pStyle w:val="Compact"/>
        <w:numPr>
          <w:ilvl w:val="0"/>
          <w:numId w:val="1041"/>
        </w:numPr>
      </w:pPr>
      <w:r>
        <w:t xml:space="preserve">Dependence of results on as-treated reclassification or censoring rules.</w:t>
      </w:r>
    </w:p>
    <w:p>
      <w:pPr>
        <w:pStyle w:val="FirstParagraph"/>
      </w:pPr>
      <w:r>
        <w:rPr>
          <w:b/>
          <w:bCs/>
        </w:rPr>
        <w:t xml:space="preserve">Interpretation.</w:t>
      </w:r>
      <w:r>
        <w:t xml:space="preserve"> </w:t>
      </w:r>
      <w:r>
        <w:t xml:space="preserve">KCOR is not defined for datasets with post-enrollment switching or informative censoring in the primary estimand. Such violations are design-level failures rather than modeling failures and indicate that KCOR should not be applied without redefining cohorts.</w:t>
      </w:r>
    </w:p>
    <w:bookmarkEnd w:id="192"/>
    <w:bookmarkStart w:id="193" w:name="X39f360dcd9bb0e6d00df4e123204743a8bdbf2a"/>
    <w:p>
      <w:pPr>
        <w:pStyle w:val="Heading4"/>
      </w:pPr>
      <w:r>
        <w:t xml:space="preserve">D.2 Diagnostics for Assumption A2 (Shared external hazard environment)</w:t>
      </w:r>
    </w:p>
    <w:p>
      <w:pPr>
        <w:pStyle w:val="FirstParagraph"/>
      </w:pPr>
      <w:r>
        <w:rPr>
          <w:b/>
          <w:bCs/>
        </w:rPr>
        <w:t xml:space="preserve">Assumption A2</w:t>
      </w:r>
      <w:r>
        <w:t xml:space="preserve"> </w:t>
      </w:r>
      <w:r>
        <w:t xml:space="preserve">requires that all cohorts experience the same calendar-time external mortality environment.</w:t>
      </w:r>
    </w:p>
    <w:p>
      <w:pPr>
        <w:pStyle w:val="BodyText"/>
      </w:pPr>
      <w:r>
        <w:rPr>
          <w:b/>
          <w:bCs/>
        </w:rPr>
        <w:t xml:space="preserve">Diagnostic signals of violation.</w:t>
      </w:r>
    </w:p>
    <w:p>
      <w:pPr>
        <w:pStyle w:val="Compact"/>
        <w:numPr>
          <w:ilvl w:val="0"/>
          <w:numId w:val="1042"/>
        </w:numPr>
      </w:pPr>
      <w:r>
        <w:t xml:space="preserve">Calendar-time hazard spikes or drops that appear in only one cohort.</w:t>
      </w:r>
    </w:p>
    <w:p>
      <w:pPr>
        <w:pStyle w:val="Compact"/>
        <w:numPr>
          <w:ilvl w:val="0"/>
          <w:numId w:val="1042"/>
        </w:numPr>
      </w:pPr>
      <w:r>
        <w:t xml:space="preserve">Misalignment of major mortality shocks (e.g., epidemic waves) across cohorts.</w:t>
      </w:r>
    </w:p>
    <w:p>
      <w:pPr>
        <w:pStyle w:val="Compact"/>
        <w:numPr>
          <w:ilvl w:val="0"/>
          <w:numId w:val="1042"/>
        </w:numPr>
      </w:pPr>
      <w:r>
        <w:t xml:space="preserve">Cohort-specific reporting artifacts or administrative discontinuities.</w:t>
      </w:r>
    </w:p>
    <w:p>
      <w:pPr>
        <w:pStyle w:val="FirstParagraph"/>
      </w:pPr>
      <w:r>
        <w:rPr>
          <w:b/>
          <w:bCs/>
        </w:rPr>
        <w:t xml:space="preserve">Interpretation.</w:t>
      </w:r>
      <w:r>
        <w:t xml:space="preserve"> </w:t>
      </w:r>
      <w:r>
        <w:t xml:space="preserve">External shocks are permitted under KCOR provided they act symmetrically across cohorts. Cohort-specific shocks violate comparability and are visible directly in calendar-time hazard overlays. When detected, such violations limit interpretation of KCOR contrasts over affected periods.</w:t>
      </w:r>
    </w:p>
    <w:bookmarkEnd w:id="193"/>
    <w:bookmarkStart w:id="194" w:name="X681d6c8e66603a33484a5fa5b4d7675a7826b35"/>
    <w:p>
      <w:pPr>
        <w:pStyle w:val="Heading4"/>
      </w:pPr>
      <w:r>
        <w:t xml:space="preserve">D.3 Diagnostics for Assumption A3 (Selection via time-invariant latent frailty)</w:t>
      </w:r>
    </w:p>
    <w:p>
      <w:pPr>
        <w:pStyle w:val="FirstParagraph"/>
      </w:pPr>
      <w:r>
        <w:rPr>
          <w:b/>
          <w:bCs/>
        </w:rPr>
        <w:t xml:space="preserve">Assumption A3</w:t>
      </w:r>
      <w:r>
        <w:t xml:space="preserve"> </w:t>
      </w:r>
      <w:r>
        <w:t xml:space="preserve">posits that selection at enrollment operates primarily through differences in a time-invariant latent frailty distribution that induces depletion of susceptibles.</w:t>
      </w:r>
    </w:p>
    <w:p>
      <w:pPr>
        <w:pStyle w:val="BodyText"/>
      </w:pPr>
      <w:r>
        <w:rPr>
          <w:b/>
          <w:bCs/>
        </w:rPr>
        <w:t xml:space="preserve">Diagnostic signals of violation.</w:t>
      </w:r>
    </w:p>
    <w:p>
      <w:pPr>
        <w:pStyle w:val="Compact"/>
        <w:numPr>
          <w:ilvl w:val="0"/>
          <w:numId w:val="1043"/>
        </w:numPr>
      </w:pPr>
      <w:r>
        <w:t xml:space="preserve">Strongly structured residuals in cumulative-hazard space inconsistent with depletion.</w:t>
      </w:r>
    </w:p>
    <w:p>
      <w:pPr>
        <w:pStyle w:val="Compact"/>
        <w:numPr>
          <w:ilvl w:val="0"/>
          <w:numId w:val="1043"/>
        </w:numPr>
      </w:pPr>
      <w:r>
        <w:t xml:space="preserve">Instability of fitted frailty parameters not attributable to window placement.</w:t>
      </w:r>
    </w:p>
    <w:p>
      <w:pPr>
        <w:pStyle w:val="Compact"/>
        <w:numPr>
          <w:ilvl w:val="0"/>
          <w:numId w:val="1043"/>
        </w:numPr>
      </w:pPr>
      <w:r>
        <w:t xml:space="preserve">Early-time transients that do not decay and are inconsistent across related cohorts.</w:t>
      </w:r>
    </w:p>
    <w:p>
      <w:pPr>
        <w:pStyle w:val="FirstParagraph"/>
      </w:pPr>
      <w:r>
        <w:rPr>
          <w:b/>
          <w:bCs/>
        </w:rPr>
        <w:t xml:space="preserve">Interpretation.</w:t>
      </w:r>
      <w:r>
        <w:t xml:space="preserve"> </w:t>
      </w:r>
      <w:r>
        <w:t xml:space="preserve">Frailty in KCOR is a geometric construct capturing unobserved heterogeneity, not a causal mechanism. If dominant time-varying individual risk unrelated to depletion is present, curvature attributed to frailty becomes unstable. Such cases are revealed by residual structure and parameter instability rather than masked by the model.</w:t>
      </w:r>
    </w:p>
    <w:bookmarkEnd w:id="194"/>
    <w:bookmarkStart w:id="195" w:name="X810b9431575fbeab7b91f5a140a669b822d9eaf"/>
    <w:p>
      <w:pPr>
        <w:pStyle w:val="Heading4"/>
      </w:pPr>
      <w:r>
        <w:t xml:space="preserve">D.4 Diagnostics for Assumption A4 (Adequacy of gamma frailty approximation)</w:t>
      </w:r>
    </w:p>
    <w:p>
      <w:pPr>
        <w:pStyle w:val="FirstParagraph"/>
      </w:pPr>
      <w:r>
        <w:rPr>
          <w:b/>
          <w:bCs/>
        </w:rPr>
        <w:t xml:space="preserve">Assumption A4</w:t>
      </w:r>
      <w:r>
        <w:t xml:space="preserve"> </w:t>
      </w:r>
      <w:r>
        <w:t xml:space="preserve">requires that gamma frailty provides an adequate approximation to the depletion geometry observed in cumulative-hazard space over the estimation window.</w:t>
      </w:r>
    </w:p>
    <w:p>
      <w:pPr>
        <w:pStyle w:val="BodyText"/>
      </w:pPr>
      <w:r>
        <w:rPr>
          <w:b/>
          <w:bCs/>
        </w:rPr>
        <w:t xml:space="preserve">Diagnostic signals of violation.</w:t>
      </w:r>
    </w:p>
    <w:p>
      <w:pPr>
        <w:pStyle w:val="Compact"/>
        <w:numPr>
          <w:ilvl w:val="0"/>
          <w:numId w:val="1044"/>
        </w:numPr>
      </w:pPr>
      <w:r>
        <w:t xml:space="preserve">Poor fit of the gamma-frailty cumulative-hazard model during the quiet window.</w:t>
      </w:r>
    </w:p>
    <w:p>
      <w:pPr>
        <w:pStyle w:val="Compact"/>
        <w:numPr>
          <w:ilvl w:val="0"/>
          <w:numId w:val="1044"/>
        </w:numPr>
      </w:pPr>
      <w:r>
        <w:t xml:space="preserve">Systematic residual curvature after frailty normalization.</w:t>
      </w:r>
    </w:p>
    <w:p>
      <w:pPr>
        <w:pStyle w:val="Compact"/>
        <w:numPr>
          <w:ilvl w:val="0"/>
          <w:numId w:val="1044"/>
        </w:numPr>
      </w:pPr>
      <w:r>
        <w:t xml:space="preserve">Strong sensitivity of results to minor model or window perturbations.</w:t>
      </w:r>
    </w:p>
    <w:p>
      <w:pPr>
        <w:pStyle w:val="FirstParagraph"/>
      </w:pPr>
      <w:r>
        <w:t xml:space="preserve">Additional internal diagnostics for Assumption A4 include the magnitude, coherence, and stability of the fitted frailty variance parameter (θ). Values of θ approaching zero are expected when cumulative hazards are approximately linear, while larger values correspond to visible depletion-induced curvature. Implausible θ estimates—such as large values in the absence of curvature, sign instability, or extreme sensitivity to small changes in the estimation window—indicate model stress or misspecification rather than substantive cohort effects.</w:t>
      </w:r>
    </w:p>
    <w:p>
      <w:pPr>
        <w:pStyle w:val="BodyText"/>
      </w:pPr>
      <w:r>
        <w:rPr>
          <w:b/>
          <w:bCs/>
        </w:rPr>
        <w:t xml:space="preserve">Interpretation.</w:t>
      </w:r>
      <w:r>
        <w:t xml:space="preserve"> </w:t>
      </w:r>
      <w:r>
        <w:t xml:space="preserve">Gamma frailty is used as a mathematically tractable approximation, not as a claim of biological truth. When depletion geometry deviates substantially from the gamma form, KCOR normalization fails visibly through poor fit and residual curvature. Such behavior indicates model inadequacy rather than supporting alternative interpretation.</w:t>
      </w:r>
    </w:p>
    <w:bookmarkEnd w:id="195"/>
    <w:bookmarkStart w:id="196" w:name="Xcaaaf1aa538be62697c3926e555dd3ad2ffc5b5"/>
    <w:p>
      <w:pPr>
        <w:pStyle w:val="Heading4"/>
      </w:pPr>
      <w:r>
        <w:t xml:space="preserve">D.5 Diagnostics for Assumption A5 (Quiet-window validity)</w:t>
      </w:r>
    </w:p>
    <w:p>
      <w:pPr>
        <w:pStyle w:val="FirstParagraph"/>
      </w:pPr>
      <w:r>
        <w:rPr>
          <w:b/>
          <w:bCs/>
        </w:rPr>
        <w:t xml:space="preserve">Assumption A5</w:t>
      </w:r>
      <w:r>
        <w:t xml:space="preserve"> </w:t>
      </w:r>
      <w:r>
        <w:t xml:space="preserve">requires the existence of a prespecified quiet window in which selection-induced depletion dominates other sources of curvature, permitting identification of frailty parameters.</w:t>
      </w:r>
    </w:p>
    <w:p>
      <w:pPr>
        <w:pStyle w:val="BodyText"/>
      </w:pPr>
      <w:r>
        <w:rPr>
          <w:b/>
          <w:bCs/>
        </w:rPr>
        <w:t xml:space="preserve">Diagnostic signals of violation.</w:t>
      </w:r>
    </w:p>
    <w:p>
      <w:pPr>
        <w:pStyle w:val="Compact"/>
        <w:numPr>
          <w:ilvl w:val="0"/>
          <w:numId w:val="1045"/>
        </w:numPr>
      </w:pPr>
      <w:r>
        <w:t xml:space="preserve">Failure of KCOR(t) trajectories to stabilize or asymptote following frailty normalization.</w:t>
      </w:r>
    </w:p>
    <w:p>
      <w:pPr>
        <w:pStyle w:val="Compact"/>
        <w:numPr>
          <w:ilvl w:val="0"/>
          <w:numId w:val="1045"/>
        </w:numPr>
      </w:pPr>
      <w:r>
        <w:t xml:space="preserve">Persistent nonzero slope in KCOR(t), indicating residual curvature after normalization.</w:t>
      </w:r>
    </w:p>
    <w:p>
      <w:pPr>
        <w:pStyle w:val="Compact"/>
        <w:numPr>
          <w:ilvl w:val="0"/>
          <w:numId w:val="1045"/>
        </w:numPr>
      </w:pPr>
      <w:r>
        <w:t xml:space="preserve">Instability of fitted frailty parameters (θ) under small perturbations of quiet-window boundaries.</w:t>
      </w:r>
    </w:p>
    <w:p>
      <w:pPr>
        <w:pStyle w:val="Compact"/>
        <w:numPr>
          <w:ilvl w:val="0"/>
          <w:numId w:val="1045"/>
        </w:numPr>
      </w:pPr>
      <w:r>
        <w:t xml:space="preserve">Failure of depletion-neutralized cumulative hazards to become approximately linear during the quiet window.</w:t>
      </w:r>
    </w:p>
    <w:p>
      <w:pPr>
        <w:pStyle w:val="Compact"/>
        <w:numPr>
          <w:ilvl w:val="0"/>
          <w:numId w:val="1045"/>
        </w:numPr>
      </w:pPr>
      <w:r>
        <w:t xml:space="preserve">Degraded cumulative-hazard fit error concentrated within the nominal quiet period.</w:t>
      </w:r>
    </w:p>
    <w:p>
      <w:pPr>
        <w:pStyle w:val="FirstParagraph"/>
      </w:pPr>
      <w:r>
        <w:rPr>
          <w:b/>
          <w:bCs/>
        </w:rPr>
        <w:t xml:space="preserve">Interpretation.</w:t>
      </w:r>
      <w:r>
        <w:t xml:space="preserve"> </w:t>
      </w:r>
      <w:r>
        <w:t xml:space="preserve">Quiet-window validity is the primary dataset-specific requirement for KCOR applicability. When this assumption fails—e.g., due to overlap with strong treatment effects or external shocks—KCOR does not amplify spurious signals. Instead, normalization becomes unstable and KCOR trajectories attenuate toward unity or fail to stabilize, explicitly signaling loss of identifiability.</w:t>
      </w:r>
    </w:p>
    <w:p>
      <w:pPr>
        <w:pStyle w:val="BodyText"/>
      </w:pPr>
      <w:r>
        <w:t xml:space="preserve">Under a valid quiet window, frailty-normalized cumulative hazards are expected to be approximately linear and KCOR(t) trajectories to stabilize rather than drift. Persistent KCOR slope or θ instability indicates contamination of the quiet window by external shocks or time-varying effects and signals loss of identifiability rather than evidence of cohort differences.</w:t>
      </w:r>
    </w:p>
    <w:bookmarkEnd w:id="196"/>
    <w:bookmarkStart w:id="197" w:name="X4697312edb91442c28e4c7966c61f59d358df3d"/>
    <w:p>
      <w:pPr>
        <w:pStyle w:val="Heading4"/>
      </w:pPr>
      <w:r>
        <w:t xml:space="preserve">D.6 Diagnostic coherence across assumptions</w:t>
      </w:r>
    </w:p>
    <w:p>
      <w:pPr>
        <w:pStyle w:val="FirstParagraph"/>
      </w:pPr>
      <w:r>
        <w:t xml:space="preserve">Several diagnostics operate across assumptions A4 and A5, including stabilization of KCOR(t) trajectories and coherence of fitted θ parameters with observed cumulative-hazard curvature. These diagnostics are not assumptions of the KCOR framework; rather, they are observable consequences of successful frailty normalization. When these behaviors fail to emerge, KCOR explicitly signals reduced interpretability through residual curvature, parameter instability, or attenuation toward unity.</w:t>
      </w:r>
    </w:p>
    <w:bookmarkEnd w:id="197"/>
    <w:bookmarkStart w:id="198" w:name="d.7-identifiability-under-sparse-data"/>
    <w:p>
      <w:pPr>
        <w:pStyle w:val="Heading4"/>
      </w:pPr>
      <w:r>
        <w:t xml:space="preserve">D.7 Identifiability under sparse data</w:t>
      </w:r>
    </w:p>
    <w:p>
      <w:pPr>
        <w:pStyle w:val="FirstParagraph"/>
      </w:pPr>
      <w:r>
        <w:t xml:space="preserve">KCOR does not require large sample sizes by assumption; however, reliable estimation of frailty parameters and depletion-neutralized cumulative hazards requires sufficient event information within the identification window. When event counts are very small, frailty estimates may become unstable, resulting in noisy normalization, non-linear baseline cumulative hazards, or drifting KCOR trajectories.</w:t>
      </w:r>
    </w:p>
    <w:p>
      <w:pPr>
        <w:pStyle w:val="BodyText"/>
      </w:pPr>
      <w:r>
        <w:t xml:space="preserve">Importantly, such failures are diagnosable: sparse-data regimes are characterized by instability of estimated frailty parameters under small perturbations of the quiet window, loss of post-normalization linearity, and non-stabilizing KCOR(t). In these cases, KCOR signals loss of identifiability rather than producing spurious effects. Applicability should therefore be assessed via diagnostic stability rather than nominal sample size thresholds.</w:t>
      </w:r>
    </w:p>
    <w:bookmarkEnd w:id="198"/>
    <w:bookmarkStart w:id="199" w:name="X6c73c4ccb2a4c028b15fd59c9fb7f49770df43b"/>
    <w:p>
      <w:pPr>
        <w:pStyle w:val="Heading4"/>
      </w:pPr>
      <w:r>
        <w:t xml:space="preserve">D.8 Summary: Diagnostic enforcement rather than assumption inflation</w:t>
      </w:r>
    </w:p>
    <w:p>
      <w:pPr>
        <w:pStyle w:val="FirstParagraph"/>
      </w:pPr>
      <w:r>
        <w:t xml:space="preserve">KCOR relies on exactly five assumptions (A1–A5), stated exhaustively in §2.1.1. This appendix demonstrates that each assumption has</w:t>
      </w:r>
      <w:r>
        <w:t xml:space="preserve"> </w:t>
      </w:r>
      <w:r>
        <w:rPr>
          <w:b/>
          <w:bCs/>
        </w:rPr>
        <w:t xml:space="preserve">explicit, observable diagnostics</w:t>
      </w:r>
      <w:r>
        <w:t xml:space="preserve"> </w:t>
      </w:r>
      <w:r>
        <w:t xml:space="preserve">and</w:t>
      </w:r>
      <w:r>
        <w:t xml:space="preserve"> </w:t>
      </w:r>
      <w:r>
        <w:rPr>
          <w:b/>
          <w:bCs/>
        </w:rPr>
        <w:t xml:space="preserve">well-defined failure modes</w:t>
      </w:r>
      <w:r>
        <w:t xml:space="preserve">. When assumptions are violated, KCOR signals reduced interpretability through instability, poor fit, or residual structure rather than producing misleading cumulative contrasts. This diagnostic enforcement is a core design feature of the KCOR framework.</w:t>
      </w:r>
    </w:p>
    <w:bookmarkEnd w:id="199"/>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67" Target="media/rId67.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3" Target="media/rId113.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hyperlink" Id="rId161" Target="https://doi.org/10.2147/CLEP.S468572" TargetMode="External" /><Relationship Type="http://schemas.openxmlformats.org/officeDocument/2006/relationships/hyperlink" Id="rId159" Target="https://doi.org/10.2307/2061224" TargetMode="External" /><Relationship Type="http://schemas.openxmlformats.org/officeDocument/2006/relationships/hyperlink" Id="rId152" Target="https://doi.org/10.5281/zenodo.18050329" TargetMode="External" /><Relationship Type="http://schemas.openxmlformats.org/officeDocument/2006/relationships/hyperlink" Id="rId163" Target="https://doi.org/10.7554/eLife.103690" TargetMode="External" /><Relationship Type="http://schemas.openxmlformats.org/officeDocument/2006/relationships/hyperlink" Id="rId151" Target="https://github.com/skirsch/KCOR" TargetMode="External" /></Relationships>
</file>

<file path=word/_rels/footnotes.xml.rels><?xml version="1.0" encoding="UTF-8"?><Relationships xmlns="http://schemas.openxmlformats.org/package/2006/relationships"><Relationship Type="http://schemas.openxmlformats.org/officeDocument/2006/relationships/hyperlink" Id="rId161" Target="https://doi.org/10.2147/CLEP.S468572" TargetMode="External" /><Relationship Type="http://schemas.openxmlformats.org/officeDocument/2006/relationships/hyperlink" Id="rId159" Target="https://doi.org/10.2307/2061224" TargetMode="External" /><Relationship Type="http://schemas.openxmlformats.org/officeDocument/2006/relationships/hyperlink" Id="rId152" Target="https://doi.org/10.5281/zenodo.18050329" TargetMode="External" /><Relationship Type="http://schemas.openxmlformats.org/officeDocument/2006/relationships/hyperlink" Id="rId163" Target="https://doi.org/10.7554/eLife.103690" TargetMode="External" /><Relationship Type="http://schemas.openxmlformats.org/officeDocument/2006/relationships/hyperlink" Id="rId151" Target="https://github.com/skirsch/KC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2026-01-01T02:10:38Z</dcterms:created>
  <dcterms:modified xsi:type="dcterms:W3CDTF">2026-01-01T02:10:38Z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american-medical-association.csl</vt:lpwstr>
  </property>
  <property fmtid="{D5CDD505-2E9C-101B-9397-08002B2CF9AE}" pid="15" name="eqLabels">
    <vt:lpwstr>arabic</vt:lpwstr>
  </property>
  <property fmtid="{D5CDD505-2E9C-101B-9397-08002B2CF9AE}" pid="16" name="eqnBlockInlineMath">
    <vt:lpwstr>True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(i)</vt:lpwstr>
  </property>
  <property fmtid="{D5CDD505-2E9C-101B-9397-08002B2CF9AE}" pid="24" name="eqnTemplate">
    <vt:lpwstr>(i)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i</vt:lpwstr>
  </property>
  <property fmtid="{D5CDD505-2E9C-101B-9397-08002B2CF9AE}" pid="29" name="figureTemplate">
    <vt:lpwstr>i</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True</vt:lpwstr>
  </property>
  <property fmtid="{D5CDD505-2E9C-101B-9397-08002B2CF9AE}" pid="68" name="tableTemplate">
    <vt:lpwstr>i</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i</vt:lpwstr>
  </property>
  <property fmtid="{D5CDD505-2E9C-101B-9397-08002B2CF9AE}" pid="73" name="titleDelim">
    <vt:lpwstr/>
  </property>
</Properties>
</file>