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100.png" ContentType="image/png"/>
  <Override PartName="/word/media/rId104.png" ContentType="image/png"/>
  <Override PartName="/word/media/rId79.png" ContentType="image/png"/>
  <Override PartName="/word/media/rId83.png" ContentType="image/png"/>
  <Override PartName="/word/media/rId73.png" ContentType="image/png"/>
  <Override PartName="/word/media/rId94.png" ContentType="image/png"/>
  <Override PartName="/word/media/rId112.png" ContentType="image/png"/>
  <Override PartName="/word/media/rId135.png" ContentType="image/png"/>
  <Override PartName="/word/media/rId131.png" ContentType="image/png"/>
  <Override PartName="/word/media/rId118.png" ContentType="image/png"/>
  <Override PartName="/word/media/rId127.png" ContentType="image/png"/>
  <Override PartName="/word/media/rId123.png" ContentType="image/png"/>
  <Override PartName="/word/media/rId139.png" ContentType="image/png"/>
  <Override PartName="/word/media/rId236.png" ContentType="image/png"/>
  <Override PartName="/word/media/rId218.png" ContentType="image/png"/>
  <Override PartName="/word/media/rId222.png" ContentType="image/png"/>
  <Override PartName="/word/media/rId2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2" w:name="X87404fd0c70b5b6a5b8bf836f021ef75f69b977"/>
    <w:p>
      <w:pPr>
        <w:pStyle w:val="Heading1"/>
      </w:pPr>
      <w:r>
        <w:t xml:space="preserve">KCOR: A Depletion-Neutralized Cohort Comparison Framework Using Gamma-Frailty Normalization Under Selection-Induced Hazard Curvature</w:t>
      </w:r>
    </w:p>
    <w:bookmarkStart w:id="9" w:name="manuscript-metadata"/>
    <w:p>
      <w:pPr>
        <w:pStyle w:val="Heading2"/>
      </w:pPr>
      <w:r>
        <w:t xml:space="preserve">Manuscript metadata</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12,100 (excluding Abstract, References, and Supplementary material)</w:t>
      </w:r>
    </w:p>
    <w:p>
      <w:pPr>
        <w:pStyle w:val="Compact"/>
        <w:numPr>
          <w:ilvl w:val="0"/>
          <w:numId w:val="1001"/>
        </w:numPr>
      </w:pPr>
      <w:r>
        <w:rPr>
          <w:b/>
          <w:bCs/>
        </w:rPr>
        <w:t xml:space="preserve">Keywords</w:t>
      </w:r>
      <w:r>
        <w:t xml:space="preserve">: survival analysis; frailty models; non-proportional hazards; cumulative hazard; selection bias; retrospective cohort studies; observational studies; simulation study</w:t>
      </w:r>
    </w:p>
    <w:bookmarkEnd w:id="9"/>
    <w:bookmarkStart w:id="10" w:name="abstract"/>
    <w:p>
      <w:pPr>
        <w:pStyle w:val="Heading2"/>
      </w:pPr>
      <w:r>
        <w:t xml:space="preserve">Abstract</w:t>
      </w:r>
    </w:p>
    <w:p>
      <w:pPr>
        <w:pStyle w:val="FirstParagraph"/>
      </w:pPr>
      <w:r>
        <w:t xml:space="preserve">Retrospective cohort comparisons are widely used when randomized trials are infeasible, but selection-induced frailty heterogeneity can produce non-proportional hazards that invalidate standard survival estimands. We introduce the Kirsch Cumulative Outcomes Ratio (KCOR), a cumulative-hazard normalization and comparison framework designed for retrospective cohorts using minimal registry data (e.g., dates of birth, intervention, and event). KCOR operates by estimating cohort-specific frailty during epidemiologically quiet periods, transforming observed cumulative hazards into a depletion-neutralized space, and defining a cumulative hazard ratio as the target estimand.</w:t>
      </w:r>
    </w:p>
    <w:p>
      <w:pPr>
        <w:pStyle w:val="BodyText"/>
      </w:pPr>
      <w:r>
        <w:t xml:space="preserve">Using simulation studies structured to vary frailty heterogeneity and selection strength, we evaluate KCOR alongside commonly used alternative estimands under both null and non-null conditions. Under selection-only scenarios, KCOR remains centered near the null with stable trajectories, whereas survival-based and hazard-based estimands exhibit systematic non-null behavior driven by residual depletion effects. KCOR defines a cumulative hazard ratio after explicit normalization of selection-induced depletion; it is presented as a diagnostic and normalization framework rather than a causal estimator, with interpretation contingent on stated assumptions and validated through prespecified simulations and control tests.</w:t>
      </w:r>
    </w:p>
    <w:bookmarkEnd w:id="10"/>
    <w:bookmarkStart w:id="11" w:name="key-messages"/>
    <w:p>
      <w:pPr>
        <w:pStyle w:val="Heading2"/>
      </w:pPr>
      <w:r>
        <w:t xml:space="preserve">Key messages</w:t>
      </w:r>
    </w:p>
    <w:p>
      <w:pPr>
        <w:pStyle w:val="FirstParagraph"/>
      </w:pPr>
      <w:r>
        <w:t xml:space="preserve">• Selection-induced depletion under latent frailty heterogeneity precludes reliable use of proportional hazards–based methods in many retrospective cohort studies.</w:t>
      </w:r>
    </w:p>
    <w:p>
      <w:pPr>
        <w:pStyle w:val="BodyText"/>
      </w:pPr>
      <w:r>
        <w:t xml:space="preserve">• KCOR enables depletion-neutralized cumulative outcome comparisons using only minimal event-time information (e.g., dates of birth, intervention, and death), without requiring covariate completeness or proportional hazards assumptions.</w:t>
      </w:r>
    </w:p>
    <w:p>
      <w:pPr>
        <w:pStyle w:val="BodyText"/>
      </w:pPr>
      <w:r>
        <w:t xml:space="preserve">• Simulation studies show that KCOR remains stable under selection-only regimes, whereas proportional hazards–based Cox regression can produce non-null hazard ratios driven by selection-induced depletion rather than true signal.</w:t>
      </w:r>
    </w:p>
    <w:bookmarkEnd w:id="11"/>
    <w:bookmarkStart w:id="29" w:name="introduction"/>
    <w:p>
      <w:pPr>
        <w:pStyle w:val="Heading2"/>
      </w:pPr>
      <w:r>
        <w:t xml:space="preserve">1. Introduction</w:t>
      </w:r>
    </w:p>
    <w:bookmarkStart w:id="12"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Although mortality is used throughout this paper as a motivating and concrete example, the method applies more generally to any irreversible event process observed in a fixed cohort, including hospitalization, disease onset, or other terminal or absorbing states. Mortality is emphasized here because it is objectively defined, reliably recorded in many national datasets, and free from outcome-dependent ascertainment biases that complicate other endpoints.</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2"/>
    <w:bookmarkStart w:id="13"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2"/>
        </w:numPr>
      </w:pPr>
      <w:r>
        <w:rPr>
          <w:b/>
          <w:bCs/>
        </w:rPr>
        <w:t xml:space="preserve">Cox PH</w:t>
      </w:r>
      <w:r>
        <w:t xml:space="preserve">: assumes hazards differ by a time-invariant multiplicative factor (proportional hazards).</w:t>
      </w:r>
    </w:p>
    <w:p>
      <w:pPr>
        <w:pStyle w:val="Compact"/>
        <w:numPr>
          <w:ilvl w:val="0"/>
          <w:numId w:val="1002"/>
        </w:numPr>
      </w:pPr>
      <w:r>
        <w:rPr>
          <w:b/>
          <w:bCs/>
        </w:rPr>
        <w:t xml:space="preserve">IPTW / matching</w:t>
      </w:r>
      <w:r>
        <w:t xml:space="preserve">: can balance measured covariates yet fail to balance unmeasured frailty and the resulting depletion dynamics.</w:t>
      </w:r>
    </w:p>
    <w:p>
      <w:pPr>
        <w:pStyle w:val="Compact"/>
        <w:numPr>
          <w:ilvl w:val="0"/>
          <w:numId w:val="1002"/>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The methodological problem addressed here is general. The COVID-19 period provides a natural empirical regime characterized by strong selection heterogeneity and non-proportional hazards, serving as a useful illustration for the proposed framework. However, KCOR is not specific to COVID, vaccination, or infectious disease. The estimator applies to any retrospective cohort comparison in which selection induces differential depletion dynamics that violate proportional hazards assumptions. KCOR refers to the method as presented here; earlier internal iterations are not material to the estimand or results and are omitted for clarity.</w:t>
      </w:r>
    </w:p>
    <w:p>
      <w:pPr>
        <w:pStyle w:val="BodyText"/>
      </w:pPr>
      <w:r>
        <w:t xml:space="preserve">In this paper we distinguish two mechanisms often lumped as the</w:t>
      </w:r>
      <w:r>
        <w:t xml:space="preserve"> </w:t>
      </w:r>
      <w:r>
        <w:t xml:space="preserve">‘healthy vaccinee effect’</w:t>
      </w:r>
      <w:r>
        <w:t xml:space="preserve"> </w:t>
      </w:r>
      <w:r>
        <w:t xml:space="preserve">(HVE):</w:t>
      </w:r>
    </w:p>
    <w:p>
      <w:pPr>
        <w:numPr>
          <w:ilvl w:val="0"/>
          <w:numId w:val="1003"/>
        </w:numPr>
      </w:pPr>
      <w:r>
        <w:rPr>
          <w:b/>
          <w:bCs/>
        </w:rPr>
        <w:t xml:space="preserve">Static HVE:</w:t>
      </w:r>
      <w:r>
        <w:t xml:space="preserve"> </w:t>
      </w:r>
      <w:r>
        <w:t xml:space="preserve">baseline differences in latent frailty distributions at cohort entry (e.g., vaccinated cohorts are healthier on average). In the KCOR framework, this manifests as differing depletion curvature (different</w:t>
      </w:r>
      <w:r>
        <w:t xml:space="preserve"> </w:t>
      </w:r>
      <m:oMath>
        <m:sSub>
          <m:e>
            <m:r>
              <m:t>θ</m:t>
            </m:r>
          </m:e>
          <m:sub>
            <m:r>
              <m:t>d</m:t>
            </m:r>
          </m:sub>
        </m:sSub>
      </m:oMath>
      <w:r>
        <w:t xml:space="preserve">) and is the primary target of frailty normalization.</w:t>
      </w:r>
    </w:p>
    <w:p>
      <w:pPr>
        <w:numPr>
          <w:ilvl w:val="0"/>
          <w:numId w:val="1003"/>
        </w:numPr>
      </w:pPr>
      <w:r>
        <w:rPr>
          <w:b/>
          <w:bCs/>
        </w:rPr>
        <w:t xml:space="preserve">Dynamic HVE:</w:t>
      </w:r>
      <w:r>
        <w:t xml:space="preserve"> </w:t>
      </w:r>
      <w:r>
        <w:t xml:space="preserve">short-horizon, time-local selection processes around enrollment that create transient hazard suppression immediately after enrollment (e.g., deferral of vaccination during acute illness, administrative timing, or short-term behavioral/health-seeking changes). Dynamic HVE is operationally addressed by prespecifying a skip/stabilization window (§2.7) and can be evaluated empirically by comparing early-period signatures across related cohorts in multi-dose settings.</w:t>
      </w:r>
    </w:p>
    <w:bookmarkEnd w:id="13"/>
    <w:bookmarkStart w:id="18" w:name="X974696bf5bcaf66698b40c6142794e9a43502cb"/>
    <w:p>
      <w:pPr>
        <w:pStyle w:val="Heading3"/>
      </w:pPr>
      <w:r>
        <w:t xml:space="preserve">1.3 Related work: frailty, depletion of susceptibles, and selection-induced non-proportional hazards</w:t>
      </w:r>
    </w:p>
    <w:p>
      <w:pPr>
        <w:pStyle w:val="FirstParagraph"/>
      </w:pPr>
      <w:r>
        <w:t xml:space="preserve">The examples in this section are intended to be illustrative rather than exhaustive, and are chosen to demonstrate common patterns that arise in retrospective cohort data. They should not be interpreted as defining the scope of applicability of the method, which is agnostic to the specific intervention or event under study.</w:t>
      </w:r>
    </w:p>
    <w:p>
      <w:pPr>
        <w:pStyle w:val="BodyText"/>
      </w:pPr>
      <w:r>
        <w:t xml:space="preserve">KCOR builds on a long literature on unobserved heterogeneity (</w:t>
      </w:r>
      <w:r>
        <w:t xml:space="preserve">‘frailty’</w:t>
      </w:r>
      <w:r>
        <w:t xml:space="preserve">) and depletion of susceptibles, in which population-level hazards can decelerate over time even when individual hazards are simple. The gamma frailty model is widely used because its Laplace transform yields a closed-form relationship between baseline and observed survival/cumulative hazard, enabling tractable inference and interpretation.</w:t>
      </w:r>
      <w:r>
        <w:rPr>
          <w:vertAlign w:val="superscript"/>
        </w:rPr>
        <w:t xml:space="preserve">1</w:t>
      </w:r>
    </w:p>
    <w:p>
      <w:pPr>
        <w:pStyle w:val="BodyText"/>
      </w:pPr>
      <w:r>
        <w:t xml:space="preserve">As a concrete illustration, a separate literature emphasizes that observational estimates of vaccine effectiveness can remain confounded despite extensive matching and adjustment, often revealed by negative control outcomes and time-varying non-COVID mortality differences.</w:t>
      </w:r>
      <w:r>
        <w:rPr>
          <w:vertAlign w:val="superscript"/>
        </w:rPr>
        <w:t xml:space="preserve">2,3</w:t>
      </w:r>
      <w:r>
        <w:t xml:space="preserve"> </w:t>
      </w:r>
      <w:r>
        <w:t xml:space="preserve">KCOR is complementary: rather than using negative controls only to detect confounding, it targets a specific confounding geometry—selection-induced depletion curvature—and then requires controls and simulations to validate that the intended curvature component has been removed.</w:t>
      </w:r>
    </w:p>
    <w:p>
      <w:pPr>
        <w:pStyle w:val="BodyText"/>
      </w:pPr>
      <w:r>
        <w:t xml:space="preserve">To connect KCOR to common vaccine-effectiveness study designs, we additionally simulated rollout-style cohorts with time-localized epidemic hazard (</w:t>
      </w:r>
      <w:r>
        <w:t xml:space="preserve">‘waves’</w:t>
      </w:r>
      <w:r>
        <w:t xml:space="preserve">) and uptake correlated with latent frailty. In these settings, Cox regression can return extremely small p-values under a true null due to depletion and time-varying baseline hazard, whereas KCOR remains centered near the null cumulative contrast.</w:t>
      </w:r>
    </w:p>
    <w:p>
      <w:pPr>
        <w:pStyle w:val="BodyText"/>
      </w:pPr>
      <w:r>
        <w:t xml:space="preserve">We do not claim that KCOR subsumes all approaches to confounding adjustment; rather, it provides a dedicated normalization and diagnostic toolkit for settings where non-proportional hazards arise primarily from selection-induced depletion dynamics.</w:t>
      </w:r>
    </w:p>
    <w:bookmarkStart w:id="14" w:name="X4d548de58a3c5c18844cb09c3f0315e94fedf3d"/>
    <w:p>
      <w:pPr>
        <w:pStyle w:val="Heading4"/>
      </w:pPr>
      <w:r>
        <w:t xml:space="preserve">1.3.1 Related work beyond proportional hazards: time-varying effects and flexible hazard modeling</w:t>
      </w:r>
    </w:p>
    <w:p>
      <w:pPr>
        <w:pStyle w:val="FirstParagraph"/>
      </w:pPr>
      <w:r>
        <w:rPr>
          <w:i/>
          <w:iCs/>
        </w:rPr>
        <w:t xml:space="preserve">The methods reviewed in this section primarily aim to improve estimation of the</w:t>
      </w:r>
      <w:r>
        <w:rPr>
          <w:i/>
          <w:iCs/>
        </w:rPr>
        <w:t xml:space="preserve"> </w:t>
      </w:r>
      <w:r>
        <w:rPr>
          <w:b/>
          <w:bCs/>
          <w:i/>
          <w:iCs/>
        </w:rPr>
        <w:t xml:space="preserve">observed hazard function</w:t>
      </w:r>
      <w:r>
        <w:rPr>
          <w:i/>
          <w:iCs/>
        </w:rPr>
        <w:t xml:space="preserve"> </w:t>
      </w:r>
      <w:r>
        <w:rPr>
          <w:i/>
          <w:iCs/>
        </w:rPr>
        <w:t xml:space="preserve">under non-proportionality; KCOR addresses a different problem—</w:t>
      </w:r>
      <w:r>
        <w:rPr>
          <w:b/>
          <w:bCs/>
          <w:i/>
          <w:iCs/>
        </w:rPr>
        <w:t xml:space="preserve">identification and removal of selection-induced depletion geometry prior to cohort comparison</w:t>
      </w:r>
      <w:r>
        <w:rPr>
          <w:i/>
          <w:iCs/>
        </w:rPr>
        <w:t xml:space="preserve">.</w:t>
      </w:r>
      <w:r>
        <w:t xml:space="preserve"> </w:t>
      </w:r>
      <w:r>
        <w:t xml:space="preserve">A large literature relaxes proportional hazards by allowing either (i) covariate effects to vary over time or (ii) the baseline hazard to be modeled flexibly. Representative examples include time-varying coefficient Cox models, flexible parametric survival models (e.g., spline-based log-cumulative hazard models), additive hazards models (Aalen-type formulations), landmarking and dynamic prediction approaches, and weighting-based approaches such as marginal structural models (MSMs) for time-varying confounding.</w:t>
      </w:r>
      <w:r>
        <w:rPr>
          <w:vertAlign w:val="superscript"/>
        </w:rPr>
        <w:t xml:space="preserve">4–11</w:t>
      </w:r>
      <w:r>
        <w:t xml:space="preserve"> </w:t>
      </w:r>
      <w:r>
        <w:t xml:space="preserve">These methods are most effective when the scientific target is an instantaneous contrast (e.g., a time-specific hazard ratio) and when sufficiently rich covariate histories are available to support identification. In settings with rich, time-updated covariate information that fully captures frailty-relevant heterogeneity, weighting or structural modeling approaches may partially mitigate depletion effects. KCOR is designed for the complementary and common regime in which such covariates are unavailable, unreliable, or post-treatment. In contrast, KCOR targets cumulative contrasts under explicit depletion normalization in cumulative-hazard space, rather than instantaneous hazard ratios conditional on survival.</w:t>
      </w:r>
    </w:p>
    <w:p>
      <w:pPr>
        <w:pStyle w:val="BodyText"/>
      </w:pPr>
      <w:r>
        <w:t xml:space="preserve">KCOR is motivated by a different failure mode that remains even when proportional hazards is relaxed: cohort-level</w:t>
      </w:r>
      <w:r>
        <w:t xml:space="preserve"> </w:t>
      </w:r>
      <w:r>
        <w:rPr>
          <w:i/>
          <w:iCs/>
        </w:rPr>
        <w:t xml:space="preserve">curvature</w:t>
      </w:r>
      <w:r>
        <w:t xml:space="preserve"> </w:t>
      </w:r>
      <w:r>
        <w:t xml:space="preserve">in cumulative-hazard space arising from selection-induced frailty heterogeneity and depletion of susceptibles. Allowing hazard ratios to vary over time can improve descriptive fit, but it does not by itself normalize depletion geometry or make cohorts exchangeable. Similarly, flexible baselines can absorb curvature without distinguishing whether it arises from latent selection/depletion versus genuine time-varying external hazards. KCOR therefore occupies a distinct role: it uses a mixture-model identity in cumulative-hazard space to estimate and invert selection-induced depletion dynamics during prespecified quiet periods, and then defines a cumulative comparison operator (KCOR) on the depletion-neutralized scale.</w:t>
      </w:r>
    </w:p>
    <w:p>
      <w:pPr>
        <w:pStyle w:val="BodyText"/>
      </w:pPr>
      <w:r>
        <w:rPr>
          <w:i/>
          <w:iCs/>
        </w:rPr>
        <w:t xml:space="preserve">This manuscript does not attempt to review the extensive literature on non-proportional hazards exhaustively; instead, it positions KCOR as complementary to these methods by addressing a distinct identifiability problem not resolved by hazard-level flexibility alone.</w:t>
      </w:r>
    </w:p>
    <w:bookmarkEnd w:id="14"/>
    <w:bookmarkStart w:id="15" w:name="X379cf1e2794c192e1696f205a7b492d4606a104"/>
    <w:p>
      <w:pPr>
        <w:pStyle w:val="Heading4"/>
      </w:pPr>
      <w:r>
        <w:t xml:space="preserve">1.3.1a Why flexible hazard models do not resolve depletion bias</w:t>
      </w:r>
    </w:p>
    <w:p>
      <w:pPr>
        <w:pStyle w:val="FirstParagraph"/>
      </w:pPr>
      <w:r>
        <w:t xml:space="preserve">Flexible hazard models—including spline-based parametric survival models, time-varying coefficient Cox models, and neural network survival estimators—can improve descriptive fit to observed hazard trajectories by allowing curvature in the hazard function over time. However, these methods do not distinguish whether observed curvature arises from genuine causal time-varying effects or from compositional changes due to selective depletion of susceptibles. Selection on frailty produces curvature in cumulative hazards even under a true null treatment effect, as heterogeneous cohorts experience differential depletion rates over time.</w:t>
      </w:r>
      <w:r>
        <w:t xml:space="preserve"> </w:t>
      </w:r>
      <w:r>
        <w:rPr>
          <w:i/>
          <w:iCs/>
        </w:rPr>
        <w:t xml:space="preserve">A model that perfectly fits the observed hazard trajectory can still yield a biased estimand if that trajectory is driven by selective depletion rather than a causal effect.</w:t>
      </w:r>
      <w:r>
        <w:t xml:space="preserve"> </w:t>
      </w:r>
      <w:r>
        <w:t xml:space="preserve">KCOR treats curvature as a</w:t>
      </w:r>
      <w:r>
        <w:t xml:space="preserve"> </w:t>
      </w:r>
      <w:r>
        <w:rPr>
          <w:b/>
          <w:bCs/>
        </w:rPr>
        <w:t xml:space="preserve">bias to remove</w:t>
      </w:r>
      <w:r>
        <w:t xml:space="preserve"> </w:t>
      </w:r>
      <w:r>
        <w:t xml:space="preserve">rather than a feature to model, explicitly estimating and neutralizing depletion geometry before defining cohort comparisons.</w:t>
      </w:r>
    </w:p>
    <w:bookmarkEnd w:id="15"/>
    <w:bookmarkStart w:id="16" w:name="Xd8c0e124be8c2b00907a68c124b0e10421ad493"/>
    <w:p>
      <w:pPr>
        <w:pStyle w:val="Heading4"/>
      </w:pPr>
      <w:r>
        <w:t xml:space="preserve">1.3.1b Time-varying confounding approaches under latent selection</w:t>
      </w:r>
    </w:p>
    <w:p>
      <w:pPr>
        <w:pStyle w:val="FirstParagraph"/>
      </w:pPr>
      <w:r>
        <w:t xml:space="preserve">A large literature addresses time-varying confounding using marginal structural models (MSMs), g-computation, and inverse-probability weighting (IPW). These approaches can be effective when the relevant time-varying confounders are</w:t>
      </w:r>
      <w:r>
        <w:t xml:space="preserve"> </w:t>
      </w:r>
      <w:r>
        <w:rPr>
          <w:b/>
          <w:bCs/>
        </w:rPr>
        <w:t xml:space="preserve">measured with sufficient fidelity</w:t>
      </w:r>
      <w:r>
        <w:t xml:space="preserve"> </w:t>
      </w:r>
      <w:r>
        <w:t xml:space="preserve">to support sequential exchangeability and correct model or weight specification. However, in retrospective administrative data, key determinants of both intervention uptake and near-term outcome risk are often</w:t>
      </w:r>
      <w:r>
        <w:t xml:space="preserve"> </w:t>
      </w:r>
      <w:r>
        <w:rPr>
          <w:b/>
          <w:bCs/>
        </w:rPr>
        <w:t xml:space="preserve">unobserved or incompletely recorded</w:t>
      </w:r>
      <w:r>
        <w:t xml:space="preserve"> </w:t>
      </w:r>
      <w:r>
        <w:t xml:space="preserve">(e.g., subclinical illness, functional decline, care-seeking behavior, contraindications, and access barriers). In such settings, selection can operate through latent heterogeneity, producing depletion-induced hazard curvature even when measured covariates are balanced at baseline.</w:t>
      </w:r>
    </w:p>
    <w:p>
      <w:pPr>
        <w:pStyle w:val="BodyText"/>
      </w:pPr>
      <w:r>
        <w:t xml:space="preserve">Under latent selection, weighting cannot generally remove bias because the quantities that must be conditioned on to restore exchangeability are not available to the analyst. Moreover, misspecification of either the treatment model (for IPW/MSMs) or the outcome model (for g-computation) can reintroduce bias that is difficult to diagnose from observed covariates alone. KCOR is designed for this regime: rather than attempting to identify causal hazards via covariate adjustment, it targets a depletion-neutralized</w:t>
      </w:r>
      <w:r>
        <w:t xml:space="preserve"> </w:t>
      </w:r>
      <w:r>
        <w:rPr>
          <w:b/>
          <w:bCs/>
        </w:rPr>
        <w:t xml:space="preserve">cumulative contrast</w:t>
      </w:r>
      <w:r>
        <w:t xml:space="preserve"> </w:t>
      </w:r>
      <w:r>
        <w:t xml:space="preserve">by directly normalizing cohort-specific hazard curvature that arises from selection-induced depletion within fixed cohorts.</w:t>
      </w:r>
    </w:p>
    <w:p>
      <w:pPr>
        <w:pStyle w:val="BodyText"/>
      </w:pPr>
      <w:r>
        <w:t xml:space="preserve">Accordingly, KCOR is complementary to time-varying confounding methods: when rich longitudinal confounders are available, MSM/IPW/g-computation may be appropriate; when latent selection dominates and covariates are incomplete, KCOR provides a diagnostics-driven cumulative comparison that is stable under selection-only regimes.</w:t>
      </w:r>
    </w:p>
    <w:bookmarkEnd w:id="16"/>
    <w:bookmarkStart w:id="17" w:name="restricted-mean-survival-time-rmst"/>
    <w:p>
      <w:pPr>
        <w:pStyle w:val="Heading4"/>
      </w:pPr>
      <w:r>
        <w:t xml:space="preserve">1.3.2 Restricted Mean Survival Time (RMST)</w:t>
      </w:r>
    </w:p>
    <w:p>
      <w:pPr>
        <w:pStyle w:val="FirstParagraph"/>
      </w:pPr>
      <w:r>
        <w:t xml:space="preserve">Restricted mean survival time (RMST) has been proposed as an alternative summary estimand in settings where proportional hazards do not hold, as it represents the area under the survival curve up to a prespecified time horizon. RMST can offer an interpretable population-level summary of survival experience without relying on hazard ratio assumptions.</w:t>
      </w:r>
    </w:p>
    <w:p>
      <w:pPr>
        <w:pStyle w:val="BodyText"/>
      </w:pPr>
      <w:r>
        <w:t xml:space="preserve">However, RMST does not by itself address selection-induced frailty heterogeneity or depletion of susceptibles. In retrospective cohorts affected by latent selection, survival curves reflect populations whose composition evolves differently over time across cohorts. As a result, RMST inherits the same curvature-driven bias present in unadjusted survival functions and does not normalize selection-induced depletion geometry. This limitation is structural and does not vanish with larger samples or improved matching.</w:t>
      </w:r>
    </w:p>
    <w:p>
      <w:pPr>
        <w:pStyle w:val="BodyText"/>
      </w:pPr>
      <w:r>
        <w:t xml:space="preserve">KCOR differs conceptually in that it explicitly estimates and removes depletion-induced curvature in cumulative-hazard space prior to cohort comparison. RMST could in principle be computed after depletion normalization as a secondary descriptive summary, but it is not the primary estimand of interest in this framework. Accordingly, KCOR targets cumulative hazard contrasts directly, as these are the quantities rendered comparable by depletion normalization.</w:t>
      </w:r>
    </w:p>
    <w:bookmarkEnd w:id="17"/>
    <w:bookmarkEnd w:id="18"/>
    <w:bookmarkStart w:id="22" w:name="X3f76dee37168b4797631ddc9e3d31862803de93"/>
    <w:p>
      <w:pPr>
        <w:pStyle w:val="Heading3"/>
      </w:pPr>
      <w:r>
        <w:t xml:space="preserve">1.4 Evidence from the literature: residual confounding despite meticulous matching</w:t>
      </w:r>
    </w:p>
    <w:p>
      <w:pPr>
        <w:pStyle w:val="FirstParagraph"/>
      </w:pPr>
      <w:r>
        <w:t xml:space="preserve">One motivating illustrative case involves two large, rigorously designed observational analyses that demonstrate the core empirical motivation: even extremely careful matching and adjustment can leave large residual differences in non-COVID mortality, indicating confounding and selection that standard pipelines do not eliminate.</w:t>
      </w:r>
    </w:p>
    <w:bookmarkStart w:id="19" w:name="Xbfb6a4beb5729d82767d37d57edb58ba18bba27"/>
    <w:p>
      <w:pPr>
        <w:pStyle w:val="Heading4"/>
      </w:pPr>
      <w:r>
        <w:t xml:space="preserve">1.4.1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2</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19"/>
    <w:bookmarkStart w:id="21" w:name="X3c4376cf0533c6140ceba8f12ccdbb5b9c9efc8"/>
    <w:p>
      <w:pPr>
        <w:pStyle w:val="Heading4"/>
      </w:pPr>
      <w:r>
        <w:t xml:space="preserve">1.4.2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3</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 Table 1 summarizes these findings.</w:t>
      </w:r>
    </w:p>
    <w:bookmarkStart w:id="20" w:name="tbl:HVE_motivation"/>
    <w:p>
      <w:pPr>
        <w:pStyle w:val="TableCaption"/>
      </w:pPr>
      <w:r>
        <w:t xml:space="preserve">Table 1. Summary of two large matched observational studies showing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show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2</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3</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20"/>
    <w:bookmarkEnd w:id="21"/>
    <w:bookmarkEnd w:id="22"/>
    <w:bookmarkStart w:id="25" w:name="contribution-of-this-work"/>
    <w:p>
      <w:pPr>
        <w:pStyle w:val="Heading3"/>
      </w:pPr>
      <w:r>
        <w:t xml:space="preserve">1.5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 These approaches differ not only in modeling strategy but in estimand: most existing methods target instantaneous or survival-conditional contrasts, whereas KCOR targets cumulative outcomes after explicit normalization of selection-induced depletion geometry.</w:t>
      </w:r>
    </w:p>
    <w:bookmarkStart w:id="23" w:name="tbl:cox_vs_kcor"/>
    <w:p>
      <w:pPr>
        <w:pStyle w:val="TableCaption"/>
      </w:pPr>
      <w:r>
        <w:t xml:space="preserve">Table 2. Comparison of Cox proportional hazards, Cox with frailty, and KCOR across key methodological dimensions.</w:t>
      </w:r>
    </w:p>
    <w:tbl>
      <w:tblPr>
        <w:tblStyle w:val="Table"/>
        <w:tblW w:type="pct" w:w="5000"/>
        <w:tblLayout w:type="fixed"/>
        <w:tblLook w:firstRow="1" w:lastRow="0" w:firstColumn="0" w:lastColumn="0" w:noHBand="0" w:noVBand="0" w:val="0020"/>
        <w:tblCaption w:val="Table 2. Comparison of Cox proportional hazards, Cox with frailty, and KCOR across key methodological dimensions."/>
      </w:tblPr>
      <w:tblGrid>
        <w:gridCol w:w="3186"/>
        <w:gridCol w:w="1092"/>
        <w:gridCol w:w="1547"/>
        <w:gridCol w:w="2093"/>
      </w:tblGrid>
      <w:tr>
        <w:trPr>
          <w:tblHeader w:val="on"/>
        </w:trPr>
        <w:tc>
          <w:tcPr/>
          <w:p>
            <w:pPr>
              <w:pStyle w:val="Compact"/>
            </w:pPr>
            <w:r>
              <w:t xml:space="preserve">Feature</w:t>
            </w:r>
          </w:p>
        </w:tc>
        <w:tc>
          <w:tcPr/>
          <w:p>
            <w:pPr>
              <w:pStyle w:val="Compact"/>
            </w:pPr>
            <w:r>
              <w:t xml:space="preserve">Cox PH</w:t>
            </w:r>
          </w:p>
        </w:tc>
        <w:tc>
          <w:tcPr/>
          <w:p>
            <w:pPr>
              <w:pStyle w:val="Compact"/>
            </w:pPr>
            <w:r>
              <w:t xml:space="preserve">Cox + frailty</w:t>
            </w:r>
          </w:p>
        </w:tc>
        <w:tc>
          <w:tcPr/>
          <w:p>
            <w:pPr>
              <w:pStyle w:val="Compact"/>
            </w:pPr>
            <w:r>
              <w:t xml:space="preserve">KCOR</w:t>
            </w:r>
          </w:p>
        </w:tc>
      </w:tr>
      <w:tr>
        <w:tc>
          <w:tcPr/>
          <w:p>
            <w:pPr>
              <w:pStyle w:val="Compact"/>
            </w:pPr>
            <w:r>
              <w:t xml:space="preserve">Primary estimand</w:t>
            </w:r>
          </w:p>
        </w:tc>
        <w:tc>
          <w:tcPr/>
          <w:p>
            <w:pPr>
              <w:pStyle w:val="Compact"/>
            </w:pPr>
            <w:r>
              <w:t xml:space="preserve">Hazard ratio</w:t>
            </w:r>
          </w:p>
        </w:tc>
        <w:tc>
          <w:tcPr/>
          <w:p>
            <w:pPr>
              <w:pStyle w:val="Compact"/>
            </w:pPr>
            <w:r>
              <w:t xml:space="preserve">Hazard ratio</w:t>
            </w:r>
          </w:p>
        </w:tc>
        <w:tc>
          <w:tcPr/>
          <w:p>
            <w:pPr>
              <w:pStyle w:val="Compact"/>
            </w:pPr>
            <w:r>
              <w:t xml:space="preserve">Cumulative hazard ratio</w:t>
            </w:r>
          </w:p>
        </w:tc>
      </w:tr>
      <w:tr>
        <w:tc>
          <w:tcPr/>
          <w:p>
            <w:pPr>
              <w:pStyle w:val="Compact"/>
            </w:pPr>
            <w:r>
              <w:t xml:space="preserve">Conditions on survival</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Assumes PH</w:t>
            </w:r>
          </w:p>
        </w:tc>
        <w:tc>
          <w:tcPr/>
          <w:p>
            <w:pPr>
              <w:pStyle w:val="Compact"/>
            </w:pPr>
            <w:r>
              <w:t xml:space="preserve">Yes</w:t>
            </w:r>
          </w:p>
        </w:tc>
        <w:tc>
          <w:tcPr/>
          <w:p>
            <w:pPr>
              <w:pStyle w:val="Compact"/>
            </w:pPr>
            <w:r>
              <w:t xml:space="preserve">Yes (conditional)</w:t>
            </w:r>
          </w:p>
        </w:tc>
        <w:tc>
          <w:tcPr/>
          <w:p>
            <w:pPr>
              <w:pStyle w:val="Compact"/>
            </w:pPr>
            <w:r>
              <w:t xml:space="preserve">No</w:t>
            </w:r>
          </w:p>
        </w:tc>
      </w:tr>
      <w:tr>
        <w:tc>
          <w:tcPr/>
          <w:p>
            <w:pPr>
              <w:pStyle w:val="Compact"/>
            </w:pPr>
            <w:r>
              <w:t xml:space="preserve">Frailty role</w:t>
            </w:r>
          </w:p>
        </w:tc>
        <w:tc>
          <w:tcPr/>
          <w:p>
            <w:pPr>
              <w:pStyle w:val="Compact"/>
            </w:pPr>
            <w:r>
              <w:t xml:space="preserve">None</w:t>
            </w:r>
          </w:p>
        </w:tc>
        <w:tc>
          <w:tcPr/>
          <w:p>
            <w:pPr>
              <w:pStyle w:val="Compact"/>
            </w:pPr>
            <w:r>
              <w:t xml:space="preserve">Nuisance</w:t>
            </w:r>
          </w:p>
        </w:tc>
        <w:tc>
          <w:tcPr/>
          <w:p>
            <w:pPr>
              <w:pStyle w:val="Compact"/>
            </w:pPr>
            <w:r>
              <w:t xml:space="preserve">Object of inference</w:t>
            </w:r>
          </w:p>
        </w:tc>
      </w:tr>
      <w:tr>
        <w:tc>
          <w:tcPr/>
          <w:p>
            <w:pPr>
              <w:pStyle w:val="Compact"/>
            </w:pPr>
            <w:r>
              <w:t xml:space="preserve">Uses partial likelihood</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Handles selection-induced curvature</w:t>
            </w:r>
          </w:p>
        </w:tc>
        <w:tc>
          <w:tcPr/>
          <w:p>
            <w:pPr>
              <w:pStyle w:val="Compact"/>
            </w:pPr>
            <w:r>
              <w:t xml:space="preserve">No</w:t>
            </w:r>
          </w:p>
        </w:tc>
        <w:tc>
          <w:tcPr/>
          <w:p>
            <w:pPr>
              <w:pStyle w:val="Compact"/>
            </w:pPr>
            <w:r>
              <w:t xml:space="preserve">Partial</w:t>
            </w:r>
          </w:p>
        </w:tc>
        <w:tc>
          <w:tcPr/>
          <w:p>
            <w:pPr>
              <w:pStyle w:val="Compact"/>
            </w:pPr>
            <w:r>
              <w:t xml:space="preserve">Yes (targeted)</w:t>
            </w:r>
          </w:p>
        </w:tc>
      </w:tr>
      <w:tr>
        <w:tc>
          <w:tcPr/>
          <w:p>
            <w:pPr>
              <w:pStyle w:val="Compact"/>
            </w:pPr>
            <w:r>
              <w:t xml:space="preserve">Output interpretable under non-PH</w:t>
            </w:r>
          </w:p>
        </w:tc>
        <w:tc>
          <w:tcPr/>
          <w:p>
            <w:pPr>
              <w:pStyle w:val="Compact"/>
            </w:pPr>
            <w:r>
              <w:t xml:space="preserve">No</w:t>
            </w:r>
          </w:p>
        </w:tc>
        <w:tc>
          <w:tcPr/>
          <w:p>
            <w:pPr>
              <w:pStyle w:val="Compact"/>
            </w:pPr>
            <w:r>
              <w:t xml:space="preserve">No</w:t>
            </w:r>
          </w:p>
        </w:tc>
        <w:tc>
          <w:tcPr/>
          <w:p>
            <w:pPr>
              <w:pStyle w:val="Compact"/>
            </w:pPr>
            <w:r>
              <w:t xml:space="preserve">Yes (cumulative)</w:t>
            </w:r>
          </w:p>
        </w:tc>
      </w:tr>
    </w:tbl>
    <w:bookmarkEnd w:id="23"/>
    <w:p/>
    <w:bookmarkStart w:id="24" w:name="tbl:positioning"/>
    <w:p>
      <w:pPr>
        <w:pStyle w:val="TableCaption"/>
      </w:pPr>
      <w:r>
        <w:t xml:space="preserve">Table 3. Positioning KCOR relative to non-proportional hazards methods.</w:t>
      </w:r>
    </w:p>
    <w:tbl>
      <w:tblPr>
        <w:tblStyle w:val="Table"/>
        <w:tblW w:type="pct" w:w="5000"/>
        <w:tblLayout w:type="fixed"/>
        <w:tblLook w:firstRow="1" w:lastRow="0" w:firstColumn="0" w:lastColumn="0" w:noHBand="0" w:noVBand="0" w:val="0020"/>
        <w:tblCaption w:val="Table 3. Positioning KCOR relative to non-proportional hazards methods."/>
      </w:tblPr>
      <w:tblGrid>
        <w:gridCol w:w="1635"/>
        <w:gridCol w:w="1334"/>
        <w:gridCol w:w="946"/>
        <w:gridCol w:w="1549"/>
        <w:gridCol w:w="1033"/>
        <w:gridCol w:w="1420"/>
      </w:tblGrid>
      <w:tr>
        <w:trPr>
          <w:tblHeader w:val="on"/>
        </w:trPr>
        <w:tc>
          <w:tcPr/>
          <w:p>
            <w:pPr>
              <w:pStyle w:val="Compact"/>
            </w:pPr>
            <w:r>
              <w:t xml:space="preserve">Method class</w:t>
            </w:r>
          </w:p>
        </w:tc>
        <w:tc>
          <w:tcPr/>
          <w:p>
            <w:pPr>
              <w:pStyle w:val="Compact"/>
            </w:pPr>
            <w:r>
              <w:t xml:space="preserve">Primary target</w:t>
            </w:r>
          </w:p>
        </w:tc>
        <w:tc>
          <w:tcPr/>
          <w:p>
            <w:pPr>
              <w:pStyle w:val="Compact"/>
            </w:pPr>
            <w:r>
              <w:t xml:space="preserve">What is modeled</w:t>
            </w:r>
          </w:p>
        </w:tc>
        <w:tc>
          <w:tcPr/>
          <w:p>
            <w:pPr>
              <w:pStyle w:val="Compact"/>
            </w:pPr>
            <w:r>
              <w:t xml:space="preserve">Handles selection-induced depletion?</w:t>
            </w:r>
          </w:p>
        </w:tc>
        <w:tc>
          <w:tcPr/>
          <w:p>
            <w:pPr>
              <w:pStyle w:val="Compact"/>
            </w:pPr>
            <w:r>
              <w:t xml:space="preserve">Typical output</w:t>
            </w:r>
          </w:p>
        </w:tc>
        <w:tc>
          <w:tcPr/>
          <w:p>
            <w:pPr>
              <w:pStyle w:val="Compact"/>
            </w:pPr>
            <w:r>
              <w:t xml:space="preserve">Failure under latent frailty</w:t>
            </w:r>
          </w:p>
        </w:tc>
      </w:tr>
      <w:tr>
        <w:tc>
          <w:tcPr/>
          <w:p>
            <w:pPr>
              <w:pStyle w:val="Compact"/>
            </w:pPr>
            <w:r>
              <w:t xml:space="preserve">Cox PH</w:t>
            </w:r>
          </w:p>
        </w:tc>
        <w:tc>
          <w:tcPr/>
          <w:p>
            <w:pPr>
              <w:pStyle w:val="Compact"/>
            </w:pPr>
            <w:r>
              <w:t xml:space="preserve">Instantaneous hazard</w:t>
            </w:r>
          </w:p>
        </w:tc>
        <w:tc>
          <w:tcPr/>
          <w:p>
            <w:pPr>
              <w:pStyle w:val="Compact"/>
            </w:pPr>
            <w:r>
              <w:t xml:space="preserve">Linear predictor</w:t>
            </w:r>
          </w:p>
        </w:tc>
        <w:tc>
          <w:tcPr/>
          <w:p>
            <w:pPr>
              <w:pStyle w:val="Compact"/>
            </w:pPr>
            <w:r>
              <w:t xml:space="preserve">No</w:t>
            </w:r>
          </w:p>
        </w:tc>
        <w:tc>
          <w:tcPr/>
          <w:p>
            <w:pPr>
              <w:pStyle w:val="Compact"/>
            </w:pPr>
            <w:r>
              <w:t xml:space="preserve">HR</w:t>
            </w:r>
          </w:p>
        </w:tc>
        <w:tc>
          <w:tcPr/>
          <w:p>
            <w:pPr>
              <w:pStyle w:val="Compact"/>
            </w:pPr>
            <w:r>
              <w:t xml:space="preserve">Non-PH from depletion → biased HR</w:t>
            </w:r>
          </w:p>
        </w:tc>
      </w:tr>
      <w:tr>
        <w:tc>
          <w:tcPr/>
          <w:p>
            <w:pPr>
              <w:pStyle w:val="Compact"/>
            </w:pPr>
            <w:r>
              <w:t xml:space="preserve">Time-varying Cox</w:t>
            </w:r>
          </w:p>
        </w:tc>
        <w:tc>
          <w:tcPr/>
          <w:p>
            <w:pPr>
              <w:pStyle w:val="Compact"/>
            </w:pPr>
            <w:r>
              <w:t xml:space="preserve">Instantaneous hazard</w:t>
            </w:r>
          </w:p>
        </w:tc>
        <w:tc>
          <w:tcPr/>
          <w:p>
            <w:pPr>
              <w:pStyle w:val="Compact"/>
            </w:pPr>
            <w:r>
              <w:t xml:space="preserve">Time-varying β(t)</w:t>
            </w:r>
          </w:p>
        </w:tc>
        <w:tc>
          <w:tcPr/>
          <w:p>
            <w:pPr>
              <w:pStyle w:val="Compact"/>
            </w:pPr>
            <w:r>
              <w:t xml:space="preserve">No</w:t>
            </w:r>
          </w:p>
        </w:tc>
        <w:tc>
          <w:tcPr/>
          <w:p>
            <w:pPr>
              <w:pStyle w:val="Compact"/>
            </w:pPr>
            <w:r>
              <w:t xml:space="preserve">HR(t)</w:t>
            </w:r>
          </w:p>
        </w:tc>
        <w:tc>
          <w:tcPr/>
          <w:p>
            <w:pPr>
              <w:pStyle w:val="Compact"/>
            </w:pPr>
            <w:r>
              <w:t xml:space="preserve">Fits depletion as signal</w:t>
            </w:r>
          </w:p>
        </w:tc>
      </w:tr>
      <w:tr>
        <w:tc>
          <w:tcPr/>
          <w:p>
            <w:pPr>
              <w:pStyle w:val="Compact"/>
            </w:pPr>
            <w:r>
              <w:t xml:space="preserve">Flexible parametric survival (splines)</w:t>
            </w:r>
          </w:p>
        </w:tc>
        <w:tc>
          <w:tcPr/>
          <w:p>
            <w:pPr>
              <w:pStyle w:val="Compact"/>
            </w:pPr>
            <w:r>
              <w:t xml:space="preserve">Survival / hazard shape</w:t>
            </w:r>
          </w:p>
        </w:tc>
        <w:tc>
          <w:tcPr/>
          <w:p>
            <w:pPr>
              <w:pStyle w:val="Compact"/>
            </w:pPr>
            <w:r>
              <w:t xml:space="preserve">Baseline hazard</w:t>
            </w:r>
          </w:p>
        </w:tc>
        <w:tc>
          <w:tcPr/>
          <w:p>
            <w:pPr>
              <w:pStyle w:val="Compact"/>
            </w:pPr>
            <w:r>
              <w:t xml:space="preserve">No</w:t>
            </w:r>
          </w:p>
        </w:tc>
        <w:tc>
          <w:tcPr/>
          <w:p>
            <w:pPr>
              <w:pStyle w:val="Compact"/>
            </w:pPr>
            <w:r>
              <w:t xml:space="preserve">Smooth hazard / survival</w:t>
            </w:r>
          </w:p>
        </w:tc>
        <w:tc>
          <w:tcPr/>
          <w:p>
            <w:pPr>
              <w:pStyle w:val="Compact"/>
            </w:pPr>
            <w:r>
              <w:t xml:space="preserve">Absorbs depletion curvature</w:t>
            </w:r>
          </w:p>
        </w:tc>
      </w:tr>
      <w:tr>
        <w:tc>
          <w:tcPr/>
          <w:p>
            <w:pPr>
              <w:pStyle w:val="Compact"/>
            </w:pPr>
            <w:r>
              <w:t xml:space="preserve">Additive hazards (Aalen)</w:t>
            </w:r>
          </w:p>
        </w:tc>
        <w:tc>
          <w:tcPr/>
          <w:p>
            <w:pPr>
              <w:pStyle w:val="Compact"/>
            </w:pPr>
            <w:r>
              <w:t xml:space="preserve">Hazard differences</w:t>
            </w:r>
          </w:p>
        </w:tc>
        <w:tc>
          <w:tcPr/>
          <w:p>
            <w:pPr>
              <w:pStyle w:val="Compact"/>
            </w:pPr>
            <w:r>
              <w:t xml:space="preserve">Additive hazard</w:t>
            </w:r>
          </w:p>
        </w:tc>
        <w:tc>
          <w:tcPr/>
          <w:p>
            <w:pPr>
              <w:pStyle w:val="Compact"/>
            </w:pPr>
            <w:r>
              <w:t xml:space="preserve">No</w:t>
            </w:r>
          </w:p>
        </w:tc>
        <w:tc>
          <w:tcPr/>
          <w:p>
            <w:pPr>
              <w:pStyle w:val="Compact"/>
            </w:pPr>
            <w:r>
              <w:t xml:space="preserve">Δh(t)</w:t>
            </w:r>
          </w:p>
        </w:tc>
        <w:tc>
          <w:tcPr/>
          <w:p>
            <w:pPr>
              <w:pStyle w:val="Compact"/>
            </w:pPr>
            <w:r>
              <w:t xml:space="preserve">Still conditional on survival</w:t>
            </w:r>
          </w:p>
        </w:tc>
      </w:tr>
      <w:tr>
        <w:tc>
          <w:tcPr/>
          <w:p>
            <w:pPr>
              <w:pStyle w:val="Compact"/>
            </w:pPr>
            <w:r>
              <w:t xml:space="preserve">RMST</w:t>
            </w:r>
          </w:p>
        </w:tc>
        <w:tc>
          <w:tcPr/>
          <w:p>
            <w:pPr>
              <w:pStyle w:val="Compact"/>
            </w:pPr>
            <w:r>
              <w:t xml:space="preserve">Mean survival</w:t>
            </w:r>
          </w:p>
        </w:tc>
        <w:tc>
          <w:tcPr/>
          <w:p>
            <w:pPr>
              <w:pStyle w:val="Compact"/>
            </w:pPr>
            <w:r>
              <w:t xml:space="preserve">Survival curve</w:t>
            </w:r>
          </w:p>
        </w:tc>
        <w:tc>
          <w:tcPr/>
          <w:p>
            <w:pPr>
              <w:pStyle w:val="Compact"/>
            </w:pPr>
            <w:r>
              <w:t xml:space="preserve">No</w:t>
            </w:r>
          </w:p>
        </w:tc>
        <w:tc>
          <w:tcPr/>
          <w:p>
            <w:pPr>
              <w:pStyle w:val="Compact"/>
            </w:pPr>
            <w:r>
              <w:t xml:space="preserve">RMST</w:t>
            </w:r>
          </w:p>
        </w:tc>
        <w:tc>
          <w:tcPr/>
          <w:p>
            <w:pPr>
              <w:pStyle w:val="Compact"/>
            </w:pPr>
            <w:r>
              <w:t xml:space="preserve">Inherits depletion bias</w:t>
            </w:r>
          </w:p>
        </w:tc>
      </w:tr>
      <w:tr>
        <w:tc>
          <w:tcPr/>
          <w:p>
            <w:pPr>
              <w:pStyle w:val="Compact"/>
            </w:pPr>
            <w:r>
              <w:t xml:space="preserve">Frailty regression</w:t>
            </w:r>
          </w:p>
        </w:tc>
        <w:tc>
          <w:tcPr/>
          <w:p>
            <w:pPr>
              <w:pStyle w:val="Compact"/>
            </w:pPr>
            <w:r>
              <w:t xml:space="preserve">Heterogeneity-adjusted HR</w:t>
            </w:r>
          </w:p>
        </w:tc>
        <w:tc>
          <w:tcPr/>
          <w:p>
            <w:pPr>
              <w:pStyle w:val="Compact"/>
            </w:pPr>
            <w:r>
              <w:t xml:space="preserve">Random effects</w:t>
            </w:r>
          </w:p>
        </w:tc>
        <w:tc>
          <w:tcPr/>
          <w:p>
            <w:pPr>
              <w:pStyle w:val="Compact"/>
            </w:pPr>
            <w:r>
              <w:t xml:space="preserve">Partial</w:t>
            </w:r>
          </w:p>
        </w:tc>
        <w:tc>
          <w:tcPr/>
          <w:p>
            <w:pPr>
              <w:pStyle w:val="Compact"/>
            </w:pPr>
            <w:r>
              <w:t xml:space="preserve">HR</w:t>
            </w:r>
          </w:p>
        </w:tc>
        <w:tc>
          <w:tcPr/>
          <w:p>
            <w:pPr>
              <w:pStyle w:val="Compact"/>
            </w:pPr>
            <w:r>
              <w:t xml:space="preserve">Frailty treated as nuisance</w:t>
            </w:r>
          </w:p>
        </w:tc>
      </w:tr>
      <w:tr>
        <w:tc>
          <w:tcPr/>
          <w:p>
            <w:pPr>
              <w:pStyle w:val="Compact"/>
            </w:pPr>
            <w:r>
              <w:rPr>
                <w:b/>
                <w:bCs/>
              </w:rPr>
              <w:t xml:space="preserve">KCOR (this work)</w:t>
            </w:r>
          </w:p>
        </w:tc>
        <w:tc>
          <w:tcPr/>
          <w:p>
            <w:pPr>
              <w:pStyle w:val="Compact"/>
            </w:pPr>
            <w:r>
              <w:rPr>
                <w:b/>
                <w:bCs/>
              </w:rPr>
              <w:t xml:space="preserve">Cumulative outcome contrast</w:t>
            </w:r>
          </w:p>
        </w:tc>
        <w:tc>
          <w:tcPr/>
          <w:p>
            <w:pPr>
              <w:pStyle w:val="Compact"/>
            </w:pPr>
            <w:r>
              <w:rPr>
                <w:b/>
                <w:bCs/>
              </w:rPr>
              <w:t xml:space="preserve">Depletion geometry</w:t>
            </w:r>
          </w:p>
        </w:tc>
        <w:tc>
          <w:tcPr/>
          <w:p>
            <w:pPr>
              <w:pStyle w:val="Compact"/>
            </w:pPr>
            <w:r>
              <w:rPr>
                <w:b/>
                <w:bCs/>
              </w:rPr>
              <w:t xml:space="preserve">Yes (targeted)</w:t>
            </w:r>
          </w:p>
        </w:tc>
        <w:tc>
          <w:tcPr/>
          <w:p>
            <w:pPr>
              <w:pStyle w:val="Compact"/>
            </w:pPr>
            <w:r>
              <w:rPr>
                <w:b/>
                <w:bCs/>
              </w:rPr>
              <w:t xml:space="preserve">KCOR(t)</w:t>
            </w:r>
          </w:p>
        </w:tc>
        <w:tc>
          <w:tcPr/>
          <w:p>
            <w:pPr>
              <w:pStyle w:val="Compact"/>
            </w:pPr>
            <w:r>
              <w:t xml:space="preserve">Diagnostics flag failure</w:t>
            </w:r>
          </w:p>
        </w:tc>
      </w:tr>
    </w:tbl>
    <w:bookmarkEnd w:id="24"/>
    <w:p>
      <w:pPr>
        <w:pStyle w:val="BodyText"/>
      </w:pPr>
      <w:r>
        <w:rPr>
          <w:i/>
          <w:iCs/>
        </w:rPr>
        <w:t xml:space="preserve">Most existing methods improve descriptive fit to non-proportional hazards but do not neutralize selection-induced depletion. KCOR explicitly estimates and removes depletion geometry before defining a cumulative comparison.</w:t>
      </w:r>
    </w:p>
    <w:p>
      <w:pPr>
        <w:pStyle w:val="BodyText"/>
      </w:pPr>
      <w:r>
        <w:t xml:space="preserve">Most retrospective approaches either compare cohorts under proportional-hazards assumptions, balance measured confounding, or diagnose bias without removing it. KCOR occupies a distinct role: it neutralizes selection-induced depletion dynamics via gamma-frailty inversion and then extracts the cohort contrast using a cumulative hazard ratio (KCOR), which is the estimand reported.</w:t>
      </w:r>
    </w:p>
    <w:bookmarkEnd w:id="25"/>
    <w:bookmarkStart w:id="26" w:name="target-estimand-and-interpretation"/>
    <w:p>
      <w:pPr>
        <w:pStyle w:val="Heading3"/>
      </w:pPr>
      <w:r>
        <w:t xml:space="preserve">1.6 Target estimand and interpretation</w:t>
      </w:r>
    </w:p>
    <w:p>
      <w:pPr>
        <w:pStyle w:val="FirstParagraph"/>
      </w:pPr>
      <w:r>
        <w:t xml:space="preserve">KCOR is proposed as a diagnostic and normalization estimator for selection-induced hazard curvature; causal interpretation requires additional assumptions beyond the scope of this methods paper. This manuscript is</w:t>
      </w:r>
      <w:r>
        <w:t xml:space="preserve"> </w:t>
      </w:r>
      <w:r>
        <w:rPr>
          <w:b/>
          <w:bCs/>
        </w:rPr>
        <w:t xml:space="preserve">methods-only</w:t>
      </w:r>
      <w:r>
        <w:t xml:space="preserve">: we present the estimator, model assumptions, and uncertainty quantification; we validate the method using prespecified negative and positive controls designed to stress selection-induced curvature; and we defer any applied real-world intervention conclusions to a separate, dedicated applied paper.</w:t>
      </w:r>
    </w:p>
    <w:p>
      <w:pPr>
        <w:pStyle w:val="BodyText"/>
      </w:pPr>
      <w:r>
        <w:t xml:space="preserve">KCOR is not merely a frailty-normalization method. While gamma-frailty inversion is a necessary step, the central contribution of KCOR is the end-to-end comparison system that follows normalization. KCOR transforms observed cumulative hazards into a depletion-neutralized space and then defines the correct comparison operator in that space—a cumulative hazard ratio—together with diagnostics that determine when such comparisons are interpretable. Normalization alone does not yield a signal; the signal emerges only through the KCOR comparison itself. In this sense, KCOR should be understood as a complete retrospective comparison framework rather than a preprocessing adjustment that can be substituted into standard estimators. The integrated nature of KCOR—normalization, comparison, and diagnostics as a single system—is illustrated schematically in Figure 2.</w:t>
      </w:r>
    </w:p>
    <w:p>
      <w:pPr>
        <w:pStyle w:val="BodyText"/>
      </w:pPr>
      <w:r>
        <w:rPr>
          <w:b/>
          <w:bCs/>
        </w:rPr>
        <w:t xml:space="preserve">Scope and role of the method.</w:t>
      </w:r>
      <w:r>
        <w:t xml:space="preserve"> </w:t>
      </w:r>
      <w:r>
        <w:t xml:space="preserve">This work does not claim that observational analyses can replace randomized clinical trials for causal inference. Rather, the objective is to provide a descriptive and diagnostic framework for analyzing time-indexed outcomes in fixed cohorts when randomized evidence is unavailable, incomplete, or inapplicable. The proposed method is intended to complement—not substitute for—trial-based evidence by identifying systematic temporal distortions and cohort effects that can arise in retrospective data.</w:t>
      </w:r>
    </w:p>
    <w:bookmarkEnd w:id="26"/>
    <w:bookmarkStart w:id="27" w:name="relation-to-causal-inference-frameworks"/>
    <w:p>
      <w:pPr>
        <w:pStyle w:val="Heading3"/>
      </w:pPr>
      <w:r>
        <w:t xml:space="preserve">1.7 Relation to causal inference frameworks</w:t>
      </w:r>
    </w:p>
    <w:p>
      <w:pPr>
        <w:pStyle w:val="FirstParagraph"/>
      </w:pPr>
      <w:r>
        <w:t xml:space="preserve">KCOR is not intended to replace established causal inference designs such as instrumental variables, regression discontinuity, difference-in-differences, or target trial emulation. Those frameworks address distinct identification problems and typically require either exogenous instruments, sharp intervention thresholds, rich covariate histories, or well-defined intervention regimes.</w:t>
      </w:r>
    </w:p>
    <w:p>
      <w:pPr>
        <w:pStyle w:val="BodyText"/>
      </w:pPr>
      <w:r>
        <w:t xml:space="preserve">KCOR is designed for a complementary setting in which such requirements are not met—specifically, retrospective cohort data where only dates of birth, death, and intervention are available, and where selection-induced depletion produces strong non-proportional hazards that invalidate hazard-ratio-based estimators. In this setting, KCOR targets a different failure mode: curvature in cumulative hazards arising from latent heterogeneity and selection rather than from time-varying treatment effects.</w:t>
      </w:r>
    </w:p>
    <w:p>
      <w:pPr>
        <w:pStyle w:val="BodyText"/>
      </w:pPr>
      <w:r>
        <w:t xml:space="preserve">By neutralizing depletion geometry and defining a cumulative comparison operator in the resulting space, KCOR enables interpretable cohort contrasts under minimal data constraints. When stronger causal designs are feasible, they should be preferred; when they are not, KCOR provides a principled way to assess whether observed cohort differences persist once selection-induced depletion is removed.</w:t>
      </w:r>
    </w:p>
    <w:p>
      <w:pPr>
        <w:pStyle w:val="BodyText"/>
      </w:pPr>
      <w:r>
        <w:rPr>
          <w:b/>
          <w:bCs/>
        </w:rPr>
        <w:t xml:space="preserve">Clarifications.</w:t>
      </w:r>
      <w:r>
        <w:t xml:space="preserve"> </w:t>
      </w:r>
      <w:r>
        <w:t xml:space="preserve">KCOR is a depletion-neutralization framework for</w:t>
      </w:r>
      <w:r>
        <w:t xml:space="preserve"> </w:t>
      </w:r>
      <w:r>
        <w:rPr>
          <w:b/>
          <w:bCs/>
        </w:rPr>
        <w:t xml:space="preserve">cumulative</w:t>
      </w:r>
      <w:r>
        <w:t xml:space="preserve"> </w:t>
      </w:r>
      <w:r>
        <w:t xml:space="preserve">outcome contrasts over follow-up time, not a proportional-hazards model and not a causal identification strategy. The gamma-frailty component is used as a</w:t>
      </w:r>
      <w:r>
        <w:t xml:space="preserve"> </w:t>
      </w:r>
      <w:r>
        <w:rPr>
          <w:b/>
          <w:bCs/>
        </w:rPr>
        <w:t xml:space="preserve">working statistical device</w:t>
      </w:r>
      <w:r>
        <w:t xml:space="preserve"> </w:t>
      </w:r>
      <w:r>
        <w:t xml:space="preserve">to remove selection-induced hazard curvature within fixed cohorts; it is not a claim that individual frailty is literally gamma-distributed or biologically interpretable. KCOR’s target is a time-indexed cumulative contrast (e.g., a cumulative hazard ratio), intended for settings where selection-driven depletion and incomplete covariate capture undermine hazard-based causal interpretations.</w:t>
      </w:r>
    </w:p>
    <w:bookmarkEnd w:id="27"/>
    <w:bookmarkStart w:id="28" w:name="competing-approaches-and-evaluation-plan"/>
    <w:p>
      <w:pPr>
        <w:pStyle w:val="Heading3"/>
      </w:pPr>
      <w:r>
        <w:t xml:space="preserve">1.8 Competing approaches and evaluation plan</w:t>
      </w:r>
    </w:p>
    <w:p>
      <w:pPr>
        <w:pStyle w:val="FirstParagraph"/>
      </w:pPr>
      <w:r>
        <w:t xml:space="preserve">To clarify the role of KCOR relative to existing survival-analysis approaches, we distinguish methods by both modeling assumptions and estimands. Competing approaches considered in evaluation include Cox proportional hazards models, Cox models with time-varying coefficients, Cox models with frailty terms, additive hazards models, flexible parametric survival models, and restricted mean survival time (RMST). These methods are included because they are commonly applied in retrospective cohort settings with non-proportional hazards.</w:t>
      </w:r>
    </w:p>
    <w:p>
      <w:pPr>
        <w:pStyle w:val="BodyText"/>
      </w:pPr>
      <w:r>
        <w:t xml:space="preserve">Evaluation focuses on settings where only minimal registry data are available (dates of birth, intervention, and event), and where selection-induced frailty heterogeneity produces curvature in cumulative-hazard space. Performance is assessed using prespecified simulation designs that vary frailty variance, selection strength, and external hazard stability, with estimands compared on bias, stability, and interpretability rather than goodness-of-fit alone.</w:t>
      </w:r>
    </w:p>
    <w:p>
      <w:pPr>
        <w:pStyle w:val="BodyText"/>
      </w:pPr>
      <w:r>
        <w:rPr>
          <w:b/>
          <w:bCs/>
        </w:rPr>
        <w:t xml:space="preserve">Box 1: KCOR in one page</w:t>
      </w:r>
    </w:p>
    <w:p>
      <w:pPr>
        <w:pStyle w:val="BodyText"/>
      </w:pPr>
      <w:r>
        <w:t xml:space="preserve">KCOR (Kirsch Cumulative Outcomes Ratio) is a cumulative-hazard normalization and comparison framework for retrospective cohort studies affected by selection-induced non-proportional hazards. The method proceeds in six steps:</w:t>
      </w:r>
    </w:p>
    <w:p>
      <w:pPr>
        <w:numPr>
          <w:ilvl w:val="0"/>
          <w:numId w:val="1004"/>
        </w:numPr>
      </w:pPr>
      <w:r>
        <w:rPr>
          <w:b/>
          <w:bCs/>
        </w:rPr>
        <w:t xml:space="preserve">Fixed cohorts</w:t>
      </w:r>
      <w:r>
        <w:t xml:space="preserve">: Individuals are assigned to cohorts at enrollment based on intervention status; no switching or censoring is permitted in the primary estimand.</w:t>
      </w:r>
    </w:p>
    <w:p>
      <w:pPr>
        <w:numPr>
          <w:ilvl w:val="0"/>
          <w:numId w:val="1004"/>
        </w:numPr>
      </w:pPr>
      <w:r>
        <w:rPr>
          <w:b/>
          <w:bCs/>
        </w:rPr>
        <w:t xml:space="preserve">Cumulative hazard estimation</w:t>
      </w:r>
      <w:r>
        <w:t xml:space="preserve">: Discrete-time hazards are computed from event counts and risk sets, then accumulated into observed cumulative hazards after an optional stabilization skip period:</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p>
      <w:pPr>
        <w:pStyle w:val="Compact"/>
        <w:numPr>
          <w:ilvl w:val="0"/>
          <w:numId w:val="1005"/>
        </w:numPr>
      </w:pPr>
      <w:r>
        <w:rPr>
          <w:b/>
          <w:bCs/>
        </w:rPr>
        <w:t xml:space="preserve">Quiet-window frailty fit</w:t>
      </w:r>
      <w:r>
        <w:t xml:space="preserve">: During epidemiologically quiet periods (free of external shocks), cohort-specific frailty variance parameters</w:t>
      </w:r>
      <w:r>
        <w:t xml:space="preserve"> </w:t>
      </w:r>
      <m:oMath>
        <m:sSub>
          <m:e>
            <m:r>
              <m:t>θ</m:t>
            </m:r>
          </m:e>
          <m:sub>
            <m:r>
              <m:t>d</m:t>
            </m:r>
          </m:sub>
        </m:sSub>
      </m:oMath>
      <w:r>
        <w:t xml:space="preserve"> </w:t>
      </w:r>
      <w:r>
        <w:t xml:space="preserve">and baseline hazard levels</w:t>
      </w:r>
      <w:r>
        <w:t xml:space="preserve"> </w:t>
      </w:r>
      <m:oMath>
        <m:sSub>
          <m:e>
            <m:r>
              <m:t>k</m:t>
            </m:r>
          </m:e>
          <m:sub>
            <m:r>
              <m:t>d</m:t>
            </m:r>
          </m:sub>
        </m:sSub>
      </m:oMath>
      <w:r>
        <w:t xml:space="preserve"> </w:t>
      </w:r>
      <w:r>
        <w:t xml:space="preserve">are estimated via nonlinear least squares by fitting the gamma-frailty identity:</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Under the reference constant-baseline specification over the quiet window:</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m:oMathPara>
    </w:p>
    <w:p>
      <w:pPr>
        <w:pStyle w:val="Compact"/>
        <w:numPr>
          <w:ilvl w:val="0"/>
          <w:numId w:val="1006"/>
        </w:numPr>
      </w:pPr>
      <w:r>
        <w:rPr>
          <w:b/>
          <w:bCs/>
        </w:rPr>
        <w:t xml:space="preserve">Gamma inversion</w:t>
      </w:r>
      <w:r>
        <w:t xml:space="preserve">: The fitted frailty parameters are used to invert the gamma-frailty identity, transforming observed cumulative hazards into depletion-neutralized baseline cumulative hazards:</w:t>
      </w:r>
    </w:p>
    <w:p>
      <w:pPr>
        <w:pStyle w:val="FirstParagraph"/>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m:oMathPara>
    </w:p>
    <w:p>
      <w:pPr>
        <w:pStyle w:val="Compact"/>
        <w:numPr>
          <w:ilvl w:val="0"/>
          <w:numId w:val="1007"/>
        </w:numPr>
      </w:pPr>
      <w:r>
        <w:rPr>
          <w:b/>
          <w:bCs/>
        </w:rPr>
        <w:t xml:space="preserve">KCOR ratio</w:t>
      </w:r>
      <w:r>
        <w:t xml:space="preserve">: Cohorts are compared via the ratio of depletion-neutralized cumulative hazards:</w:t>
      </w:r>
    </w:p>
    <w:p>
      <w:pPr>
        <w:pStyle w:val="FirstParagraph"/>
      </w:pPr>
      <m:oMathPara>
        <m:oMathParaPr>
          <m:jc m:val="center"/>
        </m:oMathParaPr>
        <m:oMath>
          <m:r>
            <m:t>K</m:t>
          </m:r>
          <m:r>
            <m:t>C</m:t>
          </m:r>
          <m:r>
            <m:t>O</m:t>
          </m:r>
          <m: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m:oMathPara>
    </w:p>
    <w:p>
      <w:pPr>
        <w:pStyle w:val="Compact"/>
        <w:numPr>
          <w:ilvl w:val="0"/>
          <w:numId w:val="1008"/>
        </w:numPr>
      </w:pPr>
      <w:r>
        <w:rPr>
          <w:b/>
          <w:bCs/>
        </w:rPr>
        <w:t xml:space="preserve">Diagnostics</w:t>
      </w:r>
      <w:r>
        <w:t xml:space="preserve">: Post-normalization linearity in quiet periods, fit residuals, and parameter stability under window perturbations serve as internal checks that depletion normalization is valid and assumptions are met.</w:t>
      </w:r>
    </w:p>
    <w:bookmarkEnd w:id="28"/>
    <w:bookmarkEnd w:id="29"/>
    <w:bookmarkStart w:id="93" w:name="methods"/>
    <w:p>
      <w:pPr>
        <w:pStyle w:val="Heading2"/>
      </w:pPr>
      <w:r>
        <w:t xml:space="preserve">2. Methods</w:t>
      </w:r>
    </w:p>
    <w:p>
      <w:pPr>
        <w:pStyle w:val="FirstParagraph"/>
      </w:pPr>
      <w:r>
        <w:t xml:space="preserve">While mortality is used as the primary example throughout this section, KCOR applies to any irreversible event process. The methodological framework is event-agnostic; mortality serves as a concrete illustration because it is objectively defined and reliably recorded in many administrative datasets.</w:t>
      </w:r>
    </w:p>
    <w:p>
      <w:pPr>
        <w:pStyle w:val="BodyText"/>
      </w:pPr>
      <w:r>
        <w:t xml:space="preserve">Table 4 defines the notation used throughout the Methods section.</w:t>
      </w:r>
    </w:p>
    <w:bookmarkStart w:id="30" w:name="tbl:notation"/>
    <w:p>
      <w:pPr>
        <w:pStyle w:val="TableCaption"/>
      </w:pPr>
      <w:r>
        <w:t xml:space="preserve">Table 4. Notation used throughout the Methods section.</w:t>
      </w:r>
    </w:p>
    <w:tbl>
      <w:tblPr>
        <w:tblStyle w:val="Table"/>
        <w:tblW w:type="pct" w:w="5000"/>
        <w:tblLayout w:type="fixed"/>
        <w:tblLook w:firstRow="1" w:lastRow="0" w:firstColumn="0" w:lastColumn="0" w:noHBand="0" w:noVBand="0" w:val="0020"/>
        <w:tblCaption w:val="Table 4. Notation used throughout the Methods section."/>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m:oMathPara>
              <m:oMathParaPr>
                <m:jc m:val="center"/>
              </m:oMathParaPr>
              <m:oMath>
                <m:r>
                  <m:t>d</m:t>
                </m:r>
              </m:oMath>
            </m:oMathPara>
          </w:p>
        </w:tc>
        <w:tc>
          <w:tcPr/>
          <w:p>
            <w:pPr>
              <w:pStyle w:val="Compact"/>
            </w:pPr>
            <w:r>
              <w:t xml:space="preserve">Cohort index</w:t>
            </w:r>
          </w:p>
        </w:tc>
      </w:tr>
      <w:tr>
        <w:tc>
          <w:tcPr/>
          <w:p>
            <w:pPr>
              <w:pStyle w:val="Compact"/>
            </w:pPr>
            <m:oMathPara>
              <m:oMathParaPr>
                <m:jc m:val="center"/>
              </m:oMathParaPr>
              <m:oMath>
                <m:r>
                  <m:t>t</m:t>
                </m:r>
              </m:oMath>
            </m:oMathPara>
          </w:p>
        </w:tc>
        <w:tc>
          <w:tcPr/>
          <w:p>
            <w:pPr>
              <w:pStyle w:val="Compact"/>
            </w:pPr>
            <w:r>
              <w:t xml:space="preserve">Event time since enrollment (discrete bins, e.g., weeks)</w:t>
            </w:r>
          </w:p>
        </w:tc>
      </w:tr>
      <w:tr>
        <w:tc>
          <w:tcPr/>
          <w:p>
            <w:pPr>
              <w:pStyle w:val="Compac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oMath>
            </m:oMathPara>
          </w:p>
        </w:tc>
        <w:tc>
          <w:tcPr/>
          <w:p>
            <w:pPr>
              <w:pStyle w:val="Compact"/>
            </w:pPr>
            <w:r>
              <w:t xml:space="preserve">Observed cohort hazard</w:t>
            </w:r>
          </w:p>
        </w:tc>
      </w:tr>
      <w:tr>
        <w:tc>
          <w:tcPr/>
          <w:p>
            <w:pPr>
              <w:pStyle w:val="Compac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oMath>
            </m:oMathPara>
          </w:p>
        </w:tc>
        <w:tc>
          <w:tcPr/>
          <w:p>
            <w:pPr>
              <w:pStyle w:val="Compact"/>
            </w:pPr>
            <w:r>
              <w:t xml:space="preserve">Observed cumulative hazard (after skip/stabilization)</w:t>
            </w:r>
          </w:p>
        </w:tc>
      </w:tr>
      <w:tr>
        <w:tc>
          <w:tcPr/>
          <w:p>
            <w:pPr>
              <w:pStyle w:val="Compact"/>
            </w:pPr>
            <m:oMathPara>
              <m:oMathParaPr>
                <m:jc m:val="center"/>
              </m:oMathParaPr>
              <m:oMath>
                <m:sSub>
                  <m:e>
                    <m:r>
                      <m:t>h</m:t>
                    </m:r>
                  </m:e>
                  <m:sub>
                    <m:r>
                      <m:t>0</m:t>
                    </m:r>
                    <m:r>
                      <m:rPr>
                        <m:sty m:val="p"/>
                      </m:rPr>
                      <m:t>,</m:t>
                    </m:r>
                    <m:r>
                      <m:t>d</m:t>
                    </m:r>
                  </m:sub>
                </m:sSub>
                <m:r>
                  <m:rPr>
                    <m:sty m:val="p"/>
                  </m:rPr>
                  <m:t>(</m:t>
                </m:r>
                <m:r>
                  <m:t>t</m:t>
                </m:r>
                <m:r>
                  <m:rPr>
                    <m:sty m:val="p"/>
                  </m:rPr>
                  <m:t>)</m:t>
                </m:r>
              </m:oMath>
            </m:oMathPara>
          </w:p>
        </w:tc>
        <w:tc>
          <w:tcPr/>
          <w:p>
            <w:pPr>
              <w:pStyle w:val="Compact"/>
            </w:pPr>
            <w:r>
              <w:t xml:space="preserve">Baseline hazard for cohort</w:t>
            </w:r>
            <w:r>
              <w:t xml:space="preserve"> </w:t>
            </w:r>
            <m:oMath>
              <m:r>
                <m:t>d</m:t>
              </m:r>
            </m:oMath>
            <w:r>
              <w:t xml:space="preserve"> </w:t>
            </w:r>
            <w:r>
              <w:t xml:space="preserve">under the depletion-neutralized model</w:t>
            </w:r>
          </w:p>
        </w:tc>
      </w:tr>
      <w:tr>
        <w:tc>
          <w:tcPr/>
          <w:p>
            <w:pPr>
              <w:pStyle w:val="Compact"/>
            </w:pPr>
            <m:oMathPara>
              <m:oMathParaPr>
                <m:jc m:val="center"/>
              </m:oMathParaPr>
              <m:oMath>
                <m:sSub>
                  <m:e>
                    <m:r>
                      <m:t>H</m:t>
                    </m:r>
                  </m:e>
                  <m:sub>
                    <m:r>
                      <m:t>0</m:t>
                    </m:r>
                    <m:r>
                      <m:rPr>
                        <m:sty m:val="p"/>
                      </m:rPr>
                      <m:t>,</m:t>
                    </m:r>
                    <m:r>
                      <m:t>d</m:t>
                    </m:r>
                  </m:sub>
                </m:sSub>
                <m:r>
                  <m:rPr>
                    <m:sty m:val="p"/>
                  </m:rPr>
                  <m:t>(</m:t>
                </m:r>
                <m:r>
                  <m:t>t</m:t>
                </m:r>
                <m:r>
                  <m:rPr>
                    <m:sty m:val="p"/>
                  </m:rPr>
                  <m:t>)</m:t>
                </m:r>
              </m:oMath>
            </m:oMathPara>
          </w:p>
        </w:tc>
        <w:tc>
          <w:tcPr/>
          <w:p>
            <w:pPr>
              <w:pStyle w:val="Compact"/>
            </w:pPr>
            <w:r>
              <w:t xml:space="preserve">Baseline cumulative hazard for cohort</w:t>
            </w:r>
            <w:r>
              <w:t xml:space="preserve"> </w:t>
            </w:r>
            <m:oMath>
              <m:r>
                <m:t>d</m:t>
              </m:r>
            </m:oMath>
            <w:r>
              <w:t xml:space="preserve"> </w:t>
            </w:r>
            <w:r>
              <w:t xml:space="preserve">under the depletion-neutralized model</w:t>
            </w:r>
          </w:p>
        </w:tc>
      </w:tr>
      <w:tr>
        <w:tc>
          <w:tcPr/>
          <w:p>
            <w:pPr>
              <w:pStyle w:val="Compact"/>
            </w:pPr>
            <m:oMathPara>
              <m:oMathParaPr>
                <m:jc m:val="center"/>
              </m:oMathParaPr>
              <m:oMath>
                <m:sSub>
                  <m:e>
                    <m:acc>
                      <m:accPr>
                        <m:chr m:val="̃"/>
                      </m:accPr>
                      <m:e>
                        <m:r>
                          <m:t>H</m:t>
                        </m:r>
                      </m:e>
                    </m:acc>
                  </m:e>
                  <m:sub>
                    <m:r>
                      <m:t>0</m:t>
                    </m:r>
                    <m:r>
                      <m:rPr>
                        <m:sty m:val="p"/>
                      </m:rPr>
                      <m:t>,</m:t>
                    </m:r>
                    <m:r>
                      <m:t>d</m:t>
                    </m:r>
                  </m:sub>
                </m:sSub>
                <m:r>
                  <m:rPr>
                    <m:sty m:val="p"/>
                  </m:rPr>
                  <m:t>(</m:t>
                </m:r>
                <m:r>
                  <m:t>t</m:t>
                </m:r>
                <m:r>
                  <m:rPr>
                    <m:sty m:val="p"/>
                  </m:rPr>
                  <m:t>)</m:t>
                </m:r>
              </m:oMath>
            </m:oMathPara>
          </w:p>
        </w:tc>
        <w:tc>
          <w:tcPr/>
          <w:p>
            <w:pPr>
              <w:pStyle w:val="Compact"/>
            </w:pPr>
            <w:r>
              <w:t xml:space="preserve">Depletion-neutralized baseline cumulative hazard</w:t>
            </w:r>
          </w:p>
        </w:tc>
      </w:tr>
      <w:tr>
        <w:tc>
          <w:tcPr/>
          <w:p>
            <w:pPr>
              <w:pStyle w:val="Compact"/>
            </w:pPr>
            <m:oMathPara>
              <m:oMathParaPr>
                <m:jc m:val="center"/>
              </m:oMathParaPr>
              <m:oMath>
                <m:sSub>
                  <m:e>
                    <m:r>
                      <m:t>θ</m:t>
                    </m:r>
                  </m:e>
                  <m:sub>
                    <m:r>
                      <m:t>d</m:t>
                    </m:r>
                  </m:sub>
                </m:sSub>
              </m:oMath>
            </m:oMathPara>
          </w:p>
        </w:tc>
        <w:tc>
          <w:tcPr/>
          <w:p>
            <w:pPr>
              <w:pStyle w:val="Compact"/>
            </w:pPr>
            <w:r>
              <w:t xml:space="preserve">Frailty variance (selection strength) for cohort</w:t>
            </w:r>
            <w:r>
              <w:t xml:space="preserve"> </w:t>
            </w:r>
            <m:oMath>
              <m:r>
                <m:t>d</m:t>
              </m:r>
            </m:oMath>
            <w:r>
              <w:t xml:space="preserve">; governs curvature in the observed cumulative hazard</w:t>
            </w:r>
          </w:p>
        </w:tc>
      </w:tr>
      <w:tr>
        <w:tc>
          <w:tcPr/>
          <w:p>
            <w:pPr>
              <w:pStyle w:val="Compact"/>
            </w:pPr>
            <m:oMathPara>
              <m:oMathParaPr>
                <m:jc m:val="center"/>
              </m:oMathParaPr>
              <m:oMath>
                <m:sSub>
                  <m:e>
                    <m:acc>
                      <m:accPr>
                        <m:chr m:val="̂"/>
                      </m:accPr>
                      <m:e>
                        <m:r>
                          <m:t>θ</m:t>
                        </m:r>
                      </m:e>
                    </m:acc>
                  </m:e>
                  <m:sub>
                    <m:r>
                      <m:t>d</m:t>
                    </m:r>
                  </m:sub>
                </m:sSub>
              </m:oMath>
            </m:oMathPara>
          </w:p>
        </w:tc>
        <w:tc>
          <w:tcPr/>
          <w:p>
            <w:pPr>
              <w:pStyle w:val="Compact"/>
            </w:pPr>
            <w:r>
              <w:t xml:space="preserve">Estimated frailty variance from quiet-window fitting</w:t>
            </w:r>
          </w:p>
        </w:tc>
      </w:tr>
      <w:tr>
        <w:tc>
          <w:tcPr/>
          <w:p>
            <w:pPr>
              <w:pStyle w:val="Compact"/>
            </w:pPr>
            <m:oMathPara>
              <m:oMathParaPr>
                <m:jc m:val="center"/>
              </m:oMathParaPr>
              <m:oMath>
                <m:sSub>
                  <m:e>
                    <m:r>
                      <m:t>k</m:t>
                    </m:r>
                  </m:e>
                  <m:sub>
                    <m:r>
                      <m:t>d</m:t>
                    </m:r>
                  </m:sub>
                </m:sSub>
              </m:oMath>
            </m:oMathPara>
          </w:p>
        </w:tc>
        <w:tc>
          <w:tcPr/>
          <w:p>
            <w:pPr>
              <w:pStyle w:val="Compact"/>
            </w:pPr>
            <w:r>
              <w:t xml:space="preserve">Baseline hazard level for cohort</w:t>
            </w:r>
            <w:r>
              <w:t xml:space="preserve"> </w:t>
            </w:r>
            <m:oMath>
              <m:r>
                <m:t>d</m:t>
              </m:r>
            </m:oMath>
            <w:r>
              <w:t xml:space="preserve"> </w:t>
            </w:r>
            <w:r>
              <w:t xml:space="preserve">under the default baseline shape</w:t>
            </w:r>
          </w:p>
        </w:tc>
      </w:tr>
      <w:tr>
        <w:tc>
          <w:tcPr/>
          <w:p>
            <w:pPr>
              <w:pStyle w:val="Compact"/>
            </w:pPr>
            <m:oMathPara>
              <m:oMathParaPr>
                <m:jc m:val="center"/>
              </m:oMathParaPr>
              <m:oMath>
                <m:sSub>
                  <m:e>
                    <m:acc>
                      <m:accPr>
                        <m:chr m:val="̂"/>
                      </m:accPr>
                      <m:e>
                        <m:r>
                          <m:t>k</m:t>
                        </m:r>
                      </m:e>
                    </m:acc>
                  </m:e>
                  <m:sub>
                    <m:r>
                      <m:t>d</m:t>
                    </m:r>
                  </m:sub>
                </m:sSub>
              </m:oMath>
            </m:oMathPara>
          </w:p>
        </w:tc>
        <w:tc>
          <w:tcPr/>
          <w:p>
            <w:pPr>
              <w:pStyle w:val="Compact"/>
            </w:pPr>
            <w:r>
              <w:t xml:space="preserve">Estimated baseline hazard level from quiet-window fitting</w:t>
            </w:r>
          </w:p>
        </w:tc>
      </w:tr>
    </w:tbl>
    <w:bookmarkEnd w:id="30"/>
    <w:p>
      <w:pPr>
        <w:pStyle w:val="BodyText"/>
      </w:pPr>
      <w:r>
        <w:t xml:space="preserve">For COVID-19 vaccination analyses, intervention count corresponds to the number of vaccine doses received; more generally, this can index any discrete exposure level.</w:t>
      </w:r>
    </w:p>
    <w:bookmarkStart w:id="37" w:name="X3cd5af7e7f64c4d54a11e3f31c65ccba93efc7a"/>
    <w:p>
      <w:pPr>
        <w:pStyle w:val="Heading3"/>
      </w:pPr>
      <w:r>
        <w:t xml:space="preserve">2.1 Conceptual framework: level vs curvature under selection</w:t>
      </w:r>
    </w:p>
    <w:p>
      <w:pPr>
        <w:pStyle w:val="FirstParagraph"/>
      </w:pPr>
      <w:r>
        <w:t xml:space="preserve">Differences in mortality between cohorts can arise from:</w:t>
      </w:r>
    </w:p>
    <w:p>
      <w:pPr>
        <w:pStyle w:val="Compact"/>
        <w:numPr>
          <w:ilvl w:val="0"/>
          <w:numId w:val="1009"/>
        </w:numPr>
      </w:pPr>
      <w:r>
        <w:rPr>
          <w:b/>
          <w:bCs/>
        </w:rPr>
        <w:t xml:space="preserve">Level effects</w:t>
      </w:r>
      <w:r>
        <w:t xml:space="preserve">: multiplicative shifts in hazard that are constant over time.</w:t>
      </w:r>
    </w:p>
    <w:p>
      <w:pPr>
        <w:pStyle w:val="Compact"/>
        <w:numPr>
          <w:ilvl w:val="0"/>
          <w:numId w:val="1009"/>
        </w:numPr>
      </w:pPr>
      <w:r>
        <w:rPr>
          <w:b/>
          <w:bCs/>
        </w:rPr>
        <w:t xml:space="preserve">Curvature effects</w:t>
      </w:r>
      <w:r>
        <w:t xml:space="preserve">: differences in the time-evolution of cohort hazards induced by heterogeneity and selective depletion.</w:t>
      </w:r>
    </w:p>
    <w:p>
      <w:pPr>
        <w:pStyle w:val="FirstParagraph"/>
      </w:pPr>
      <w:r>
        <w:t xml:space="preserve">Selection bias commonly produces curvature differences through frailty mixing and depletion. KCOR’s strategy is to</w:t>
      </w:r>
      <w:r>
        <w:t xml:space="preserve"> </w:t>
      </w:r>
      <w:r>
        <w:rPr>
          <w:b/>
          <w:bCs/>
        </w:rPr>
        <w:t xml:space="preserve">estimate and remove the selection-induced depletion component</w:t>
      </w:r>
      <w:r>
        <w:t xml:space="preserve">, then compare cohorts on a cumulative scale.</w:t>
      </w:r>
    </w:p>
    <w:p>
      <w:pPr>
        <w:pStyle w:val="BodyText"/>
      </w:pPr>
      <w:r>
        <w:t xml:space="preserve">Figure 2 provides a schematic overview of the KCOR workflow and summarizes the KCOR estimand definition: cohort comparisons are performed only after depletion-neutralization of cumulative hazards, and not on observed hazards or survival curves.</w:t>
      </w:r>
    </w:p>
    <w:bookmarkStart w:id="31" w:name="kcor-assumptions-and-identifiability"/>
    <w:p>
      <w:pPr>
        <w:pStyle w:val="Heading4"/>
      </w:pPr>
      <w:r>
        <w:t xml:space="preserve">2.1.1 KCOR assumptions and identifiability</w:t>
      </w:r>
    </w:p>
    <w:p>
      <w:pPr>
        <w:pStyle w:val="FirstParagraph"/>
      </w:pPr>
      <w:r>
        <w:t xml:space="preserve">KCOR relies on</w:t>
      </w:r>
      <w:r>
        <w:t xml:space="preserve"> </w:t>
      </w:r>
      <w:r>
        <w:rPr>
          <w:b/>
          <w:bCs/>
        </w:rPr>
        <w:t xml:space="preserve">five explicit assumptions (A1–A5)</w:t>
      </w:r>
      <w:r>
        <w:t xml:space="preserve">. These assumptions are stated exhaustively here;</w:t>
      </w:r>
      <w:r>
        <w:t xml:space="preserve"> </w:t>
      </w:r>
      <w:r>
        <w:rPr>
          <w:b/>
          <w:bCs/>
        </w:rPr>
        <w:t xml:space="preserve">no additional assumptions are introduced elsewhere in the manuscript</w:t>
      </w:r>
      <w:r>
        <w:t xml:space="preserve">. Each assumption is either enforced by study design or empirically testable via prespecified diagnostics. When an assumption is violated, KCOR does not silently produce misleading estimates; instead, the violation manifests through identifiable diagnostic failures described in Appendix D.</w:t>
      </w:r>
    </w:p>
    <w:p>
      <w:pPr>
        <w:pStyle w:val="BodyText"/>
      </w:pPr>
      <w:r>
        <w:rPr>
          <w:b/>
          <w:bCs/>
        </w:rPr>
        <w:t xml:space="preserve">A1. Fixed cohorts at enrollment.</w:t>
      </w:r>
      <w:r>
        <w:t xml:space="preserve"> </w:t>
      </w:r>
      <w:r>
        <w:t xml:space="preserve">Individuals are assigned to cohorts at enrollment and remain in those cohorts for the duration of follow-up. No post-enrollment switching or censoring is permitted in the primary estimand.</w:t>
      </w:r>
    </w:p>
    <w:p>
      <w:pPr>
        <w:pStyle w:val="BodyText"/>
      </w:pPr>
      <w:r>
        <w:rPr>
          <w:b/>
          <w:bCs/>
        </w:rPr>
        <w:t xml:space="preserve">A2. Shared external hazard environment.</w:t>
      </w:r>
      <w:r>
        <w:t xml:space="preserve"> </w:t>
      </w:r>
      <w:r>
        <w:t xml:space="preserve">All cohorts are exposed to the same calendar-time external mortality environment (e.g., seasonality, epidemic waves, reporting artifacts). External shocks may occur but must affect cohorts symmetrically.</w:t>
      </w:r>
    </w:p>
    <w:p>
      <w:pPr>
        <w:pStyle w:val="BodyText"/>
      </w:pPr>
      <w:r>
        <w:rPr>
          <w:b/>
          <w:bCs/>
        </w:rPr>
        <w:t xml:space="preserve">A3. Selection operates through time-invariant latent frailty.</w:t>
      </w:r>
      <w:r>
        <w:t xml:space="preserve"> </w:t>
      </w:r>
      <w:r>
        <w:t xml:space="preserve">Differences between cohorts at enrollment arise primarily through selection on latent, multiplicative frailty that remains constant over follow-up and induces depletion of susceptibles.</w:t>
      </w:r>
    </w:p>
    <w:p>
      <w:pPr>
        <w:pStyle w:val="BodyText"/>
      </w:pPr>
      <w:r>
        <w:rPr>
          <w:b/>
          <w:bCs/>
        </w:rPr>
        <w:t xml:space="preserve">A4. Gamma frailty adequately approximates depletion geometry.</w:t>
      </w:r>
      <w:r>
        <w:t xml:space="preserve"> </w:t>
      </w:r>
      <w:r>
        <w:t xml:space="preserve">Gamma frailty provides a sufficient approximation to the cumulative-hazard curvature induced by frailty-driven depletion over the estimation window. This assumption is not asserted a priori and is evaluated empirically.</w:t>
      </w:r>
    </w:p>
    <w:p>
      <w:pPr>
        <w:pStyle w:val="BodyText"/>
      </w:pPr>
      <w:r>
        <w:rPr>
          <w:b/>
          <w:bCs/>
        </w:rPr>
        <w:t xml:space="preserve">A5. Existence of a valid quiet window for frailty identification.</w:t>
      </w:r>
      <w:r>
        <w:t xml:space="preserve"> </w:t>
      </w:r>
      <w:r>
        <w:t xml:space="preserve">There exists a prespecified epidemiologically quiet period</w:t>
      </w:r>
      <w:r>
        <w:t xml:space="preserve"> </w:t>
      </w:r>
      <w:r>
        <w:rPr>
          <w:i/>
          <w:iCs/>
        </w:rPr>
        <w:t xml:space="preserve">(i.e., periods with approximately stable baseline hazard and no major external mortality shocks, rather than simply periods of low mortality)</w:t>
      </w:r>
      <w:r>
        <w:t xml:space="preserve"> </w:t>
      </w:r>
      <w:r>
        <w:t xml:space="preserve">during which selection-induced depletion dominates other sources of curvature, permitting identification of frailty parameters. This assumption is assessed empirically and is the primary dataset-specific requirement for KCOR applicability.</w:t>
      </w:r>
    </w:p>
    <w:p>
      <w:pPr>
        <w:pStyle w:val="BodyText"/>
      </w:pPr>
      <w:r>
        <w:t xml:space="preserve">Of these five assumptions,</w:t>
      </w:r>
      <w:r>
        <w:t xml:space="preserve"> </w:t>
      </w:r>
      <w:r>
        <w:rPr>
          <w:b/>
          <w:bCs/>
        </w:rPr>
        <w:t xml:space="preserve">A1–A3 are structural and are typically satisfied by cohort construction in national mortality datasets</w:t>
      </w:r>
      <w:r>
        <w:t xml:space="preserve">, while</w:t>
      </w:r>
      <w:r>
        <w:t xml:space="preserve"> </w:t>
      </w:r>
      <w:r>
        <w:rPr>
          <w:b/>
          <w:bCs/>
        </w:rPr>
        <w:t xml:space="preserve">A4–A5 are empirically evaluated using diagnostics</w:t>
      </w:r>
      <w:r>
        <w:t xml:space="preserve">. Failure of any assumption limits interpretability and is explicitly signaled by KCOR’s diagnostic outputs (Appendix D). Sanity checks on frailty estimates—including magnitude, stability, and coherence with observed cumulative-hazard curvature—are treated diagnostically rather than as assumptions (Appendix D; see also diagnostic coherence in §2.1.2). KCOR does not assume causal separability of selection and treatment effects; rather, it identifies cumulative outcome differences under explicit normalization of selection-induced depletion, making departures from the null of no net harm or benefit interpretable when diagnostic and interpretability conditions are satisfied.</w:t>
      </w:r>
    </w:p>
    <w:p>
      <w:pPr>
        <w:pStyle w:val="BodyText"/>
      </w:pPr>
      <w:r>
        <w:t xml:space="preserve">KCOR is designed for settings in which selection-induced depletion of susceptibles is the dominant source of non-proportionality in cohort hazards; regimes in which timing misalignment or denominator redefinition dominate are typically identifiable through early instability, lack of a valid quiet window, or failure of post-normalization linearity and therefore fall outside the intended scope of the method.</w:t>
      </w:r>
    </w:p>
    <w:bookmarkEnd w:id="31"/>
    <w:bookmarkStart w:id="32" w:name="Xb392e4b688f4a0f1d9b42015876f69bb1b92dbe"/>
    <w:p>
      <w:pPr>
        <w:pStyle w:val="Heading4"/>
      </w:pPr>
      <w:r>
        <w:t xml:space="preserve">2.1.2 Interpretability checklist for KCOR results</w:t>
      </w:r>
    </w:p>
    <w:p>
      <w:pPr>
        <w:pStyle w:val="FirstParagraph"/>
      </w:pPr>
      <w:r>
        <w:t xml:space="preserve">The assumptions in §2.1.1 specify the conditions under which KCOR is a valid and diagnostically enforceable estimator. Interpretation of a specific KCOR result—particularly as evidence of harm or benefit—requires additional prespecified checks. These checks do not constitute assumptions of the method, but determine what inferential question a given KCOR trajectory answers.</w:t>
      </w:r>
    </w:p>
    <w:p>
      <w:pPr>
        <w:pStyle w:val="BodyText"/>
      </w:pPr>
      <w:r>
        <w:rPr>
          <w:b/>
          <w:bCs/>
        </w:rPr>
        <w:t xml:space="preserve">Before interpreting a KCOR result as evidence of cumulative harm or benefit, the following interpretability checks should be verified:</w:t>
      </w:r>
    </w:p>
    <w:p>
      <w:pPr>
        <w:numPr>
          <w:ilvl w:val="0"/>
          <w:numId w:val="1010"/>
        </w:numPr>
      </w:pPr>
      <w:r>
        <w:rPr>
          <w:b/>
          <w:bCs/>
        </w:rPr>
        <w:t xml:space="preserve">Dynamic selection handling.</w:t>
      </w:r>
      <w:r>
        <w:t xml:space="preserve"> </w:t>
      </w:r>
      <w:r>
        <w:t xml:space="preserve">Early post-enrollment periods subject to short-horizon dynamic selection (e.g., deferral effects) are excluded from frailty identification via prespecified skip weeks.</w:t>
      </w:r>
    </w:p>
    <w:p>
      <w:pPr>
        <w:numPr>
          <w:ilvl w:val="0"/>
          <w:numId w:val="1010"/>
        </w:numPr>
      </w:pPr>
      <w:r>
        <w:rPr>
          <w:b/>
          <w:bCs/>
        </w:rPr>
        <w:t xml:space="preserve">Quiet baseline anchoring.</w:t>
      </w:r>
      <w:r>
        <w:t xml:space="preserve"> </w:t>
      </w:r>
      <w:r>
        <w:t xml:space="preserve">The baseline anchoring period used for comparison lies within an epidemiologically quiet window, free of major external shocks, and exhibits approximate post-normalization linearity.</w:t>
      </w:r>
    </w:p>
    <w:p>
      <w:pPr>
        <w:numPr>
          <w:ilvl w:val="0"/>
          <w:numId w:val="1010"/>
        </w:numPr>
      </w:pPr>
      <w:r>
        <w:rPr>
          <w:b/>
          <w:bCs/>
        </w:rPr>
        <w:t xml:space="preserve">Temporal alignment with hypothesized effects.</w:t>
      </w:r>
      <w:r>
        <w:t xml:space="preserve"> </w:t>
      </w:r>
      <w:r>
        <w:t xml:space="preserve">The follow-up window used for interpretation overlaps the period during which a substantive effect is hypothesized to occur; KCOR does not recover effects outside the analyzed window.</w:t>
      </w:r>
    </w:p>
    <w:p>
      <w:pPr>
        <w:numPr>
          <w:ilvl w:val="0"/>
          <w:numId w:val="1010"/>
        </w:numPr>
      </w:pPr>
      <w:r>
        <w:rPr>
          <w:b/>
          <w:bCs/>
        </w:rPr>
        <w:t xml:space="preserve">Post-normalization stability.</w:t>
      </w:r>
      <w:r>
        <w:t xml:space="preserve"> </w:t>
      </w:r>
      <w:r>
        <w:t xml:space="preserve">KCOR(t) trajectories stabilize rather than drift following normalization and anchoring, consistent with successful removal of selection-induced depletion curvature.</w:t>
      </w:r>
    </w:p>
    <w:p>
      <w:pPr>
        <w:numPr>
          <w:ilvl w:val="0"/>
          <w:numId w:val="1010"/>
        </w:numPr>
      </w:pPr>
      <w:r>
        <w:rPr>
          <w:b/>
          <w:bCs/>
        </w:rPr>
        <w:t xml:space="preserve">Diagnostic coherence.</w:t>
      </w:r>
      <w:r>
        <w:t xml:space="preserve"> </w:t>
      </w:r>
      <w:r>
        <w:t xml:space="preserve">Fitted frailty parameters and residual diagnostics are stable under reasonable perturbations of skip weeks and quiet-window boundaries.</w:t>
      </w:r>
    </w:p>
    <w:p>
      <w:pPr>
        <w:pStyle w:val="FirstParagraph"/>
      </w:pPr>
      <w:r>
        <w:t xml:space="preserve">Failure of any interpretability check narrows what can be inferred, but does not invalidate the KCOR estimator itself. Formal diagnostics underlying these checks, including frailty-parameter coherence and stability, are detailed in Appendix D.</w:t>
      </w:r>
    </w:p>
    <w:bookmarkEnd w:id="32"/>
    <w:bookmarkStart w:id="33" w:name="multiplicity-and-ensemble-interpretation"/>
    <w:p>
      <w:pPr>
        <w:pStyle w:val="Heading4"/>
      </w:pPr>
      <w:r>
        <w:t xml:space="preserve">2.1.3 Multiplicity and ensemble interpretation</w:t>
      </w:r>
    </w:p>
    <w:p>
      <w:pPr>
        <w:pStyle w:val="FirstParagraph"/>
      </w:pPr>
      <w:r>
        <w:t xml:space="preserve">KCOR is not intended as a mass univariate hypothesis-testing framework. When applied across multiple age strata, enrollment periods, or dose comparisons, resulting KCOR(t) trajectories should be interpreted as correlated views of a shared underlying process rather than as independent statistical tests. Accordingly, inference emphasizes diagnostic coherence, temporal stability, and consistency of cumulative-outcome patterns across strata, rather than reliance on nominal significance thresholds or formal multiple-comparison corrections.</w:t>
      </w:r>
    </w:p>
    <w:bookmarkEnd w:id="33"/>
    <w:bookmarkStart w:id="34" w:name="identifiability-and-scope-of-inference"/>
    <w:p>
      <w:pPr>
        <w:pStyle w:val="Heading4"/>
      </w:pPr>
      <w:r>
        <w:t xml:space="preserve">2.1.4 Identifiability and scope of inference</w:t>
      </w:r>
    </w:p>
    <w:p>
      <w:pPr>
        <w:pStyle w:val="FirstParagraph"/>
      </w:pPr>
      <w:r>
        <w:t xml:space="preserve">Identifiability in the KCOR framework concerns whether cumulative outcome differences can be meaningfully interpreted after explicit normalization of selection-induced depletion. KCOR is not a general causal estimator under arbitrary unmeasured confounding; it is a depletion-normalization method that yields a cumulative cohort contrast that is interpretable only conditional on the stated assumptions, controls, and diagnostics. KCOR does not seek to decompose selection and treatment effects into separate causal components; instead, it tests whether observed cumulative outcomes depart from the null hypothesis of no net harm or benefit under shared external hazards and diagnosed frailty structure. When diagnostic and interpretability conditions are satisfied, persistent departures of KCOR(t) from unity reflect differences in cumulative outcomes that cannot be attributed to selection alone. When those conditions are not met, KCOR explicitly signals loss of identifiability rather than producing misleading estimates.</w:t>
      </w:r>
    </w:p>
    <w:bookmarkEnd w:id="34"/>
    <w:bookmarkStart w:id="35" w:name="X2ff639dda5c76ee12c1be373d6ab806d9726741"/>
    <w:p>
      <w:pPr>
        <w:pStyle w:val="Heading4"/>
      </w:pPr>
      <w:r>
        <w:t xml:space="preserve">2.1.5 What KCOR is not: distinction from Cox and frailty regression</w:t>
      </w:r>
    </w:p>
    <w:p>
      <w:pPr>
        <w:pStyle w:val="FirstParagraph"/>
      </w:pPr>
      <w:r>
        <w:t xml:space="preserve">KCOR is</w:t>
      </w:r>
      <w:r>
        <w:t xml:space="preserve"> </w:t>
      </w:r>
      <w:r>
        <w:rPr>
          <w:b/>
          <w:bCs/>
        </w:rPr>
        <w:t xml:space="preserve">not</w:t>
      </w:r>
      <w:r>
        <w:t xml:space="preserve"> </w:t>
      </w:r>
      <w:r>
        <w:t xml:space="preserve">a Cox proportional hazards model, with or without frailty. Cox models—whether standard or augmented with gamma frailty—are regression models whose primary estimand is a coefficient vector</w:t>
      </w:r>
      <w:r>
        <w:t xml:space="preserve"> </w:t>
      </w:r>
      <m:oMath>
        <m:r>
          <m:t>β</m:t>
        </m:r>
      </m:oMath>
      <w:r>
        <w:t xml:space="preserve">, typically interpreted through hazard ratios. Estimation proceeds by (penalized) partial likelihood based on risk sets, and interpretation relies on proportional hazards (at least conditional on frailty in frailty-augmented Cox models).</w:t>
      </w:r>
    </w:p>
    <w:p>
      <w:pPr>
        <w:pStyle w:val="BodyText"/>
      </w:pPr>
      <w:r>
        <w:t xml:space="preserve">In causal terminology, latent frailty heterogeneity functions as an unmeasured confounder; however, its defining feature in this setting is not baseline imbalance per se but the induced time-evolution of the risk set, which violates proportional hazards even under a true null effect.</w:t>
      </w:r>
    </w:p>
    <w:p>
      <w:pPr>
        <w:pStyle w:val="BodyText"/>
      </w:pPr>
      <w:r>
        <w:t xml:space="preserve">In contrast, KCOR does not estimate regression coefficients, does not condition on risk sets, and does not assume proportional hazards. KCOR treats cohort heterogeneity (frailty-driven selection and depletion) as the primary object of inference rather than as a nuisance random effect. Specifically, KCOR estimates cohort-specific frailty parameters from curvature in observed cumulative hazards during epidemiologically quiet periods and uses these parameters to compute</w:t>
      </w:r>
      <w:r>
        <w:t xml:space="preserve"> </w:t>
      </w:r>
      <w:r>
        <w:rPr>
          <w:b/>
          <w:bCs/>
        </w:rPr>
        <w:t xml:space="preserve">depletion-neutralized baseline cumulative hazards</w:t>
      </w:r>
      <w:r>
        <w:t xml:space="preserve">. KCOR then compares cohorts cumulatively using ratios of these depletion-neutralized quantities.</w:t>
      </w:r>
    </w:p>
    <w:p>
      <w:pPr>
        <w:pStyle w:val="BodyText"/>
      </w:pPr>
      <w:r>
        <w:t xml:space="preserve">The distinction is fundamental: in Cox models with frailty, frailty functions as a</w:t>
      </w:r>
      <w:r>
        <w:t xml:space="preserve"> </w:t>
      </w:r>
      <w:r>
        <w:rPr>
          <w:b/>
          <w:bCs/>
        </w:rPr>
        <w:t xml:space="preserve">nuisance parameter</w:t>
      </w:r>
      <w:r>
        <w:t xml:space="preserve"> </w:t>
      </w:r>
      <w:r>
        <w:t xml:space="preserve">that absorbs heterogeneity to improve estimation of treatment coefficients; in KCOR, frailty is the</w:t>
      </w:r>
      <w:r>
        <w:t xml:space="preserve"> </w:t>
      </w:r>
      <w:r>
        <w:rPr>
          <w:b/>
          <w:bCs/>
        </w:rPr>
        <w:t xml:space="preserve">object of inference</w:t>
      </w:r>
      <w:r>
        <w:t xml:space="preserve"> </w:t>
      </w:r>
      <w:r>
        <w:t xml:space="preserve">itself, estimated from curvature and explicitly removed before comparison. Cox models condition on survival through risk sets and estimate</w:t>
      </w:r>
      <w:r>
        <w:t xml:space="preserve"> </w:t>
      </w:r>
      <m:oMath>
        <m:r>
          <m:t>β</m:t>
        </m:r>
      </m:oMath>
      <w:r>
        <w:t xml:space="preserve">; KCOR does not condition on survival and estimates a</w:t>
      </w:r>
      <w:r>
        <w:t xml:space="preserve"> </w:t>
      </w:r>
      <w:r>
        <w:rPr>
          <w:b/>
          <w:bCs/>
        </w:rPr>
        <w:t xml:space="preserve">cumulative contrast after normalization</w:t>
      </w:r>
      <w:r>
        <w:t xml:space="preserve">.</w:t>
      </w:r>
      <w:r>
        <w:t xml:space="preserve"> </w:t>
      </w:r>
      <w:r>
        <w:rPr>
          <w:i/>
          <w:iCs/>
        </w:rPr>
        <w:t xml:space="preserve">KCOR reverses the usual direction of inference: instead of absorbing frailty into a regression error structure, it estimates frailty from curvature and explicitly removes its effect before comparison.</w:t>
      </w:r>
    </w:p>
    <w:p>
      <w:pPr>
        <w:pStyle w:val="BodyText"/>
      </w:pPr>
      <w:r>
        <w:t xml:space="preserve">Because KCOR neither targets</w:t>
      </w:r>
      <w:r>
        <w:t xml:space="preserve"> </w:t>
      </w:r>
      <m:oMath>
        <m:r>
          <m:t>β</m:t>
        </m:r>
      </m:oMath>
      <w:r>
        <w:t xml:space="preserve"> </w:t>
      </w:r>
      <w:r>
        <w:t xml:space="preserve">nor uses partial likelihood, it is not a special case of Cox frailty models and does not generalize them. KCOR addresses a different inferential problem: normalization of selection-induced hazard curvature and cumulative comparison after that normalization. Cox-type models remain appropriate when the scientific target is an instantaneous hazard ratio and proportional hazards is defensible; KCOR is designed for settings where non-proportional hazards from selection and depletion dominate and cumulative comparisons are the target.</w:t>
      </w:r>
    </w:p>
    <w:bookmarkEnd w:id="35"/>
    <w:bookmarkStart w:id="36" w:name="X19be1cc8b4f22674f4fa31b60c80ceca3407093"/>
    <w:p>
      <w:pPr>
        <w:pStyle w:val="Heading4"/>
      </w:pPr>
      <w:r>
        <w:t xml:space="preserve">2.1.6 Model diagnostics and falsification criteria</w:t>
      </w:r>
    </w:p>
    <w:p>
      <w:pPr>
        <w:pStyle w:val="FirstParagraph"/>
      </w:pPr>
      <w:r>
        <w:t xml:space="preserve">KCOR is not validated by goodness-of-fit alone. Instead, it implies a set of independent structural diagnostics that must be satisfied simultaneously. These diagnostics are defined ex ante and provide explicit failure modes: violation of any one constitutes evidence against model adequacy rather than a need for reinterpretation.</w:t>
      </w:r>
    </w:p>
    <w:p>
      <w:pPr>
        <w:pStyle w:val="BodyText"/>
      </w:pPr>
      <w:r>
        <w:t xml:space="preserve">Specifically, KCOR implies that (i) unvaccinated cohorts drawn from heterogeneous populations exhibit non-zero gamma frailty with visible curvature in cumulative hazard; (ii) cohorts subject to strong selective uptake exhibit near-zero estimated frailty:</w:t>
      </w:r>
    </w:p>
    <w:p>
      <w:pPr>
        <w:pStyle w:val="BodyText"/>
      </w:pPr>
      <m:oMathPara>
        <m:oMathParaPr>
          <m:jc m:val="center"/>
        </m:oMathParaPr>
        <m:oMath>
          <m:sSub>
            <m:e>
              <m:acc>
                <m:accPr>
                  <m:chr m:val="̂"/>
                </m:accPr>
                <m:e>
                  <m:r>
                    <m:t>θ</m:t>
                  </m:r>
                </m:e>
              </m:acc>
            </m:e>
            <m:sub>
              <m:r>
                <m:t>d</m:t>
              </m:r>
            </m:sub>
          </m:sSub>
          <m:r>
            <m:rPr>
              <m:sty m:val="p"/>
            </m:rPr>
            <m:t>≈</m:t>
          </m:r>
          <m:r>
            <m:t>0</m:t>
          </m:r>
        </m:oMath>
      </m:oMathPara>
    </w:p>
    <w:p>
      <w:pPr>
        <w:pStyle w:val="FirstParagraph"/>
      </w:pPr>
      <w:r>
        <w:t xml:space="preserve">and approximately linear cumulative hazards during epidemiologically quiet windows; (iii) fitted frailty parameters vary coherently with age, reflecting the interaction between baseline hazard and heterogeneity rather than enforcing monotonicity; and (iv) cumulative hazard ratios converge to stable asymptotes following KCOR normalization.</w:t>
      </w:r>
    </w:p>
    <w:p>
      <w:pPr>
        <w:pStyle w:val="BodyText"/>
      </w:pPr>
      <w:r>
        <w:t xml:space="preserve">None of these properties are imposed as constraints or priors. All emerge from the data. In low-information regimes (e.g., sparse events or highly selected cohorts), KCOR is expected to degrade toward instability or attenuation rather than producing spurious effects. These behaviors provide a falsifiable diagnostic framework rather than a model-tuning mechanism.</w:t>
      </w:r>
    </w:p>
    <w:bookmarkEnd w:id="36"/>
    <w:bookmarkEnd w:id="37"/>
    <w:bookmarkStart w:id="39" w:name="cohort-construction-and-estimand"/>
    <w:p>
      <w:pPr>
        <w:pStyle w:val="Heading3"/>
      </w:pPr>
      <w:r>
        <w:t xml:space="preserve">2.2 Cohort construction and estimand</w:t>
      </w:r>
    </w:p>
    <w:p>
      <w:pPr>
        <w:pStyle w:val="FirstParagraph"/>
      </w:pPr>
      <w:r>
        <w:t xml:space="preserve">KCOR is defined for</w:t>
      </w:r>
      <w:r>
        <w:t xml:space="preserve"> </w:t>
      </w:r>
      <w:r>
        <w:rPr>
          <w:b/>
          <w:bCs/>
        </w:rPr>
        <w:t xml:space="preserve">fixed cohorts</w:t>
      </w:r>
      <w:r>
        <w:t xml:space="preserve"> </w:t>
      </w:r>
      <w:r>
        <w:t xml:space="preserve">at enrollment. Required inputs are minimal: for each individual, the intervention or enrollment date(s) and the</w:t>
      </w:r>
      <w:r>
        <w:t xml:space="preserve"> </w:t>
      </w:r>
      <w:r>
        <w:rPr>
          <w:b/>
          <w:bCs/>
        </w:rPr>
        <w:t xml:space="preserve">event date</w:t>
      </w:r>
      <w:r>
        <w:t xml:space="preserve"> </w:t>
      </w:r>
      <w:r>
        <w:t xml:space="preserve">(e.g., death for mortality analyses), with birth date or year included only if age stratification is performed. Throughout, we use</w:t>
      </w:r>
      <w:r>
        <w:t xml:space="preserve"> </w:t>
      </w:r>
      <w:r>
        <w:t xml:space="preserve">“event”</w:t>
      </w:r>
      <w:r>
        <w:t xml:space="preserve"> </w:t>
      </w:r>
      <w:r>
        <w:t xml:space="preserve">to denote the outcome of interest, with event timing recorded relative to cohort enrollment.</w:t>
      </w:r>
    </w:p>
    <w:p>
      <w:pPr>
        <w:pStyle w:val="Compact"/>
        <w:numPr>
          <w:ilvl w:val="0"/>
          <w:numId w:val="1011"/>
        </w:numPr>
      </w:pPr>
      <w:r>
        <w:t xml:space="preserve">Cohorts are fixed at enrollment and defined by intervention status at the start of the enrollment week; doses administered during the enrollment week do not affect cohort assignment (i.e., dose status is determined by doses received</w:t>
      </w:r>
      <w:r>
        <w:t xml:space="preserve"> </w:t>
      </w:r>
      <w:r>
        <w:rPr>
          <w:b/>
          <w:bCs/>
        </w:rPr>
        <w:t xml:space="preserve">strictly before</w:t>
      </w:r>
      <w:r>
        <w:t xml:space="preserve"> </w:t>
      </w:r>
      <w:r>
        <w:t xml:space="preserve">the enrollment week start).</w:t>
      </w:r>
    </w:p>
    <w:p>
      <w:pPr>
        <w:pStyle w:val="Compact"/>
        <w:numPr>
          <w:ilvl w:val="0"/>
          <w:numId w:val="1011"/>
        </w:numPr>
      </w:pPr>
      <w:r>
        <w:t xml:space="preserve">No censoring or cohort switching is permitted in the primary estimand.</w:t>
      </w:r>
    </w:p>
    <w:p>
      <w:pPr>
        <w:pStyle w:val="Compact"/>
        <w:numPr>
          <w:ilvl w:val="0"/>
          <w:numId w:val="1011"/>
        </w:numPr>
      </w:pPr>
      <w:r>
        <w:t xml:space="preserve">Analysis proceeds in</w:t>
      </w:r>
      <w:r>
        <w:t xml:space="preserve"> </w:t>
      </w:r>
      <w:r>
        <w:rPr>
          <w:b/>
          <w:bCs/>
        </w:rPr>
        <w:t xml:space="preserve">event time</w:t>
      </w:r>
      <w:r>
        <w:t xml:space="preserve"> </w:t>
      </w:r>
      <m:oMath>
        <m:r>
          <m:t>t</m:t>
        </m:r>
      </m:oMath>
      <w:r>
        <w:t xml:space="preserve"> </w:t>
      </w:r>
      <w:r>
        <w:t xml:space="preserve">(time since enrollment).</w:t>
      </w:r>
    </w:p>
    <w:p>
      <w:pPr>
        <w:pStyle w:val="FirstParagraph"/>
      </w:pPr>
      <w:r>
        <w:t xml:space="preserve">This fixed-cohort design corresponds to an intent-to-treat–like estimand under selection. This design avoids time-varying deferral bias, immortal time bias, and dynamic health-based sorting that arise when individuals change exposure status during follow-up. Dynamic</w:t>
      </w:r>
      <w:r>
        <w:t xml:space="preserve"> </w:t>
      </w:r>
      <w:r>
        <w:t xml:space="preserve">“as-treated”</w:t>
      </w:r>
      <w:r>
        <w:t xml:space="preserve"> </w:t>
      </w:r>
      <w:r>
        <w:t xml:space="preserve">formulations are treated as sensitivity analyses rather than primary estimands.</w:t>
      </w:r>
    </w:p>
    <w:p>
      <w:pPr>
        <w:pStyle w:val="BodyText"/>
      </w:pPr>
      <w:r>
        <w:rPr>
          <w:b/>
          <w:bCs/>
        </w:rPr>
        <w:t xml:space="preserve">Failure event.</w:t>
      </w:r>
      <w:r>
        <w:t xml:space="preserve"> </w:t>
      </w:r>
      <w:r>
        <w:t xml:space="preserve">The failure event analyzed in this manuscript is</w:t>
      </w:r>
      <w:r>
        <w:t xml:space="preserve"> </w:t>
      </w:r>
      <w:r>
        <w:rPr>
          <w:b/>
          <w:bCs/>
        </w:rPr>
        <w:t xml:space="preserve">all-cause mortality</w:t>
      </w:r>
      <w:r>
        <w:t xml:space="preserve">, defined as death from any cause occurring after cohort enrollment. KCOR therefore does not target a cause-specific hazard and is not framed as a competing risks analysis. This choice is deliberate: selection-induced depletion operates on overall mortality risk regardless of cause, and restricting to cause-specific outcomes requires additional assumptions and introduces sensitivity to misclassification and post-treatment information. Extensions of KCOR to cause-specific outcomes are possible but are outside the scope of this methods paper.</w:t>
      </w:r>
    </w:p>
    <w:bookmarkStart w:id="38" w:name="Xcc9d8eae92928ff9c0042d8fe45a8a74421cd30"/>
    <w:p>
      <w:pPr>
        <w:pStyle w:val="Heading4"/>
      </w:pPr>
      <w:r>
        <w:t xml:space="preserve">2.2.1 KCOR data representation and reproducibility</w:t>
      </w:r>
    </w:p>
    <w:p>
      <w:pPr>
        <w:pStyle w:val="FirstParagraph"/>
      </w:pPr>
      <w:r>
        <w:t xml:space="preserve">All analyses were performed using the KCOR (Kirsch Cumulative Outcomes Ratio) framework, which operates on fixed-cohort, time-indexed observational data under explicitly defined enrollment and outcome semantics.</w:t>
      </w:r>
    </w:p>
    <w:p>
      <w:pPr>
        <w:pStyle w:val="BodyText"/>
      </w:pPr>
      <w:r>
        <w:t xml:space="preserve">To ensure reproducibility across jurisdictions with differing privacy and disclosure-control regimes, KCOR supports three formally defined data representations:</w:t>
      </w:r>
    </w:p>
    <w:p>
      <w:pPr>
        <w:pStyle w:val="Compact"/>
        <w:numPr>
          <w:ilvl w:val="0"/>
          <w:numId w:val="1012"/>
        </w:numPr>
      </w:pPr>
      <w:r>
        <w:t xml:space="preserve">Record-level data</w:t>
      </w:r>
      <w:r>
        <w:br/>
      </w:r>
    </w:p>
    <w:p>
      <w:pPr>
        <w:pStyle w:val="Compact"/>
        <w:numPr>
          <w:ilvl w:val="0"/>
          <w:numId w:val="1012"/>
        </w:numPr>
      </w:pPr>
      <w:r>
        <w:t xml:space="preserve">Aggregated outcome summary data</w:t>
      </w:r>
      <w:r>
        <w:br/>
      </w:r>
    </w:p>
    <w:p>
      <w:pPr>
        <w:pStyle w:val="Compact"/>
        <w:numPr>
          <w:ilvl w:val="0"/>
          <w:numId w:val="1012"/>
        </w:numPr>
      </w:pPr>
      <w:r>
        <w:t xml:space="preserve">Hazard summary data</w:t>
      </w:r>
    </w:p>
    <w:p>
      <w:pPr>
        <w:pStyle w:val="FirstParagraph"/>
      </w:pPr>
      <w:r>
        <w:t xml:space="preserve">These formats differ only in disclosure surface; they are analytically equivalent under the KCOR methodology.</w:t>
      </w:r>
    </w:p>
    <w:p>
      <w:pPr>
        <w:pStyle w:val="BodyText"/>
      </w:pPr>
      <w:r>
        <w:t xml:space="preserve">The precise definitions of enrollment, cohort freezing, time indexing, risk sets, outcomes, stratifiers, and disclosure-control constraints are specified in the</w:t>
      </w:r>
      <w:r>
        <w:t xml:space="preserve"> </w:t>
      </w:r>
      <w:r>
        <w:rPr>
          <w:b/>
          <w:bCs/>
        </w:rPr>
        <w:t xml:space="preserve">KCOR data format specification</w:t>
      </w:r>
      <w:r>
        <w:t xml:space="preserve">, which is versioned and publicly available:</w:t>
      </w:r>
    </w:p>
    <w:p>
      <w:pPr>
        <w:pStyle w:val="BlockText"/>
      </w:pPr>
      <w:r>
        <w:rPr>
          <w:i/>
          <w:iCs/>
        </w:rPr>
        <w:t xml:space="preserve">KCOR File Format Specification</w:t>
      </w:r>
      <w:r>
        <w:br/>
      </w:r>
      <w:r>
        <w:rPr>
          <w:rStyle w:val="VerbatimChar"/>
        </w:rPr>
        <w:t xml:space="preserve">documentation/specs/KCOR_file_format.md</w:t>
      </w:r>
    </w:p>
    <w:p>
      <w:pPr>
        <w:pStyle w:val="FirstParagraph"/>
      </w:pPr>
      <w:r>
        <w:t xml:space="preserve">All KCOR results presented in this paper can be reproduced from any data representation that conforms to this specification.</w:t>
      </w:r>
    </w:p>
    <w:bookmarkEnd w:id="38"/>
    <w:bookmarkEnd w:id="39"/>
    <w:bookmarkStart w:id="43" w:name="X217ef8b21ee5f5d43c75156094bead796d55408"/>
    <w:p>
      <w:pPr>
        <w:pStyle w:val="Heading3"/>
      </w:pPr>
      <w:r>
        <w:t xml:space="preserve">2.3 Hazard estimation and cumulative hazards (discrete time)</w:t>
      </w:r>
    </w:p>
    <w:p>
      <w:pPr>
        <w:pStyle w:val="FirstParagraph"/>
      </w:pPr>
      <w:r>
        <w:t xml:space="preserve">Let</w:t>
      </w:r>
      <w:r>
        <w:t xml:space="preserve"> </w:t>
      </w:r>
      <m:oMath>
        <m:r>
          <m:t>t</m:t>
        </m:r>
      </m:oMath>
      <w:r>
        <w:t xml:space="preserve"> </w:t>
      </w:r>
      <w:r>
        <w:t xml:space="preserve">denote event time since enrollment (e.g., weeks),</w:t>
      </w:r>
      <w:r>
        <w:t xml:space="preserve"> </w:t>
      </w:r>
      <m:oMath>
        <m:sSub>
          <m:e>
            <m:r>
              <m:t>D</m:t>
            </m:r>
          </m:e>
          <m:sub>
            <m:r>
              <m:t>d</m:t>
            </m:r>
          </m:sub>
        </m:sSub>
        <m:r>
          <m:rPr>
            <m:sty m:val="p"/>
          </m:rPr>
          <m:t>(</m:t>
        </m:r>
        <m:r>
          <m:t>t</m:t>
        </m:r>
        <m:r>
          <m:rPr>
            <m:sty m:val="p"/>
          </m:rPr>
          <m:t>)</m:t>
        </m:r>
      </m:oMath>
      <w:r>
        <w:t xml:space="preserve"> </w:t>
      </w:r>
      <w:r>
        <w:t xml:space="preserve">deaths during interval</w:t>
      </w:r>
      <w:r>
        <w:t xml:space="preserve"> </w:t>
      </w:r>
      <m:oMath>
        <m:r>
          <m:t>t</m:t>
        </m:r>
      </m:oMath>
      <w:r>
        <w:t xml:space="preserve"> </w:t>
      </w:r>
      <w:r>
        <w:t xml:space="preserve">in cohort</w:t>
      </w:r>
      <w:r>
        <w:t xml:space="preserve"> </w:t>
      </w:r>
      <m:oMath>
        <m:r>
          <m:t>d</m:t>
        </m:r>
      </m:oMath>
      <w:r>
        <w:t xml:space="preserve">, and</w:t>
      </w:r>
      <w:r>
        <w:t xml:space="preserve"> </w:t>
      </w:r>
      <m:oMath>
        <m:sSub>
          <m:e>
            <m:r>
              <m:t>N</m:t>
            </m:r>
          </m:e>
          <m:sub>
            <m:r>
              <m:t>d</m:t>
            </m:r>
          </m:sub>
        </m:sSub>
        <m:r>
          <m:rPr>
            <m:sty m:val="p"/>
          </m:rPr>
          <m:t>(</m:t>
        </m:r>
        <m:r>
          <m:t>t</m:t>
        </m:r>
        <m:r>
          <m:rPr>
            <m:sty m:val="p"/>
          </m:rPr>
          <m:t>)</m:t>
        </m:r>
      </m:oMath>
      <w:r>
        <w:t xml:space="preserve"> </w:t>
      </w:r>
      <w:r>
        <w:t xml:space="preserve">the number at risk at the start of interval</w:t>
      </w:r>
      <w:r>
        <w:t xml:space="preserve"> </w:t>
      </w:r>
      <m:oMath>
        <m:r>
          <m:t>t</m:t>
        </m:r>
      </m:oMath>
      <w:r>
        <w:t xml:space="preserve">. In discrete time, hazards are treated as piecewise-constant and can be computed from interval risk as</w:t>
      </w:r>
    </w:p>
    <w:bookmarkStart w:id="40" w:name="eq:hazard-discrete"/>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ln</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oMath>
      <w:r>
        <w:t xml:space="preserve"> </w:t>
      </w:r>
      <w:r>
        <w:tab/>
      </w:r>
      <w:r>
        <w:t xml:space="preserve"> </w:t>
      </w:r>
      <m:oMath>
        <m:r>
          <m:rPr>
            <m:sty m:val="p"/>
          </m:rPr>
          <m:t>(</m:t>
        </m:r>
        <m:r>
          <m:t>1</m:t>
        </m:r>
        <m:r>
          <m:rPr>
            <m:sty m:val="p"/>
          </m:rPr>
          <m:t>)</m:t>
        </m:r>
      </m:oMath>
    </w:p>
    <w:bookmarkEnd w:id="40"/>
    <w:p>
      <w:pPr>
        <w:pStyle w:val="BodyText"/>
      </w:pPr>
      <w:r>
        <w:t xml:space="preserve">We work primarily in</w:t>
      </w:r>
      <w:r>
        <w:t xml:space="preserve"> </w:t>
      </w:r>
      <w:r>
        <w:rPr>
          <w:b/>
          <w:bCs/>
        </w:rPr>
        <w:t xml:space="preserve">cumulative-hazard space</w:t>
      </w:r>
      <w:r>
        <w:t xml:space="preserve">, accumulating observed hazards after an optional stabilization skip (see §2.7):</w:t>
      </w:r>
    </w:p>
    <w:bookmarkStart w:id="41" w:name="eq:cumhazard-observed"/>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t> </m:t>
        </m:r>
        <m:r>
          <m:rPr>
            <m:sty m:val="p"/>
          </m:rPr>
          <m:t>Δ</m:t>
        </m:r>
        <m:r>
          <m:t>t</m:t>
        </m:r>
        <m:r>
          <m:rPr>
            <m:sty m:val="p"/>
          </m:rPr>
          <m:t>,</m:t>
        </m:r>
        <m:r>
          <m:t>  </m:t>
        </m:r>
        <m:r>
          <m:rPr>
            <m:sty m:val="p"/>
          </m:rPr>
          <m:t>Δ</m:t>
        </m:r>
        <m:r>
          <m:t>t</m:t>
        </m:r>
        <m:r>
          <m:rPr>
            <m:sty m:val="p"/>
          </m:rPr>
          <m:t>=</m:t>
        </m:r>
        <m:r>
          <m:t>1</m:t>
        </m:r>
        <m:r>
          <m:rPr>
            <m:nor/>
            <m:sty m:val="p"/>
          </m:rPr>
          <m:t> (one time bin)</m:t>
        </m:r>
        <m:r>
          <m:rPr>
            <m:sty m:val="p"/>
          </m:rPr>
          <m:t>.</m:t>
        </m:r>
      </m:oMath>
      <w:r>
        <w:t xml:space="preserve"> </w:t>
      </w:r>
      <w:r>
        <w:tab/>
      </w:r>
      <w:r>
        <w:t xml:space="preserve"> </w:t>
      </w:r>
      <m:oMath>
        <m:r>
          <m:rPr>
            <m:sty m:val="p"/>
          </m:rPr>
          <m:t>(</m:t>
        </m:r>
        <m:r>
          <m:t>2</m:t>
        </m:r>
        <m:r>
          <m:rPr>
            <m:sty m:val="p"/>
          </m:rPr>
          <m:t>)</m:t>
        </m:r>
      </m:oMath>
    </w:p>
    <w:bookmarkEnd w:id="41"/>
    <w:bookmarkStart w:id="42" w:name="discrete-time-and-tied-events"/>
    <w:p>
      <w:pPr>
        <w:pStyle w:val="Heading4"/>
      </w:pPr>
      <w:r>
        <w:t xml:space="preserve">2.3.1 Discrete time and tied events</w:t>
      </w:r>
    </w:p>
    <w:p>
      <w:pPr>
        <w:pStyle w:val="FirstParagraph"/>
      </w:pPr>
      <w:r>
        <w:t xml:space="preserve">KCOR is formulated in discrete time using aggregated event counts and therefore naturally accommodates tied event times. For population registry data, weekly or similarly coarse time bins are generally appropriate and reduce noise without sacrificing identifiability. Finer binning does not improve depletion normalization and may destabilize frailty estimation when event counts per bin are small. Bin width should be guided by diagnostic stability rather than temporal resolution alone.</w:t>
      </w:r>
    </w:p>
    <w:bookmarkEnd w:id="42"/>
    <w:bookmarkEnd w:id="43"/>
    <w:bookmarkStart w:id="56" w:name="Xe033a348c5bd6b05b57c8d9f7299f5850ccd667"/>
    <w:p>
      <w:pPr>
        <w:pStyle w:val="Heading3"/>
      </w:pPr>
      <w:r>
        <w:t xml:space="preserve">2.4 Selection model: gamma frailty and the cumulative-hazard identity</w:t>
      </w:r>
    </w:p>
    <w:bookmarkStart w:id="45" w:name="X1613f91e2d32d239863b345c5f5c082f741e4a2"/>
    <w:p>
      <w:pPr>
        <w:pStyle w:val="Heading4"/>
      </w:pPr>
      <w:r>
        <w:t xml:space="preserve">2.4.1 Individual hazards with multiplicative frailty</w:t>
      </w:r>
    </w:p>
    <w:p>
      <w:pPr>
        <w:pStyle w:val="FirstParagraph"/>
      </w:pPr>
      <w:r>
        <w:t xml:space="preserve">Model individual hazards in cohort</w:t>
      </w:r>
      <w:r>
        <w:t xml:space="preserve"> </w:t>
      </w:r>
      <m:oMath>
        <m:r>
          <m:t>d</m:t>
        </m:r>
      </m:oMath>
      <w:r>
        <w:t xml:space="preserve"> </w:t>
      </w:r>
      <w:r>
        <w:t xml:space="preserve">as multiplicative frailty on top of a baseline hazard:</w:t>
      </w:r>
    </w:p>
    <w:bookmarkStart w:id="44" w:name="eq:individual-hazard-frailty"/>
    <w:p>
      <w:pPr>
        <w:pStyle w:val="BodyText"/>
      </w:pPr>
      <w:pPr>
        <w:tabs>
          <w:tab w:val="center" w:leader="none" w:pos="4680"/>
          <w:tab w:val="right" w:leader="none" w:pos="9360"/>
        </w:tabs>
      </w:pPr>
      <w:r>
        <w:tab/>
      </w:r>
      <w:r>
        <w:t xml:space="preserve"> </w:t>
      </w: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oMath>
      <w:r>
        <w:t xml:space="preserve"> </w:t>
      </w:r>
      <w:r>
        <w:tab/>
      </w:r>
      <w:r>
        <w:t xml:space="preserve"> </w:t>
      </w:r>
      <m:oMath>
        <m:r>
          <m:rPr>
            <m:sty m:val="p"/>
          </m:rPr>
          <m:t>(</m:t>
        </m:r>
        <m:r>
          <m:t>3</m:t>
        </m:r>
        <m:r>
          <m:rPr>
            <m:sty m:val="p"/>
          </m:rPr>
          <m:t>)</m:t>
        </m:r>
      </m:oMath>
    </w:p>
    <w:bookmarkEnd w:id="44"/>
    <w:p>
      <w:pPr>
        <w:pStyle w:val="BodyText"/>
      </w:pPr>
      <w:r>
        <w:t xml:space="preserve">Gamma frailty is used not as a claim of biological truth, but as a mathematically minimal and widely used model for unobserved heterogeneity whose Laplace transform yields a closed-form relationship between observed and baseline cumulative hazards.</w:t>
      </w:r>
      <w:r>
        <w:rPr>
          <w:vertAlign w:val="superscript"/>
        </w:rPr>
        <w:t xml:space="preserve">1</w:t>
      </w:r>
      <w:r>
        <w:t xml:space="preserve"> </w:t>
      </w:r>
      <w:r>
        <w:t xml:space="preserve">In KCOR, gamma frailty therefore serves as a</w:t>
      </w:r>
      <w:r>
        <w:t xml:space="preserve"> </w:t>
      </w:r>
      <w:r>
        <w:rPr>
          <w:b/>
          <w:bCs/>
        </w:rPr>
        <w:t xml:space="preserve">geometric approximation for depletion normalization</w:t>
      </w:r>
      <w:r>
        <w:t xml:space="preserve">: its adequacy is treated as empirically testable and is assessed using prespecified negative controls and sensitivity analyses rather than assumed dogmatically.</w:t>
      </w:r>
    </w:p>
    <w:p>
      <w:pPr>
        <w:pStyle w:val="BodyText"/>
      </w:pPr>
      <w:r>
        <w:t xml:space="preserve">Frailty</w:t>
      </w:r>
      <w:r>
        <w:t xml:space="preserve"> </w:t>
      </w:r>
      <m:oMath>
        <m:sSub>
          <m:e>
            <m:r>
              <m:t>z</m:t>
            </m:r>
          </m:e>
          <m:sub>
            <m:r>
              <m:t>i</m:t>
            </m:r>
            <m:r>
              <m:rPr>
                <m:sty m:val="p"/>
              </m:rPr>
              <m:t>,</m:t>
            </m:r>
            <m:r>
              <m:t>d</m:t>
            </m:r>
          </m:sub>
        </m:sSub>
      </m:oMath>
      <w:r>
        <w:t xml:space="preserve"> </w:t>
      </w:r>
      <w:r>
        <w:t xml:space="preserve">captures latent heterogeneity in baseline risk and drives selective depletion: higher-frailty individuals die earlier, changing the cohort composition over time and inducing curvature in observed cohort hazards even when</w:t>
      </w:r>
      <w:r>
        <w:t xml:space="preserve"> </w:t>
      </w:r>
      <m:oMath>
        <m:sSub>
          <m:e>
            <m:r>
              <m:t>h</m:t>
            </m:r>
          </m:e>
          <m:sub>
            <m:r>
              <m:t>0</m:t>
            </m:r>
            <m:r>
              <m:rPr>
                <m:sty m:val="p"/>
              </m:rPr>
              <m:t>,</m:t>
            </m:r>
            <m:r>
              <m:t>d</m:t>
            </m:r>
          </m:sub>
        </m:sSub>
        <m:r>
          <m:rPr>
            <m:sty m:val="p"/>
          </m:rPr>
          <m:t>(</m:t>
        </m:r>
        <m:r>
          <m:t>t</m:t>
        </m:r>
        <m:r>
          <m:rPr>
            <m:sty m:val="p"/>
          </m:rPr>
          <m:t>)</m:t>
        </m:r>
      </m:oMath>
      <w:r>
        <w:t xml:space="preserve"> </w:t>
      </w:r>
      <w:r>
        <w:t xml:space="preserve">is simple.</w:t>
      </w:r>
    </w:p>
    <w:p>
      <w:pPr>
        <w:pStyle w:val="BodyText"/>
      </w:pPr>
      <w:r>
        <w:rPr>
          <w:b/>
          <w:bCs/>
        </w:rPr>
        <w:t xml:space="preserve">Interpretation of frailty in this work.</w:t>
      </w:r>
      <w:r>
        <w:t xml:space="preserve"> </w:t>
      </w:r>
      <w:r>
        <w:t xml:space="preserve">Here</w:t>
      </w:r>
      <w:r>
        <w:t xml:space="preserve"> </w:t>
      </w:r>
      <w:r>
        <w:t xml:space="preserve">“frailty”</w:t>
      </w:r>
      <w:r>
        <w:t xml:space="preserve"> </w:t>
      </w:r>
      <w:r>
        <w:t xml:space="preserve">denotes unobserved, time-invariant multiplicative heterogeneity in baseline mortality risk at cohort entry. It is not interpreted as a specific biological attribute and is not treated as a causal mediator of vaccination. Rather, it is a statistical construct capturing latent heterogeneity that produces selective depletion over time and induces curvature in cohort-level hazards and cumulative hazards. KCOR uses frailty as a geometric device to model and remove selection-induced curvature prior to cohort comparison. Frailty in KCOR is not interpreted as a causal variable or mediator of the intervention; it is a statistical construct used to model and remove selection-induced depletion geometry prior to cohort comparison.</w:t>
      </w:r>
    </w:p>
    <w:bookmarkEnd w:id="45"/>
    <w:bookmarkStart w:id="53" w:name="gamma-frailty-identity-core-mathematics"/>
    <w:p>
      <w:pPr>
        <w:pStyle w:val="Heading4"/>
      </w:pPr>
      <w:r>
        <w:t xml:space="preserve">2.4.2 Gamma-frailty identity (core mathematics)</w:t>
      </w:r>
    </w:p>
    <w:p>
      <w:pPr>
        <w:pStyle w:val="FirstParagraph"/>
      </w:pPr>
      <w:r>
        <w:t xml:space="preserve">Let the baseline cumulative hazard be</w:t>
      </w:r>
    </w:p>
    <w:bookmarkStart w:id="46" w:name="eq:baseline-cumhazard"/>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oMath>
      <w:r>
        <w:t xml:space="preserve"> </w:t>
      </w:r>
      <w:r>
        <w:tab/>
      </w:r>
      <w:r>
        <w:t xml:space="preserve"> </w:t>
      </w:r>
      <m:oMath>
        <m:r>
          <m:rPr>
            <m:sty m:val="p"/>
          </m:rPr>
          <m:t>(</m:t>
        </m:r>
        <m:r>
          <m:t>4</m:t>
        </m:r>
        <m:r>
          <m:rPr>
            <m:sty m:val="p"/>
          </m:rPr>
          <m:t>)</m:t>
        </m:r>
      </m:oMath>
    </w:p>
    <w:bookmarkEnd w:id="46"/>
    <w:p>
      <w:pPr>
        <w:pStyle w:val="BodyText"/>
      </w:pPr>
      <w:r>
        <w:t xml:space="preserve">Integrating over gamma frailty yields a closed-form relationship between the observed cohort cumulative hazard and the baseline cumulative hazard:</w:t>
      </w:r>
    </w:p>
    <w:bookmarkStart w:id="47" w:name="eq:gamma-frailty-identity"/>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oMath>
      <w:r>
        <w:t xml:space="preserve"> </w:t>
      </w:r>
      <w:r>
        <w:tab/>
      </w:r>
      <w:r>
        <w:t xml:space="preserve"> </w:t>
      </w:r>
      <m:oMath>
        <m:r>
          <m:rPr>
            <m:sty m:val="p"/>
          </m:rPr>
          <m:t>(</m:t>
        </m:r>
        <m:r>
          <m:t>5</m:t>
        </m:r>
        <m:r>
          <m:rPr>
            <m:sty m:val="p"/>
          </m:rPr>
          <m:t>)</m:t>
        </m:r>
      </m:oMath>
    </w:p>
    <w:bookmarkEnd w:id="47"/>
    <w:p>
      <w:pPr>
        <w:pStyle w:val="BodyText"/>
      </w:pPr>
      <w:r>
        <w:t xml:space="preserve">This identity can be inverted exactly:</w:t>
      </w:r>
    </w:p>
    <w:bookmarkStart w:id="48" w:name="eq:gamma-frailty-inversion"/>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oMath>
      <w:r>
        <w:t xml:space="preserve"> </w:t>
      </w:r>
      <w:r>
        <w:tab/>
      </w:r>
      <w:r>
        <w:t xml:space="preserve"> </w:t>
      </w:r>
      <m:oMath>
        <m:r>
          <m:rPr>
            <m:sty m:val="p"/>
          </m:rPr>
          <m:t>(</m:t>
        </m:r>
        <m:r>
          <m:t>6</m:t>
        </m:r>
        <m:r>
          <m:rPr>
            <m:sty m:val="p"/>
          </m:rPr>
          <m:t>)</m:t>
        </m:r>
      </m:oMath>
    </w:p>
    <w:bookmarkEnd w:id="48"/>
    <w:p>
      <w:pPr>
        <w:pStyle w:val="BodyText"/>
      </w:pPr>
      <w:r>
        <w:t xml:space="preserve">This inversion is the</w:t>
      </w:r>
      <w:r>
        <w:t xml:space="preserve"> </w:t>
      </w:r>
      <w:r>
        <w:rPr>
          <w:b/>
          <w:bCs/>
        </w:rPr>
        <w:t xml:space="preserve">KCOR normalization step</w:t>
      </w:r>
      <w:r>
        <w:t xml:space="preserve">: it transforms the observed cumulative hazard into a depletion-neutralized baseline cumulative hazard for each cohort. Figure 1 illustrates this logic schematically.</w:t>
      </w:r>
    </w:p>
    <w:bookmarkStart w:id="52" w:name="fig:kcor_schematic"/>
    <w:p>
      <w:pPr>
        <w:pStyle w:val="CaptionedFigure"/>
      </w:pPr>
      <w:r>
        <w:drawing>
          <wp:inline>
            <wp:extent cx="5334000" cy="1417316"/>
            <wp:effectExtent b="0" l="0" r="0" t="0"/>
            <wp:docPr descr="Figure 1. Three-panel schematic illustrating the KCOR normalization logic. Left: individual hazards differ only by multiplicative frailty z, with no treatment effect. Middle: aggregation over heterogeneous frailty induces cohort-level curvature in observed cumulative hazards despite identical baseline hazards. Right: inversion of the gamma-frailty identity recovers aligned baseline cumulative hazards, demonstrating depletion-neutralization. This figure is schematic and intended for conceptual illustration; it does not represent empirical data." title="" id="50" name="Picture"/>
            <a:graphic>
              <a:graphicData uri="http://schemas.openxmlformats.org/drawingml/2006/picture">
                <pic:pic>
                  <pic:nvPicPr>
                    <pic:cNvPr descr="figures/fig1_kcor_schematic.png" id="51" name="Picture"/>
                    <pic:cNvPicPr>
                      <a:picLocks noChangeArrowheads="1" noChangeAspect="1"/>
                    </pic:cNvPicPr>
                  </pic:nvPicPr>
                  <pic:blipFill>
                    <a:blip r:embed="rId49"/>
                    <a:stretch>
                      <a:fillRect/>
                    </a:stretch>
                  </pic:blipFill>
                  <pic:spPr bwMode="auto">
                    <a:xfrm>
                      <a:off x="0" y="0"/>
                      <a:ext cx="5334000" cy="1417316"/>
                    </a:xfrm>
                    <a:prstGeom prst="rect">
                      <a:avLst/>
                    </a:prstGeom>
                    <a:noFill/>
                    <a:ln w="9525">
                      <a:noFill/>
                      <a:headEnd/>
                      <a:tailEnd/>
                    </a:ln>
                  </pic:spPr>
                </pic:pic>
              </a:graphicData>
            </a:graphic>
          </wp:inline>
        </w:drawing>
      </w:r>
    </w:p>
    <w:p>
      <w:pPr>
        <w:pStyle w:val="ImageCaption"/>
      </w:pPr>
      <w:r>
        <w:t xml:space="preserve">Figure 1. Three-panel schematic illustrating the KCOR normalization logic. Left: individual hazards differ only by multiplicative frailty</w:t>
      </w:r>
      <w:r>
        <w:t xml:space="preserve"> </w:t>
      </w:r>
      <m:oMath>
        <m:r>
          <m:t>z</m:t>
        </m:r>
      </m:oMath>
      <w:r>
        <w:t xml:space="preserve">, with no treatment effect. Middle: aggregation over heterogeneous frailty induces cohort-level curvature in observed cumulative hazards despite identical baseline hazards. Right: inversion of the gamma-frailty identity recovers aligned baseline cumulative hazards, demonstrating depletion-neutralization. This figure is schematic and intended for conceptual illustration; it does not represent empirical data.</w:t>
      </w:r>
    </w:p>
    <w:bookmarkEnd w:id="52"/>
    <w:p>
      <w:pPr>
        <w:pStyle w:val="BodyText"/>
      </w:pPr>
      <w:r>
        <w:t xml:space="preserve">Observed cumulative hazard:</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oMath>
      </m:oMathPara>
    </w:p>
    <w:p>
      <w:pPr>
        <w:pStyle w:val="FirstParagraph"/>
      </w:pPr>
      <w:r>
        <w:t xml:space="preserve">Baseline cumulative hazard:</w:t>
      </w:r>
    </w:p>
    <w:p>
      <w:pPr>
        <w:pStyle w:val="BodyText"/>
      </w:pPr>
      <m:oMathPara>
        <m:oMathParaPr>
          <m:jc m:val="center"/>
        </m:oMathParaPr>
        <m:oMath>
          <m:sSub>
            <m:e>
              <m:r>
                <m:t>H</m:t>
              </m:r>
            </m:e>
            <m:sub>
              <m:r>
                <m:t>0</m:t>
              </m:r>
              <m:r>
                <m:rPr>
                  <m:sty m:val="p"/>
                </m:rPr>
                <m:t>,</m:t>
              </m:r>
              <m:r>
                <m:t>d</m:t>
              </m:r>
            </m:sub>
          </m:sSub>
          <m:r>
            <m:rPr>
              <m:sty m:val="p"/>
            </m:rPr>
            <m:t>(</m:t>
          </m:r>
          <m:r>
            <m:t>t</m:t>
          </m:r>
          <m:r>
            <m:rPr>
              <m:sty m:val="p"/>
            </m:rPr>
            <m:t>)</m:t>
          </m:r>
        </m:oMath>
      </m:oMathPara>
    </w:p>
    <w:bookmarkEnd w:id="53"/>
    <w:bookmarkStart w:id="55" w:name="baseline-shape-for-fitting-default"/>
    <w:p>
      <w:pPr>
        <w:pStyle w:val="Heading4"/>
      </w:pPr>
      <w:r>
        <w:t xml:space="preserve">2.4.3 Baseline shape for fitting (default)</w:t>
      </w:r>
    </w:p>
    <w:p>
      <w:pPr>
        <w:pStyle w:val="FirstParagraph"/>
      </w:pPr>
      <w:r>
        <w:t xml:space="preserve">To identify</w:t>
      </w:r>
      <w:r>
        <w:t xml:space="preserve"> </w:t>
      </w:r>
      <m:oMath>
        <m:sSub>
          <m:e>
            <m:r>
              <m:t>θ</m:t>
            </m:r>
          </m:e>
          <m:sub>
            <m:r>
              <m:t>d</m:t>
            </m:r>
          </m:sub>
        </m:sSub>
      </m:oMath>
      <w:r>
        <w:t xml:space="preserve"> </w:t>
      </w:r>
      <w:r>
        <w:t xml:space="preserve">from data, KCOR fits the gamma-frailty model during epidemiologically quiet periods. In the reference specification, the baseline time-shape is taken to be constant over the fit window:</w:t>
      </w:r>
    </w:p>
    <w:bookmarkStart w:id="54" w:name="eq:baseline-shape-default"/>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w:r>
        <w:t xml:space="preserve"> </w:t>
      </w:r>
      <w:r>
        <w:tab/>
      </w:r>
      <w:r>
        <w:t xml:space="preserve"> </w:t>
      </w:r>
      <m:oMath>
        <m:r>
          <m:rPr>
            <m:sty m:val="p"/>
          </m:rPr>
          <m:t>(</m:t>
        </m:r>
        <m:r>
          <m:t>7</m:t>
        </m:r>
        <m:r>
          <m:rPr>
            <m:sty m:val="p"/>
          </m:rPr>
          <m:t>)</m:t>
        </m:r>
      </m:oMath>
    </w:p>
    <w:bookmarkEnd w:id="54"/>
    <w:p>
      <w:pPr>
        <w:pStyle w:val="BodyText"/>
      </w:pPr>
      <w:r>
        <w:t xml:space="preserve">This choice minimizes degrees of freedom and forces curvature during quiet periods to be explained by selection (frailty) rather than by an explicit time-varying baseline.</w:t>
      </w:r>
    </w:p>
    <w:bookmarkEnd w:id="55"/>
    <w:bookmarkEnd w:id="56"/>
    <w:bookmarkStart w:id="61"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The epidemiological quiet period is not assumed to be free of all processes, but to lack sharp, cohort-differential hazard perturbations (e.g., epidemic waves or policy shocks) capable of inducing systematic curvature asymmetry unrelated to selection dynamics.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bookmarkStart w:id="57" w:name="eq:hobs-model"/>
    <w:p>
      <w:pPr>
        <w:pStyle w:val="BodyText"/>
      </w:pPr>
      <w:pPr>
        <w:tabs>
          <w:tab w:val="center" w:leader="none" w:pos="4680"/>
          <w:tab w:val="right" w:leader="none" w:pos="9360"/>
        </w:tabs>
      </w:pPr>
      <w:r>
        <w:tab/>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oMath>
      <w:r>
        <w:t xml:space="preserve"> </w:t>
      </w:r>
      <w:r>
        <w:tab/>
      </w:r>
      <w:r>
        <w:t xml:space="preserve"> </w:t>
      </w:r>
      <m:oMath>
        <m:r>
          <m:rPr>
            <m:sty m:val="p"/>
          </m:rPr>
          <m:t>(</m:t>
        </m:r>
        <m:r>
          <m:t>8</m:t>
        </m:r>
        <m:r>
          <m:rPr>
            <m:sty m:val="p"/>
          </m:rPr>
          <m:t>)</m:t>
        </m:r>
      </m:oMath>
    </w:p>
    <w:bookmarkEnd w:id="57"/>
    <w:p>
      <w:pPr>
        <w:pStyle w:val="BodyText"/>
      </w:pPr>
      <w:r>
        <w:t xml:space="preserve">Identifiability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comes from curvature in cumulative-hazard space: observed cumulative hazards are nonlinear in event time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 observed cumulative hazards naturally drive the fitted frailty variance toward zero;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 fitted frailty variance estimates approaching zero,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indicating minimal detectable depletion. This outcome is data-driven and reflects the absence of observable selection-induced curvature rather than a modeling assumption. When residual time-varying risk contaminates a nominally quiet window, fitted frailty variance estimates naturally shrink toward zero, signaling limited identifiability rather than inducing spurious correction.</w:t>
      </w:r>
    </w:p>
    <w:p>
      <w:pPr>
        <w:pStyle w:val="BodyText"/>
      </w:pPr>
      <w:r>
        <w:t xml:space="preserve">Parameters are estimated by constrained nonlinear least squares:</w:t>
      </w:r>
    </w:p>
    <w:bookmarkStart w:id="58" w:name="eq:nls-objective"/>
    <w:p>
      <w:pPr>
        <w:pStyle w:val="BodyText"/>
      </w:pPr>
      <w:pPr>
        <w:tabs>
          <w:tab w:val="center" w:leader="none" w:pos="4680"/>
          <w:tab w:val="right" w:leader="none" w:pos="9360"/>
        </w:tabs>
      </w:pPr>
      <w:r>
        <w:tab/>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sSub>
          <m:e>
            <m:r>
              <m:rPr>
                <m:sty m:val="p"/>
              </m:rPr>
              <m:t>min</m:t>
            </m:r>
          </m:e>
          <m:sub>
            <m:sSub>
              <m:e>
                <m:r>
                  <m:t>k</m:t>
                </m:r>
              </m:e>
              <m:sub>
                <m:r>
                  <m:t>d</m:t>
                </m:r>
              </m:sub>
            </m:sSub>
            <m:r>
              <m:rPr>
                <m:sty m:val="p"/>
              </m:rPr>
              <m:t>&gt;</m:t>
            </m:r>
            <m:r>
              <m:t>0</m:t>
            </m:r>
            <m:r>
              <m:rPr>
                <m:sty m:val="p"/>
              </m:rPr>
              <m:t>,</m:t>
            </m:r>
            <m:r>
              <m:t> </m:t>
            </m:r>
            <m:sSub>
              <m:e>
                <m:r>
                  <m:t>θ</m:t>
                </m:r>
              </m:e>
              <m:sub>
                <m:r>
                  <m:t>d</m:t>
                </m:r>
              </m:sub>
            </m:sSub>
            <m:r>
              <m:rPr>
                <m:sty m:val="p"/>
              </m:rPr>
              <m:t>≥</m:t>
            </m:r>
            <m:r>
              <m:t>0</m:t>
            </m:r>
          </m:sub>
        </m:sSub>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oMath>
      <w:r>
        <w:t xml:space="preserve"> </w:t>
      </w:r>
      <w:r>
        <w:tab/>
      </w:r>
      <w:r>
        <w:t xml:space="preserve"> </w:t>
      </w:r>
      <m:oMath>
        <m:r>
          <m:rPr>
            <m:sty m:val="p"/>
          </m:rPr>
          <m:t>(</m:t>
        </m:r>
        <m:r>
          <m:t>9</m:t>
        </m:r>
        <m:r>
          <m:rPr>
            <m:sty m:val="p"/>
          </m:rPr>
          <m:t>)</m:t>
        </m:r>
      </m:oMath>
    </w:p>
    <w:bookmarkEnd w:id="58"/>
    <w:p>
      <w:pPr>
        <w:pStyle w:val="BodyText"/>
      </w:pPr>
      <w:r>
        <w:t xml:space="preserve">We fit in cumulative-hazard space rather than maximizing a likelihood because the primary inputs are discrete-time, cohort-aggregated hazards and the objective is stable estimation of selection-induced depletion curvature during quiet periods. Least squares on observed cumulative hazards 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60"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defaults are:</w:t>
      </w:r>
    </w:p>
    <w:p>
      <w:pPr>
        <w:pStyle w:val="Compact"/>
        <w:numPr>
          <w:ilvl w:val="0"/>
          <w:numId w:val="1013"/>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13"/>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13"/>
        </w:numPr>
      </w:pPr>
      <w:r>
        <w:rPr>
          <w:b/>
          <w:bCs/>
        </w:rPr>
        <w:t xml:space="preserve">Observed hazard transform used to build observed cumulative hazards 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bookmarkStart w:id="59" w:name="eq:hazard-from-mr-improved"/>
    <w:p>
      <w:pPr>
        <w:pStyle w:val="FirstParagraph"/>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oMath>
      <w:r>
        <w:t xml:space="preserve"> </w:t>
      </w:r>
      <w:r>
        <w:tab/>
      </w:r>
      <w:r>
        <w:t xml:space="preserve"> </w:t>
      </w:r>
      <m:oMath>
        <m:r>
          <m:rPr>
            <m:sty m:val="p"/>
          </m:rPr>
          <m:t>(</m:t>
        </m:r>
        <m:r>
          <m:t>10</m:t>
        </m:r>
        <m:r>
          <m:rPr>
            <m:sty m:val="p"/>
          </m:rPr>
          <m:t>)</m:t>
        </m:r>
      </m:oMath>
    </w:p>
    <w:bookmarkEnd w:id="59"/>
    <w:p>
      <w:pPr>
        <w:pStyle w:val="BodyText"/>
      </w:pPr>
      <w:r>
        <w:t xml:space="preserve">This form provides a second-order accurate approximation to the continuous-time hazard while remaining numerically stable for small mortality-rate (MR) values.</w:t>
      </w:r>
    </w:p>
    <w:p>
      <w:pPr>
        <w:pStyle w:val="Compact"/>
        <w:numPr>
          <w:ilvl w:val="0"/>
          <w:numId w:val="1014"/>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14"/>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60"/>
    <w:bookmarkEnd w:id="61"/>
    <w:bookmarkStart w:id="66"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bookmarkStart w:id="62" w:name="eq:normalized-cumhazard"/>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w:r>
        <w:t xml:space="preserve"> </w:t>
      </w:r>
      <w:r>
        <w:tab/>
      </w:r>
      <w:r>
        <w:t xml:space="preserve"> </w:t>
      </w:r>
      <m:oMath>
        <m:r>
          <m:rPr>
            <m:sty m:val="p"/>
          </m:rPr>
          <m:t>(</m:t>
        </m:r>
        <m:r>
          <m:t>11</m:t>
        </m:r>
        <m:r>
          <m:rPr>
            <m:sty m:val="p"/>
          </m:rPr>
          <m:t>)</m:t>
        </m:r>
      </m:oMath>
    </w:p>
    <w:bookmarkEnd w:id="62"/>
    <w:p>
      <w:pPr>
        <w:pStyle w:val="BodyText"/>
      </w:pPr>
      <w:r>
        <w:t xml:space="preserve">This normalization maps each cohort into a depletion-neutralized baseline-hazard space in which the contribution of gamma frailty parameters</w:t>
      </w:r>
      <w:r>
        <w:t xml:space="preserve"> </w:t>
      </w:r>
      <m:oMath>
        <m:r>
          <m:rPr>
            <m:sty m:val="p"/>
          </m:rPr>
          <m:t>(</m:t>
        </m:r>
        <m:sSub>
          <m:e>
            <m:r>
              <m:t>θ</m:t>
            </m:r>
          </m:e>
          <m:sub>
            <m:r>
              <m:t>d</m:t>
            </m:r>
          </m:sub>
        </m:sSub>
        <m:r>
          <m:rPr>
            <m:sty m:val="p"/>
          </m:rPr>
          <m:t>,</m:t>
        </m:r>
        <m:sSub>
          <m:e>
            <m:r>
              <m:t>k</m:t>
            </m:r>
          </m:e>
          <m:sub>
            <m:r>
              <m:t>d</m:t>
            </m:r>
          </m:sub>
        </m:sSub>
        <m:r>
          <m:rPr>
            <m:sty m:val="p"/>
          </m:rPr>
          <m:t>)</m:t>
        </m:r>
      </m:oMath>
      <w:r>
        <w:t xml:space="preserve"> </w:t>
      </w:r>
      <w:r>
        <w:t xml:space="preserve">to hazard curvature has been factored out.</w:t>
      </w:r>
      <w:r>
        <w:t xml:space="preserve"> </w:t>
      </w:r>
      <w:r>
        <w:rPr>
          <w:i/>
          <w:iCs/>
        </w:rPr>
        <w:t xml:space="preserve">(Conceptually, this places all cohorts into an equivalent θ-factored comparison space.)</w:t>
      </w:r>
      <w:r>
        <w:t xml:space="preserve"> </w:t>
      </w:r>
      <w:r>
        <w:t xml:space="preserve">In this space, cumulative hazards are directly comparable across cohorts, and remaining differences reflect real differences in baseline risk rather than selection-induced depletion.</w:t>
      </w:r>
    </w:p>
    <w:p>
      <w:pPr>
        <w:pStyle w:val="BodyText"/>
      </w:pPr>
      <w:r>
        <w:t xml:space="preserve">When</w:t>
      </w:r>
    </w:p>
    <w:p>
      <w:pPr>
        <w:pStyle w:val="BodyText"/>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this mapping leaves the observed cumulative hazard essentially unchanged, whereas cohorts with measurable depletion undergo an upward correction.</w:t>
      </w:r>
    </w:p>
    <w:p>
      <w:pPr>
        <w:pStyle w:val="BodyText"/>
      </w:pPr>
      <w:r>
        <w:t xml:space="preserve">An adjusted hazard may be recovered by differencing:</w:t>
      </w:r>
    </w:p>
    <w:bookmarkStart w:id="63" w:name="eq:normalized-hazard-diff"/>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oMath>
      <w:r>
        <w:t xml:space="preserve"> </w:t>
      </w:r>
      <w:r>
        <w:tab/>
      </w:r>
      <w:r>
        <w:t xml:space="preserve"> </w:t>
      </w:r>
      <m:oMath>
        <m:r>
          <m:rPr>
            <m:sty m:val="p"/>
          </m:rPr>
          <m:t>(</m:t>
        </m:r>
        <m:r>
          <m:t>12</m:t>
        </m:r>
        <m:r>
          <m:rPr>
            <m:sty m:val="p"/>
          </m:rPr>
          <m:t>)</m:t>
        </m:r>
      </m:oMath>
    </w:p>
    <w:bookmarkEnd w:id="63"/>
    <w:p>
      <w:pPr>
        <w:pStyle w:val="BodyText"/>
      </w:pPr>
      <w:r>
        <w:t xml:space="preserve">The key object for KCOR is:</w:t>
      </w:r>
    </w:p>
    <w:p>
      <w:pPr>
        <w:pStyle w:val="BodyText"/>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oMath>
      </m:oMathPara>
    </w:p>
    <w:p>
      <w:pPr>
        <w:pStyle w:val="FirstParagraph"/>
      </w:pPr>
      <w:r>
        <w:t xml:space="preserve">Differenced hazards are optional diagnostics.</w:t>
      </w:r>
    </w:p>
    <w:p>
      <w:pPr>
        <w:pStyle w:val="BodyText"/>
      </w:pPr>
      <w:r>
        <w:t xml:space="preserve">Normalization is necessary but not sufficient. The depletion-neutralized cumulative hazard is not itself the estimand of interest. Its role is to place cohorts into a common comparison space in which selection-induced depletion dynamics have been removed. The substantive comparison—and therefore the inferential signal—arises only when these normalized cumulative hazards are compared across cohorts via the KCOR estimator (§2.8). Because normalization operates in cumulative-hazard space and removes time-varying curvature rather than rescaling instantaneous hazards, applying Cox regression to normalized outputs generally re-introduces misspecification. Applying standard proportional-hazards or regression-based estimators after normalization is generally inappropriate, because the comparison is cumulative by construction and because residual non-proportionality is precisely what KCOR is designed to reveal. KCOR therefore integrates normalization and comparison into a single, internally consistent system.</w:t>
      </w:r>
    </w:p>
    <w:p>
      <w:pPr>
        <w:pStyle w:val="BodyText"/>
      </w:pPr>
      <w:r>
        <w:t xml:space="preserve">In KCOR, the parametric model is used solely to estimate and invert selection-induced curvature in cumulative-hazard space; treatment comparisons are then made directly on the adjusted data. In contrast, Cox regression fits a hazard model to the observed data and derives treatment effects from model coefficients, implicitly attributing all systematic hazard divergence—including selection effects—to the exposure.</w:t>
      </w:r>
    </w:p>
    <w:bookmarkStart w:id="64" w:name="computational-considerations"/>
    <w:p>
      <w:pPr>
        <w:pStyle w:val="Heading4"/>
      </w:pPr>
      <w:r>
        <w:t xml:space="preserve">2.6.1 Computational considerations</w:t>
      </w:r>
    </w:p>
    <w:p>
      <w:pPr>
        <w:pStyle w:val="FirstParagraph"/>
      </w:pPr>
      <w:r>
        <w:t xml:space="preserve">KCOR operates on aggregated event counts in discrete time and cumulative-hazard space. Computational complexity scales linearly with the number of time bins and strata rather than the number of individuals, making the method feasible for very large population registries. In practice, KCOR analyses on national-scale datasets (millions of individuals) are memory-bound rather than CPU-bound and can be implemented efficiently using standard vectorized numerical libraries. No iterative optimization over individual-level records is required.</w:t>
      </w:r>
    </w:p>
    <w:bookmarkEnd w:id="64"/>
    <w:bookmarkStart w:id="65" w:name="Xc1f19c71d062175674bff138482e70845d20a7b"/>
    <w:p>
      <w:pPr>
        <w:pStyle w:val="Heading4"/>
      </w:pPr>
      <w:r>
        <w:t xml:space="preserve">2.6.2 Internal diagnostics and</w:t>
      </w:r>
      <w:r>
        <w:t xml:space="preserve"> </w:t>
      </w:r>
      <w:r>
        <w:t xml:space="preserve">‘self-check’</w:t>
      </w:r>
      <w:r>
        <w:t xml:space="preserve"> </w:t>
      </w:r>
      <w:r>
        <w:t xml:space="preserve">behavior</w:t>
      </w:r>
    </w:p>
    <w:p>
      <w:pPr>
        <w:pStyle w:val="FirstParagraph"/>
      </w:pPr>
      <w:r>
        <w:t xml:space="preserve">KCOR includes internal diagnostics intended to make model stress visible rather than hidden.</w:t>
      </w:r>
    </w:p>
    <w:p>
      <w:pPr>
        <w:numPr>
          <w:ilvl w:val="0"/>
          <w:numId w:val="1015"/>
        </w:numPr>
      </w:pPr>
      <w:r>
        <w:rPr>
          <w:b/>
          <w:bCs/>
        </w:rPr>
        <w:t xml:space="preserve">Post-normalization linearity in quiet periods.</w:t>
      </w:r>
      <w:r>
        <w:t xml:space="preserve"> </w:t>
      </w:r>
      <w:r>
        <w:t xml:space="preserve">During a prespecified quiet window, the working model assumes that curvature in observed cumulative hazard is primarily driven by depletion under heterogeneity. After inversion, the depletion-neutralized cumulative hazard should be approximately linear in event time over the same quiet window. Systematic residual curvature (e.g., sustained concavity/convexity) indicates that the quiet-window assumption is violated (external shocks, secular trends) or that the depletion geometry is misspecified for that cohort.</w:t>
      </w:r>
    </w:p>
    <w:p>
      <w:pPr>
        <w:numPr>
          <w:ilvl w:val="0"/>
          <w:numId w:val="1015"/>
        </w:numPr>
      </w:pPr>
      <w:r>
        <w:rPr>
          <w:b/>
          <w:bCs/>
        </w:rPr>
        <w:t xml:space="preserve">Fit residual structure in cumulative-hazard space.</w:t>
      </w:r>
      <w:r>
        <w:t xml:space="preserve"> </w:t>
      </w:r>
      <w:r>
        <w:t xml:space="preserve">Define residuals over the fit set</w:t>
      </w:r>
      <w:r>
        <w:t xml:space="preserve"> </w:t>
      </w:r>
      <m:oMath>
        <m:sSub>
          <m:e>
            <m:r>
              <m:rPr>
                <m:scr m:val="script"/>
                <m:sty m:val="p"/>
              </m:rPr>
              <m:t>T</m:t>
            </m:r>
          </m:e>
          <m:sub>
            <m:r>
              <m:t>d</m:t>
            </m:r>
          </m:sub>
        </m:sSub>
      </m:oMath>
      <w:r>
        <w:t xml:space="preserve">:</w:t>
      </w:r>
    </w:p>
    <w:p>
      <w:pPr>
        <w:pStyle w:val="FirstParagraph"/>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oMath>
      </m:oMathPara>
    </w:p>
    <w:p>
      <w:pPr>
        <w:pStyle w:val="FirstParagraph"/>
      </w:pPr>
      <w:r>
        <w:t xml:space="preserve">KCOR expects residuals to be small and not systematically time-structured. Strongly patterned residuals indicate that the curvature attributed to depletion is instead being driven by unmodeled time-varying hazards.</w:t>
      </w:r>
    </w:p>
    <w:p>
      <w:pPr>
        <w:pStyle w:val="Compact"/>
        <w:numPr>
          <w:ilvl w:val="0"/>
          <w:numId w:val="1016"/>
        </w:numPr>
      </w:pPr>
      <w:r>
        <w:rPr>
          <w:b/>
          <w:bCs/>
        </w:rPr>
        <w:t xml:space="preserve">Parameter stability to window perturbations.</w:t>
      </w:r>
      <w:r>
        <w:t xml:space="preserve"> </w:t>
      </w:r>
      <w:r>
        <w:t xml:space="preserve">Under valid quiet-window selection,</w:t>
      </w:r>
    </w:p>
    <w:p>
      <w:pPr>
        <w:pStyle w:val="FirstParagraph"/>
      </w:pPr>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m:oMathPara>
    </w:p>
    <w:p>
      <w:pPr>
        <w:pStyle w:val="FirstParagraph"/>
      </w:pPr>
      <w:r>
        <w:t xml:space="preserve">should be stable to small perturbations of the quiet-window boundaries (e.g., ±4 weeks). Large changes in fitted frailty variance under small boundary shifts signal that the fitted curvature is sensitive to transient dynamics rather than stable depletion.</w:t>
      </w:r>
    </w:p>
    <w:p>
      <w:pPr>
        <w:pStyle w:val="Compact"/>
        <w:numPr>
          <w:ilvl w:val="0"/>
          <w:numId w:val="1017"/>
        </w:numPr>
      </w:pPr>
      <w:r>
        <w:rPr>
          <w:b/>
          <w:bCs/>
        </w:rPr>
        <w:t xml:space="preserve">Non-identifiability manifests as:</w:t>
      </w:r>
    </w:p>
    <w:p>
      <w:pPr>
        <w:pStyle w:val="FirstParagraph"/>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When the observed cumulative hazard is near-linear (weak curvature) or events are sparse,</w:t>
      </w:r>
      <w:r>
        <w:t xml:space="preserve"> </w:t>
      </w:r>
      <m:oMath>
        <m:r>
          <m:t>θ</m:t>
        </m:r>
      </m:oMath>
      <w:r>
        <w:t xml:space="preserve"> </w:t>
      </w:r>
      <w:r>
        <w:t xml:space="preserve">is weakly identified. In such cases, KCOR should be interpreted primarily as a diagnostic (limited evidence of detectable depletion curvature) rather than a strong correction.</w:t>
      </w:r>
    </w:p>
    <w:p>
      <w:pPr>
        <w:pStyle w:val="BodyText"/>
      </w:pPr>
      <w:r>
        <w:t xml:space="preserve">These diagnostics are reported alongside KCOR</w:t>
      </w:r>
      <m:oMath>
        <m:r>
          <m:rPr>
            <m:sty m:val="p"/>
          </m:rPr>
          <m:t>(</m:t>
        </m:r>
        <m:r>
          <m:t>t</m:t>
        </m:r>
        <m:r>
          <m:rPr>
            <m:sty m:val="p"/>
          </m:rPr>
          <m:t>)</m:t>
        </m:r>
      </m:oMath>
      <w:r>
        <w:t xml:space="preserve"> </w:t>
      </w:r>
      <w:r>
        <w:t xml:space="preserve">curves. The goal is not to assert that a single parametric form is always correct, but to ensure that when the form is incorrect or the window is contaminated, the method signals this explicitly rather than silently producing a misleading</w:t>
      </w:r>
      <w:r>
        <w:t xml:space="preserve"> </w:t>
      </w:r>
      <w:r>
        <w:t xml:space="preserve">‘corrected’</w:t>
      </w:r>
      <w:r>
        <w:t xml:space="preserve"> </w:t>
      </w:r>
      <w:r>
        <w:t xml:space="preserve">estimate. Failure of these diagnostics indicates that the depletion-based normalization is inappropriate, in which case KCOR should not be interpreted.</w:t>
      </w:r>
    </w:p>
    <w:bookmarkEnd w:id="65"/>
    <w:bookmarkEnd w:id="66"/>
    <w:bookmarkStart w:id="68"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bookmarkStart w:id="67" w:name="eq:effective-hazard-skip"/>
    <w:p>
      <w:pPr>
        <w:pStyle w:val="BodyText"/>
      </w:pPr>
      <w:pPr>
        <w:tabs>
          <w:tab w:val="center" w:leader="none" w:pos="4680"/>
          <w:tab w:val="right" w:leader="none" w:pos="9360"/>
        </w:tabs>
      </w:pPr>
      <w:r>
        <w:tab/>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oMath>
      <w:r>
        <w:t xml:space="preserve"> </w:t>
      </w:r>
      <w:r>
        <w:tab/>
      </w:r>
      <w:r>
        <w:t xml:space="preserve"> </w:t>
      </w:r>
      <m:oMath>
        <m:r>
          <m:rPr>
            <m:sty m:val="p"/>
          </m:rPr>
          <m:t>(</m:t>
        </m:r>
        <m:r>
          <m:t>13</m:t>
        </m:r>
        <m:r>
          <m:rPr>
            <m:sty m:val="p"/>
          </m:rPr>
          <m:t>)</m:t>
        </m:r>
      </m:oMath>
    </w:p>
    <w:bookmarkEnd w:id="67"/>
    <w:p>
      <w:pPr>
        <w:pStyle w:val="BodyText"/>
      </w:pPr>
      <w:r>
        <w:t xml:space="preserve">Then compute observed cumulative hazards 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bookmarkEnd w:id="68"/>
    <w:bookmarkStart w:id="70" w:name="kcor-estimator"/>
    <w:p>
      <w:pPr>
        <w:pStyle w:val="Heading3"/>
      </w:pPr>
      <w:r>
        <w:t xml:space="preserve">2.8 KCOR estimator</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bookmarkStart w:id="69" w:name="eq:kcor-estimator"/>
    <w:p>
      <w:pPr>
        <w:pStyle w:val="BodyText"/>
      </w:pPr>
      <w:pPr>
        <w:tabs>
          <w:tab w:val="center" w:leader="none" w:pos="4680"/>
          <w:tab w:val="right" w:leader="none" w:pos="9360"/>
        </w:tabs>
      </w:pPr>
      <w:r>
        <w:tab/>
      </w:r>
      <w:r>
        <w:t xml:space="preserve"> </w:t>
      </w:r>
      <m:oMath>
        <m:r>
          <m:t>K</m:t>
        </m:r>
        <m:r>
          <m:t>C</m:t>
        </m:r>
        <m:r>
          <m:t>O</m:t>
        </m:r>
        <m: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14</m:t>
        </m:r>
        <m:r>
          <m:rPr>
            <m:sty m:val="p"/>
          </m:rPr>
          <m:t>)</m:t>
        </m:r>
      </m:oMath>
    </w:p>
    <w:bookmarkEnd w:id="69"/>
    <w:p>
      <w:pPr>
        <w:pStyle w:val="BodyText"/>
      </w:pPr>
      <w:r>
        <w:t xml:space="preserve">This is a cumulative comparison in hazard space after removing cohort-specific selection-induced depletion dynamics estimated during quiet periods.</w:t>
      </w:r>
    </w:p>
    <w:bookmarkEnd w:id="70"/>
    <w:bookmarkStart w:id="71" w:name="uncertainty-quantification"/>
    <w:p>
      <w:pPr>
        <w:pStyle w:val="Heading3"/>
      </w:pPr>
      <w:r>
        <w:t xml:space="preserve">2.9 Uncertainty quantification</w:t>
      </w:r>
    </w:p>
    <w:p>
      <w:pPr>
        <w:pStyle w:val="FirstParagraph"/>
      </w:pPr>
      <w:r>
        <w:t xml:space="preserve">KCOR can be equipped with uncertainty intervals via:</w:t>
      </w:r>
    </w:p>
    <w:p>
      <w:pPr>
        <w:pStyle w:val="Compact"/>
        <w:numPr>
          <w:ilvl w:val="0"/>
          <w:numId w:val="1018"/>
        </w:numPr>
      </w:pPr>
      <w:r>
        <w:rPr>
          <w:b/>
          <w:bCs/>
        </w:rPr>
        <w:t xml:space="preserve">Analytic variance propagation</w:t>
      </w:r>
      <w:r>
        <w:t xml:space="preserve"> </w:t>
      </w:r>
      <w:r>
        <w:t xml:space="preserve">for cumulative hazards combined with delta-method approximations for the ratio, and/or</w:t>
      </w:r>
    </w:p>
    <w:p>
      <w:pPr>
        <w:pStyle w:val="Compact"/>
        <w:numPr>
          <w:ilvl w:val="0"/>
          <w:numId w:val="1018"/>
        </w:numPr>
      </w:pPr>
      <w:r>
        <w:rPr>
          <w:b/>
          <w:bCs/>
        </w:rPr>
        <w:t xml:space="preserve">Monte Carlo resampling</w:t>
      </w:r>
      <w:r>
        <w:t xml:space="preserve"> </w:t>
      </w:r>
      <w:r>
        <w:t xml:space="preserve">to capture uncertainty from event realization and from estimation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and the resulting normalization.</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71"/>
    <w:bookmarkStart w:id="77" w:name="Xf552aaad3b83b889e2d08c64d65c17176bae771"/>
    <w:p>
      <w:pPr>
        <w:pStyle w:val="Heading3"/>
      </w:pPr>
      <w:r>
        <w:t xml:space="preserve">2.10 Algorithm summary and reproducibility checklist</w:t>
      </w:r>
    </w:p>
    <w:p>
      <w:pPr>
        <w:pStyle w:val="FirstParagraph"/>
      </w:pPr>
      <w:r>
        <w:t xml:space="preserve">Table 5 summarizes the complete KCOR pipeline.</w:t>
      </w:r>
    </w:p>
    <w:bookmarkStart w:id="72" w:name="tbl:KCOR_algorithm"/>
    <w:p>
      <w:pPr>
        <w:pStyle w:val="TableCaption"/>
      </w:pPr>
      <w:r>
        <w:t xml:space="preserve">Table 5. Step-by-step KCOR algorithm (high-level), with recommended prespecification and diagnostics.</w:t>
      </w:r>
    </w:p>
    <w:tbl>
      <w:tblPr>
        <w:tblStyle w:val="Table"/>
        <w:tblW w:type="pct" w:w="5000"/>
        <w:tblLayout w:type="fixed"/>
        <w:tblLook w:firstRow="1" w:lastRow="0" w:firstColumn="0" w:lastColumn="0" w:noHBand="0" w:noVBand="0" w:val="0020"/>
        <w:tblCaption w:val="Table 5. Step-by-step KCOR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 (observed hazards)</w:t>
            </w:r>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 observed cumulative hazards</w:t>
            </w:r>
          </w:p>
        </w:tc>
        <w:tc>
          <w:tcPr/>
          <w:p>
            <w:pPr>
              <w:pStyle w:val="Compact"/>
            </w:pPr>
            <w:r>
              <w:t xml:space="preserve">Observed cumulative hazards</w:t>
            </w:r>
          </w:p>
        </w:tc>
        <w:tc>
          <w:tcPr/>
          <w:p>
            <w:pPr>
              <w:pStyle w:val="Compact"/>
            </w:pPr>
            <w:r>
              <w:t xml:space="preserve">Yes (skip rule)</w:t>
            </w:r>
          </w:p>
        </w:tc>
        <w:tc>
          <w:tcPr/>
          <w:p>
            <w:pPr>
              <w:pStyle w:val="Compact"/>
            </w:pPr>
            <w:r>
              <w:t xml:space="preserve">Plot observed cumulative hazards</w:t>
            </w:r>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via cumulative-hazard least squares</w:t>
            </w:r>
          </w:p>
        </w:tc>
        <w:tc>
          <w:tcPr/>
          <w:p>
            <w:pPr>
              <w:pStyle w:val="Compact"/>
            </w:pPr>
            <w:r>
              <w:t xml:space="preserve">Fitted parameters</w:t>
            </w:r>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 depletion-neutralized cumulative hazards</w:t>
            </w:r>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t>K</m:t>
              </m:r>
              <m:r>
                <m:t>C</m:t>
              </m:r>
              <m:r>
                <m:t>O</m:t>
              </m:r>
              <m:r>
                <m:t>R</m:t>
              </m:r>
              <m:r>
                <m:rPr>
                  <m:sty m:val="p"/>
                </m:rPr>
                <m:t>(</m:t>
              </m:r>
              <m:r>
                <m:t>t</m:t>
              </m:r>
              <m:r>
                <m:rPr>
                  <m:sty m:val="p"/>
                </m:rPr>
                <m:t>)</m:t>
              </m:r>
            </m:oMath>
          </w:p>
        </w:tc>
        <w:tc>
          <w:tcPr/>
          <w:p>
            <w:pPr>
              <w:pStyle w:val="Compact"/>
            </w:pPr>
            <w:r>
              <w:t xml:space="preserve">KCOR</w:t>
            </w:r>
            <m:oMath>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72"/>
    <w:bookmarkStart w:id="76" w:name="fig:kcor_workflow"/>
    <w:p>
      <w:pPr>
        <w:pStyle w:val="CaptionedFigure"/>
      </w:pPr>
      <w:r>
        <w:drawing>
          <wp:inline>
            <wp:extent cx="5334000" cy="4161526"/>
            <wp:effectExtent b="0" l="0" r="0" t="0"/>
            <wp:docPr descr="Figure 2. KCOR as a two-stage framework. (A) Fixed-cohort cumulative hazards exhibit curvature due to selection-induced depletion; late-time curvature is used to estimate frailty parameters for normalization. (B) Gamma-frailty normalization yields approximately linearized cumulative hazards that are directly comparable across cohorts; KCOR(t), defined as the ratio of normalized cumulative hazards, is near-flat under the null and deviates only under net hazard differences. In the schematic, \hat{H}(t) denotes the depletion-normalized cumulative hazard (formally written as \tilde{H}(t) in the text)." title="" id="74" name="Picture"/>
            <a:graphic>
              <a:graphicData uri="http://schemas.openxmlformats.org/drawingml/2006/picture">
                <pic:pic>
                  <pic:nvPicPr>
                    <pic:cNvPr descr="figures/fig_kcor_workflow.png" id="75" name="Picture"/>
                    <pic:cNvPicPr>
                      <a:picLocks noChangeArrowheads="1" noChangeAspect="1"/>
                    </pic:cNvPicPr>
                  </pic:nvPicPr>
                  <pic:blipFill>
                    <a:blip r:embed="rId73"/>
                    <a:stretch>
                      <a:fillRect/>
                    </a:stretch>
                  </pic:blipFill>
                  <pic:spPr bwMode="auto">
                    <a:xfrm>
                      <a:off x="0" y="0"/>
                      <a:ext cx="5334000" cy="4161526"/>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KCOR as a two-stage framework.</w:t>
      </w:r>
      <w:r>
        <w:t xml:space="preserve"> </w:t>
      </w:r>
      <w:r>
        <w:rPr>
          <w:b/>
          <w:bCs/>
        </w:rPr>
        <w:t xml:space="preserve">(A)</w:t>
      </w:r>
      <w:r>
        <w:t xml:space="preserve"> </w:t>
      </w:r>
      <w:r>
        <w:t xml:space="preserve">Fixed-cohort cumulative hazards exhibit curvature due to selection-induced depletion; late-time curvature is used to estimate frailty parameters for normalization.</w:t>
      </w:r>
      <w:r>
        <w:t xml:space="preserve"> </w:t>
      </w:r>
      <w:r>
        <w:rPr>
          <w:b/>
          <w:bCs/>
        </w:rPr>
        <w:t xml:space="preserve">(B)</w:t>
      </w:r>
      <w:r>
        <w:t xml:space="preserve"> </w:t>
      </w:r>
      <w:r>
        <w:t xml:space="preserve">Gamma-frailty normalization yields approximately linearized cumulative hazards that are directly comparable across cohorts;</w:t>
      </w:r>
      <w:r>
        <w:t xml:space="preserve"> </w:t>
      </w:r>
      <m:oMath>
        <m:r>
          <m:t>K</m:t>
        </m:r>
        <m:r>
          <m:t>C</m:t>
        </m:r>
        <m:r>
          <m:t>O</m:t>
        </m:r>
        <m:r>
          <m:t>R</m:t>
        </m:r>
        <m:r>
          <m:rPr>
            <m:sty m:val="p"/>
          </m:rPr>
          <m:t>(</m:t>
        </m:r>
        <m:r>
          <m:t>t</m:t>
        </m:r>
        <m:r>
          <m:rPr>
            <m:sty m:val="p"/>
          </m:rPr>
          <m:t>)</m:t>
        </m:r>
      </m:oMath>
      <w:r>
        <w:t xml:space="preserve">, defined as the ratio of normalized cumulative hazards, is near-flat under the null and deviates only under net hazard differences.</w:t>
      </w:r>
      <w:r>
        <w:t xml:space="preserve"> </w:t>
      </w:r>
      <w:r>
        <w:rPr>
          <w:i/>
          <w:iCs/>
        </w:rPr>
        <w:t xml:space="preserve">In the schematic,</w:t>
      </w:r>
      <w:r>
        <w:rPr>
          <w:i/>
          <w:iCs/>
        </w:rPr>
        <w:t xml:space="preserve"> </w:t>
      </w:r>
      <m:oMath>
        <m:acc>
          <m:accPr>
            <m:chr m:val="̂"/>
          </m:accPr>
          <m:e>
            <m:r>
              <m:t>H</m:t>
            </m:r>
          </m:e>
        </m:acc>
        <m:r>
          <m:rPr>
            <m:sty m:val="p"/>
          </m:rPr>
          <m:t>(</m:t>
        </m:r>
        <m:r>
          <m:t>t</m:t>
        </m:r>
        <m:r>
          <m:rPr>
            <m:sty m:val="p"/>
          </m:rPr>
          <m:t>)</m:t>
        </m:r>
      </m:oMath>
      <w:r>
        <w:rPr>
          <w:i/>
          <w:iCs/>
        </w:rPr>
        <w:t xml:space="preserve"> </w:t>
      </w:r>
      <w:r>
        <w:rPr>
          <w:i/>
          <w:iCs/>
        </w:rPr>
        <w:t xml:space="preserve">denotes the depletion-normalized cumulative hazard (formally written as</w:t>
      </w:r>
      <w:r>
        <w:rPr>
          <w:i/>
          <w:iCs/>
        </w:rPr>
        <w:t xml:space="preserve"> </w:t>
      </w:r>
      <m:oMath>
        <m:acc>
          <m:accPr>
            <m:chr m:val="̃"/>
          </m:accPr>
          <m:e>
            <m:r>
              <m:t>H</m:t>
            </m:r>
          </m:e>
        </m:acc>
        <m:r>
          <m:rPr>
            <m:sty m:val="p"/>
          </m:rPr>
          <m:t>(</m:t>
        </m:r>
        <m:r>
          <m:t>t</m:t>
        </m:r>
        <m:r>
          <m:rPr>
            <m:sty m:val="p"/>
          </m:rPr>
          <m:t>)</m:t>
        </m:r>
      </m:oMath>
      <w:r>
        <w:rPr>
          <w:i/>
          <w:iCs/>
        </w:rPr>
        <w:t xml:space="preserve"> </w:t>
      </w:r>
      <w:r>
        <w:rPr>
          <w:i/>
          <w:iCs/>
        </w:rPr>
        <w:t xml:space="preserve">in the text).</w:t>
      </w:r>
    </w:p>
    <w:bookmarkEnd w:id="76"/>
    <w:bookmarkEnd w:id="77"/>
    <w:bookmarkStart w:id="89" w:name="relationship-to-cox-proportional-hazards"/>
    <w:p>
      <w:pPr>
        <w:pStyle w:val="Heading3"/>
      </w:pPr>
      <w:r>
        <w:t xml:space="preserve">2.11 Relationship to Cox proportional hazards</w:t>
      </w:r>
    </w:p>
    <w:p>
      <w:pPr>
        <w:pStyle w:val="FirstParagraph"/>
      </w:pPr>
      <w:r>
        <w:t xml:space="preserve">Cox proportional hazards models estimate an instantaneous hazard ratio under the assumption that hazards differ by a time-invariant multiplicative factor. Under selective uptake with latent frailty heterogeneity, this assumption is typically violated, yielding time-varying hazard ratios induced purely by depletion dynamics. Accordingly, Cox results are presented here only as a diagnostic demonstration of assumption failure, not as a competing causal estimator.</w:t>
      </w:r>
    </w:p>
    <w:p>
      <w:pPr>
        <w:pStyle w:val="BodyText"/>
      </w:pPr>
      <w:r>
        <w:t xml:space="preserve">Conceptually, Cox regression estimates a treatment effect by fitting a hazard model to the observed data and reading the effect from the fitted coefficients, whereas KCOR uses a parametric model only to adjust the observed data for selection-induced depletion and then computes cohort contrasts directly from the adjusted cumulative hazards themselves.</w:t>
      </w:r>
    </w:p>
    <w:bookmarkStart w:id="87" w:name="X3af45993d90b0829bcc5fa36f447ebd1f6c3bc8"/>
    <w:p>
      <w:pPr>
        <w:pStyle w:val="Heading4"/>
      </w:pPr>
      <w:r>
        <w:t xml:space="preserve">2.11.1 Demonstration: Cox bias under frailty heterogeneity with no treatment effect</w:t>
      </w:r>
    </w:p>
    <w:p>
      <w:pPr>
        <w:pStyle w:val="FirstParagraph"/>
      </w:pPr>
      <w:r>
        <w:t xml:space="preserve">We conducted a controlled synthetic experiment in which the</w:t>
      </w:r>
      <w:r>
        <w:t xml:space="preserve"> </w:t>
      </w:r>
      <w:r>
        <w:rPr>
          <w:b/>
          <w:bCs/>
        </w:rPr>
        <w:t xml:space="preserve">true causal effect is known to be zero by construction</w:t>
      </w:r>
      <w:r>
        <w:t xml:space="preserve">, isolating latent frailty heterogeneity as the sole driver of depletion-induced non-proportional hazards. Cox and KCOR were applied to the same simulated datasets under identical information constraints.</w:t>
      </w:r>
    </w:p>
    <w:p>
      <w:pPr>
        <w:pStyle w:val="BodyText"/>
      </w:pPr>
      <w:r>
        <w:rPr>
          <w:b/>
          <w:bCs/>
        </w:rPr>
        <w:t xml:space="preserve">Data-generating process.</w:t>
      </w:r>
    </w:p>
    <w:p>
      <w:pPr>
        <w:pStyle w:val="BodyText"/>
      </w:pPr>
      <w:r>
        <w:t xml:space="preserve">Two cohorts of equal size were simulated under the same baseline hazard</w:t>
      </w:r>
      <w:r>
        <w:t xml:space="preserve"> </w:t>
      </w:r>
      <m:oMath>
        <m:sSub>
          <m:e>
            <m:r>
              <m:t>h</m:t>
            </m:r>
          </m:e>
          <m:sub>
            <m:r>
              <m:t>0</m:t>
            </m:r>
          </m:sub>
        </m:sSub>
        <m:r>
          <m:rPr>
            <m:sty m:val="p"/>
          </m:rPr>
          <m:t>(</m:t>
        </m:r>
        <m:r>
          <m:t>t</m:t>
        </m:r>
        <m:r>
          <m:rPr>
            <m:sty m:val="p"/>
          </m:rPr>
          <m:t>)</m:t>
        </m:r>
      </m:oMath>
      <w:r>
        <w:t xml:space="preserve"> </w:t>
      </w:r>
      <w:r>
        <w:t xml:space="preserve">over time (constant or Gompertz). Individual hazards were generated as</w:t>
      </w:r>
      <w:r>
        <w:t xml:space="preserve"> </w:t>
      </w:r>
      <m:oMath>
        <m:r>
          <m:t>z</m:t>
        </m:r>
        <m:r>
          <m:t> </m:t>
        </m:r>
        <m:sSub>
          <m:e>
            <m:r>
              <m:t>h</m:t>
            </m:r>
          </m:e>
          <m:sub>
            <m:r>
              <m:t>0</m:t>
            </m:r>
          </m:sub>
        </m:sSub>
        <m:r>
          <m:rPr>
            <m:sty m:val="p"/>
          </m:rPr>
          <m:t>(</m:t>
        </m:r>
        <m:r>
          <m:t>t</m:t>
        </m:r>
        <m:r>
          <m:rPr>
            <m:sty m:val="p"/>
          </m:rPr>
          <m:t>)</m:t>
        </m:r>
      </m:oMath>
      <w:r>
        <w:t xml:space="preserve">, with frailty</w:t>
      </w:r>
    </w:p>
    <w:p>
      <w:pPr>
        <w:pStyle w:val="BodyText"/>
      </w:pPr>
      <m:oMathPara>
        <m:oMathParaPr>
          <m:jc m:val="center"/>
        </m:oMathParaPr>
        <m:oMath>
          <m:r>
            <m:t>z</m:t>
          </m:r>
          <m:r>
            <m:rPr>
              <m:sty m:val="p"/>
            </m:rPr>
            <m:t>∼</m:t>
          </m:r>
          <m:r>
            <m:rPr>
              <m:nor/>
              <m:sty m:val="p"/>
            </m:rPr>
            <m:t>Gamma</m:t>
          </m:r>
          <m:r>
            <m:rPr>
              <m:sty m:val="p"/>
            </m:rPr>
            <m:t>(</m:t>
          </m:r>
          <m:sSup>
            <m:e>
              <m:r>
                <m:t>θ</m:t>
              </m:r>
            </m:e>
            <m:sup>
              <m:r>
                <m:rPr>
                  <m:sty m:val="p"/>
                </m:rPr>
                <m:t>−</m:t>
              </m:r>
              <m:r>
                <m:t>1</m:t>
              </m:r>
            </m:sup>
          </m:sSup>
          <m:r>
            <m:rPr>
              <m:sty m:val="p"/>
            </m:rPr>
            <m:t>,</m:t>
          </m:r>
          <m:sSup>
            <m:e>
              <m:r>
                <m:t>θ</m:t>
              </m:r>
            </m:e>
            <m:sup>
              <m:r>
                <m:rPr>
                  <m:sty m:val="p"/>
                </m:rPr>
                <m:t>−</m:t>
              </m:r>
              <m:r>
                <m:t>1</m:t>
              </m:r>
            </m:sup>
          </m:sSup>
          <m:r>
            <m:rPr>
              <m:sty m:val="p"/>
            </m:rPr>
            <m:t>)</m:t>
          </m:r>
          <m:r>
            <m:rPr>
              <m:sty m:val="p"/>
            </m:rPr>
            <m:t>,</m:t>
          </m:r>
        </m:oMath>
      </m:oMathPara>
    </w:p>
    <w:p>
      <w:pPr>
        <w:pStyle w:val="FirstParagraph"/>
      </w:pPr>
      <w:r>
        <w:t xml:space="preserve">with mean 1 and variance</w:t>
      </w:r>
      <w:r>
        <w:t xml:space="preserve"> </w:t>
      </w:r>
      <m:oMath>
        <m:r>
          <m:t>θ</m:t>
        </m:r>
      </m:oMath>
      <w:r>
        <w:t xml:space="preserve">.</w:t>
      </w:r>
    </w:p>
    <w:p>
      <w:pPr>
        <w:pStyle w:val="BodyText"/>
      </w:pPr>
      <w:r>
        <w:t xml:space="preserve">Cohort A was generated with</w:t>
      </w:r>
      <w:r>
        <w:t xml:space="preserve"> </w:t>
      </w:r>
      <m:oMath>
        <m:r>
          <m:t>θ</m:t>
        </m:r>
        <m:r>
          <m:rPr>
            <m:sty m:val="p"/>
          </m:rPr>
          <m:t>=</m:t>
        </m:r>
        <m:r>
          <m:t>0</m:t>
        </m:r>
      </m:oMath>
      <w:r>
        <w:t xml:space="preserve"> </w:t>
      </w:r>
      <w:r>
        <w:t xml:space="preserve">(no frailty heterogeneity), while Cohort B was generated with</w:t>
      </w:r>
      <w:r>
        <w:t xml:space="preserve"> </w:t>
      </w:r>
      <m:oMath>
        <m:r>
          <m:t>θ</m:t>
        </m:r>
        <m:r>
          <m:rPr>
            <m:sty m:val="p"/>
          </m:rPr>
          <m:t>&gt;</m:t>
        </m:r>
        <m:r>
          <m:t>0</m:t>
        </m:r>
      </m:oMath>
      <w:r>
        <w:t xml:space="preserve">.</w:t>
      </w:r>
      <w:r>
        <w:t xml:space="preserve"> </w:t>
      </w:r>
      <w:r>
        <w:rPr>
          <w:b/>
          <w:bCs/>
        </w:rPr>
        <w:t xml:space="preserve">No treatment or intervention effect was applied</w:t>
      </w:r>
      <w:r>
        <w:t xml:space="preserve">: conditional on frailty, the two cohorts have identical hazards at all times. Thus, the true causal hazard ratio between cohorts is exactly 1 for all</w:t>
      </w:r>
      <w:r>
        <w:t xml:space="preserve"> </w:t>
      </w:r>
      <m:oMath>
        <m:r>
          <m:t>t</m:t>
        </m:r>
      </m:oMath>
      <w:r>
        <w:t xml:space="preserve">.</w:t>
      </w:r>
    </w:p>
    <w:p>
      <w:pPr>
        <w:pStyle w:val="BodyText"/>
      </w:pPr>
      <w:r>
        <w:t xml:space="preserve">Simulations were repeated over a grid of frailty variances</w:t>
      </w:r>
      <w:r>
        <w:t xml:space="preserve"> </w:t>
      </w:r>
      <m:oMath>
        <m:r>
          <m:t>θ</m:t>
        </m:r>
        <m:r>
          <m:rPr>
            <m:sty m:val="p"/>
          </m:rPr>
          <m:t>∈</m:t>
        </m:r>
        <m:r>
          <m:rPr>
            <m:sty m:val="p"/>
          </m:rPr>
          <m:t>{</m:t>
        </m:r>
        <m:r>
          <m:t>0</m:t>
        </m:r>
        <m:r>
          <m:rPr>
            <m:sty m:val="p"/>
          </m:rPr>
          <m:t>,</m:t>
        </m:r>
        <m:r>
          <m:t>0.5</m:t>
        </m:r>
        <m:r>
          <m:rPr>
            <m:sty m:val="p"/>
          </m:rPr>
          <m:t>,</m:t>
        </m:r>
        <m:r>
          <m:t>1</m:t>
        </m:r>
        <m:r>
          <m:rPr>
            <m:sty m:val="p"/>
          </m:rPr>
          <m:t>,</m:t>
        </m:r>
        <m:r>
          <m:t>2</m:t>
        </m:r>
        <m:r>
          <m:rPr>
            <m:sty m:val="p"/>
          </m:rPr>
          <m:t>,</m:t>
        </m:r>
        <m:r>
          <m:t>5</m:t>
        </m:r>
        <m:r>
          <m:rPr>
            <m:sty m:val="p"/>
          </m:rPr>
          <m:t>,</m:t>
        </m:r>
        <m:r>
          <m:t>10</m:t>
        </m:r>
        <m:r>
          <m:rPr>
            <m:sty m:val="p"/>
          </m:rPr>
          <m:t>,</m:t>
        </m:r>
        <m:r>
          <m:t>20</m:t>
        </m:r>
        <m:r>
          <m:rPr>
            <m:sty m:val="p"/>
          </m:rPr>
          <m:t>}</m:t>
        </m:r>
      </m:oMath>
      <w:r>
        <w:t xml:space="preserve">.</w:t>
      </w:r>
    </w:p>
    <w:p>
      <w:pPr>
        <w:pStyle w:val="BodyText"/>
      </w:pPr>
      <w:r>
        <w:rPr>
          <w:b/>
          <w:bCs/>
        </w:rPr>
        <w:t xml:space="preserve">Cox analysis.</w:t>
      </w:r>
    </w:p>
    <w:p>
      <w:pPr>
        <w:pStyle w:val="BodyText"/>
      </w:pPr>
      <w:r>
        <w:t xml:space="preserve">For each simulated dataset, we fitted a standard Cox proportional hazards model using partial likelihood (statsmodels</w:t>
      </w:r>
      <w:r>
        <w:t xml:space="preserve"> </w:t>
      </w:r>
      <w:r>
        <w:rPr>
          <w:rStyle w:val="VerbatimChar"/>
        </w:rPr>
        <w:t xml:space="preserve">PHReg</w:t>
      </w:r>
      <w:r>
        <w:t xml:space="preserve">), with cohort membership as the sole covariate (no time-varying covariates or interactions). The resulting hazard ratio estimates and confidence intervals therefore reflect</w:t>
      </w:r>
      <w:r>
        <w:t xml:space="preserve"> </w:t>
      </w:r>
      <w:r>
        <w:rPr>
          <w:b/>
          <w:bCs/>
        </w:rPr>
        <w:t xml:space="preserve">only differences induced by frailty-driven depletion</w:t>
      </w:r>
      <w:r>
        <w:t xml:space="preserve">, not any causal effect.</w:t>
      </w:r>
    </w:p>
    <w:p>
      <w:pPr>
        <w:pStyle w:val="BodyText"/>
      </w:pPr>
      <w:r>
        <w:rPr>
          <w:b/>
          <w:bCs/>
        </w:rPr>
        <w:t xml:space="preserve">KCOR analysis.</w:t>
      </w:r>
    </w:p>
    <w:p>
      <w:pPr>
        <w:pStyle w:val="BodyText"/>
      </w:pPr>
      <w:r>
        <w:t xml:space="preserve">The same simulated datasets were analyzed using KCOR. For the synthetic datasets, cohort-specific observed cumulative hazards were estimated nonparametrically using the Nelson–Aalen estimator, then mapped to depletion-neutralized baseline cumulative hazards via the gamma-frailty inversion prior to computing KCOR</w:t>
      </w:r>
      <m:oMath>
        <m:r>
          <m:rPr>
            <m:sty m:val="p"/>
          </m:rPr>
          <m:t>(</m:t>
        </m:r>
        <m:r>
          <m:t>t</m:t>
        </m:r>
        <m:r>
          <m:rPr>
            <m:sty m:val="p"/>
          </m:rPr>
          <m:t>)</m:t>
        </m:r>
      </m:oMath>
      <w:r>
        <w:t xml:space="preserve">. Although the data-generating process specifies individual hazards, cumulative hazards were estimated from simulated event-time data using Nelson–Aalen to mirror the information available in observational registry studies, rather than exploiting simulator-only knowledge. Frailty parameters were estimated during a prespecified quiet window, followed by cumulative-hazard normalization and computation of KCOR</w:t>
      </w:r>
      <m:oMath>
        <m:r>
          <m:rPr>
            <m:sty m:val="p"/>
          </m:rPr>
          <m:t>(</m:t>
        </m:r>
        <m:r>
          <m:t>t</m:t>
        </m:r>
        <m:r>
          <m:rPr>
            <m:sty m:val="p"/>
          </m:rPr>
          <m:t>)</m:t>
        </m:r>
      </m:oMath>
      <w:r>
        <w:t xml:space="preserve">. Post-normalization slope and asymptotic KCOR(t) values were examined to assess departure from the null.</w:t>
      </w:r>
    </w:p>
    <w:p>
      <w:pPr>
        <w:pStyle w:val="BodyText"/>
      </w:pPr>
      <w:r>
        <w:rPr>
          <w:b/>
          <w:bCs/>
        </w:rPr>
        <w:t xml:space="preserve">Expected behavior under the null.</w:t>
      </w:r>
    </w:p>
    <w:p>
      <w:pPr>
        <w:pStyle w:val="BodyText"/>
      </w:pPr>
      <w:r>
        <w:t xml:space="preserve">Because the data-generating process includes</w:t>
      </w:r>
      <w:r>
        <w:t xml:space="preserve"> </w:t>
      </w:r>
      <w:r>
        <w:rPr>
          <w:b/>
          <w:bCs/>
        </w:rPr>
        <w:t xml:space="preserve">no treatment effect</w:t>
      </w:r>
      <w:r>
        <w:t xml:space="preserve">, any valid estimator should return a null result. In this setting:</w:t>
      </w:r>
    </w:p>
    <w:p>
      <w:pPr>
        <w:pStyle w:val="Compact"/>
        <w:numPr>
          <w:ilvl w:val="0"/>
          <w:numId w:val="1019"/>
        </w:numPr>
      </w:pPr>
      <w:r>
        <w:rPr>
          <w:b/>
          <w:bCs/>
        </w:rPr>
        <w:t xml:space="preserve">Cox regression</w:t>
      </w:r>
      <w:r>
        <w:t xml:space="preserve"> </w:t>
      </w:r>
      <w:r>
        <w:t xml:space="preserve">is expected to produce apparent non-null hazard ratios as</w:t>
      </w:r>
      <w:r>
        <w:t xml:space="preserve"> </w:t>
      </w:r>
      <m:oMath>
        <m:r>
          <m:t>θ</m:t>
        </m:r>
      </m:oMath>
      <w:r>
        <w:t xml:space="preserve"> </w:t>
      </w:r>
      <w:r>
        <w:t xml:space="preserve">increases, reflecting differential depletion of susceptibles and violation of proportional hazards induced by frailty heterogeneity.</w:t>
      </w:r>
    </w:p>
    <w:p>
      <w:pPr>
        <w:pStyle w:val="Compact"/>
        <w:numPr>
          <w:ilvl w:val="0"/>
          <w:numId w:val="1019"/>
        </w:numPr>
      </w:pPr>
      <w:r>
        <w:rPr>
          <w:b/>
          <w:bCs/>
        </w:rPr>
        <w:t xml:space="preserve">KCOR</w:t>
      </w:r>
      <w:r>
        <w:t xml:space="preserve"> </w:t>
      </w:r>
      <w:r>
        <w:t xml:space="preserve">is expected to remain centered near unity with negligible post-normalization slope across all</w:t>
      </w:r>
      <w:r>
        <w:t xml:space="preserve"> </w:t>
      </w:r>
      <m:oMath>
        <m:r>
          <m:t>θ</m:t>
        </m:r>
      </m:oMath>
      <w:r>
        <w:t xml:space="preserve">, consistent with correct null behavior after depletion normalization.</w:t>
      </w:r>
    </w:p>
    <w:p>
      <w:pPr>
        <w:pStyle w:val="FirstParagraph"/>
      </w:pPr>
      <w:r>
        <w:rPr>
          <w:b/>
          <w:bCs/>
        </w:rPr>
        <w:t xml:space="preserve">Summary of findings.</w:t>
      </w:r>
    </w:p>
    <w:p>
      <w:pPr>
        <w:pStyle w:val="BodyText"/>
      </w:pPr>
      <w:r>
        <w:t xml:space="preserve">Across increasing values of</w:t>
      </w:r>
      <w:r>
        <w:t xml:space="preserve"> </w:t>
      </w:r>
      <m:oMath>
        <m:r>
          <m:t>θ</m:t>
        </m:r>
      </m:oMath>
      <w:r>
        <w:t xml:space="preserve">, Cox regression produced progressively larger apparent deviations from a hazard ratio of 1. The direction and magnitude of the apparent effect depended on the follow-up horizon and degree of frailty heterogeneity. In contrast, KCOR(t) trajectories remained stable and centered near unity, with post-normalization slopes approximately zero across all simulated conditions.</w:t>
      </w:r>
    </w:p>
    <w:p>
      <w:pPr>
        <w:pStyle w:val="BodyText"/>
      </w:pPr>
      <w:r>
        <w:t xml:space="preserve">These results demonstrate that</w:t>
      </w:r>
      <w:r>
        <w:t xml:space="preserve"> </w:t>
      </w:r>
      <w:r>
        <w:rPr>
          <w:b/>
          <w:bCs/>
        </w:rPr>
        <w:t xml:space="preserve">frailty heterogeneity alone is sufficient to induce spurious hazard ratios in Cox regression</w:t>
      </w:r>
      <w:r>
        <w:t xml:space="preserve">, while KCOR correctly returns a null result under the same conditions.</w:t>
      </w:r>
    </w:p>
    <w:bookmarkStart w:id="78" w:name="tbl:cox_bias_demo"/>
    <w:p>
      <w:pPr>
        <w:pStyle w:val="TableCaption"/>
      </w:pPr>
      <w:r>
        <w:t xml:space="preserve">Table 6. Cox vs KCOR under a synthetic null with increasing frailty heterogeneity. Two cohorts are simulated with identical baseline hazards and no treatment effect</w:t>
      </w:r>
      <w:r>
        <w:t xml:space="preserve"> </w:t>
      </w:r>
      <w:r>
        <w:rPr>
          <w:i/>
          <w:iCs/>
        </w:rPr>
        <w:t xml:space="preserve">(null by construction)</w:t>
      </w:r>
      <w:r>
        <w:t xml:space="preserve">; cohorts differ only in gamma frailty variance (</w:t>
      </w:r>
      <m:oMath>
        <m:r>
          <m:t>θ</m:t>
        </m:r>
      </m:oMath>
      <w:r>
        <w:t xml:space="preserve">). Despite the true hazard ratio being 1 by construction, Cox regression produces increasingly non-null hazard ratios as</w:t>
      </w:r>
      <w:r>
        <w:t xml:space="preserve"> </w:t>
      </w:r>
      <m:oMath>
        <m:r>
          <m:t>θ</m:t>
        </m:r>
      </m:oMath>
      <w:r>
        <w:t xml:space="preserve"> </w:t>
      </w:r>
      <w:r>
        <w:t xml:space="preserve">increases, reflecting depletion-induced non-proportional hazards. KCOR(t) remains centered near unity with negligible post-normalization slope across</w:t>
      </w:r>
      <w:r>
        <w:t xml:space="preserve"> </w:t>
      </w:r>
      <m:oMath>
        <m:r>
          <m:t>θ</m:t>
        </m:r>
      </m:oMath>
      <w:r>
        <w:t xml:space="preserve"> </w:t>
      </w:r>
      <w:r>
        <w:t xml:space="preserve">values. (Exact values depend on simulation seed and follow-up horizon.)</w:t>
      </w:r>
    </w:p>
    <w:tbl>
      <w:tblPr>
        <w:tblStyle w:val="Table"/>
        <w:tblW w:type="pct" w:w="5000"/>
        <w:tblLayout w:type="fixed"/>
        <w:tblLook w:firstRow="1" w:lastRow="0" w:firstColumn="0" w:lastColumn="0" w:noHBand="0" w:noVBand="0" w:val="0020"/>
        <w:tblCaption w:val="Table 6. Cox vs KCOR under a synthetic null with increasing frailty heterogeneity. Two cohorts are simulated with identical baseline hazards and no treatment effect (null by construction); cohorts differ only in gamma frailty variance (\theta). Despite the true hazard ratio being 1 by construction, Cox regression produces increasingly non-null hazard ratios as \theta increases, reflecting depletion-induced non-proportional hazards. KCOR(t) remains centered near unity with negligible post-normalization slope across \theta values. (Exact values depend on simulation seed and follow-up horizon.)"/>
      </w:tblPr>
      <w:tblGrid>
        <w:gridCol w:w="2545"/>
        <w:gridCol w:w="565"/>
        <w:gridCol w:w="565"/>
        <w:gridCol w:w="1037"/>
        <w:gridCol w:w="1320"/>
        <w:gridCol w:w="1885"/>
      </w:tblGrid>
      <w:tr>
        <w:trPr>
          <w:tblHeader w:val="on"/>
        </w:trPr>
        <w:tc>
          <w:tcPr/>
          <w:p>
            <w:pPr>
              <w:pStyle w:val="Compact"/>
              <w:jc w:val="right"/>
            </w:pPr>
            <w:r>
              <w:t xml:space="preserve">Frailty variance (</w:t>
            </w:r>
            <m:oMath>
              <m:r>
                <m:t>θ</m:t>
              </m:r>
            </m:oMath>
            <w:r>
              <w:t xml:space="preserve">)</w:t>
            </w:r>
          </w:p>
        </w:tc>
        <w:tc>
          <w:tcPr/>
          <w:p>
            <w:pPr>
              <w:pStyle w:val="Compact"/>
              <w:jc w:val="right"/>
            </w:pPr>
            <w:r>
              <w:t xml:space="preserve">Cox HR</w:t>
            </w:r>
          </w:p>
        </w:tc>
        <w:tc>
          <w:tcPr/>
          <w:p>
            <w:pPr>
              <w:pStyle w:val="Compact"/>
              <w:jc w:val="right"/>
            </w:pPr>
            <w:r>
              <w:t xml:space="preserve">95% CI</w:t>
            </w:r>
          </w:p>
        </w:tc>
        <w:tc>
          <w:tcPr/>
          <w:p>
            <w:pPr>
              <w:pStyle w:val="Compact"/>
              <w:jc w:val="right"/>
            </w:pPr>
            <w:r>
              <w:t xml:space="preserve">Cox p-value</w:t>
            </w:r>
          </w:p>
        </w:tc>
        <w:tc>
          <w:tcPr/>
          <w:p>
            <w:pPr>
              <w:pStyle w:val="Compact"/>
              <w:jc w:val="right"/>
            </w:pPr>
            <w:r>
              <w:t xml:space="preserve">KCOR asymptote</w:t>
            </w:r>
          </w:p>
        </w:tc>
        <w:tc>
          <w:tcPr/>
          <w:p>
            <w:pPr>
              <w:pStyle w:val="Compact"/>
              <w:jc w:val="right"/>
            </w:pPr>
            <w:r>
              <w:t xml:space="preserve">KCOR post-norm slope</w:t>
            </w:r>
          </w:p>
        </w:tc>
      </w:tr>
      <w:tr>
        <w:tc>
          <w:tcPr/>
          <w:p>
            <w:pPr>
              <w:pStyle w:val="Compact"/>
              <w:jc w:val="right"/>
            </w:pPr>
            <w:r>
              <w:t xml:space="preserve">0.0</w:t>
            </w:r>
          </w:p>
        </w:tc>
        <w:tc>
          <w:tcPr/>
          <w:p>
            <w:pPr>
              <w:pStyle w:val="Compact"/>
              <w:jc w:val="right"/>
            </w:pPr>
            <w:r>
              <w:t xml:space="preserve">0.988</w:t>
            </w:r>
          </w:p>
        </w:tc>
        <w:tc>
          <w:tcPr/>
          <w:p>
            <w:pPr>
              <w:pStyle w:val="Compact"/>
              <w:jc w:val="right"/>
            </w:pPr>
            <w:r>
              <w:t xml:space="preserve">[0.969, 1.008]</w:t>
            </w:r>
          </w:p>
        </w:tc>
        <w:tc>
          <w:tcPr/>
          <w:p>
            <w:pPr>
              <w:pStyle w:val="Compact"/>
              <w:jc w:val="right"/>
            </w:pPr>
            <w:r>
              <w:t xml:space="preserve">0.234</w:t>
            </w:r>
          </w:p>
        </w:tc>
        <w:tc>
          <w:tcPr/>
          <w:p>
            <w:pPr>
              <w:pStyle w:val="Compact"/>
              <w:jc w:val="right"/>
            </w:pPr>
            <w:r>
              <w:t xml:space="preserve">0.988</w:t>
            </w:r>
          </w:p>
        </w:tc>
        <w:tc>
          <w:tcPr/>
          <w:p>
            <w:pPr>
              <w:pStyle w:val="Compact"/>
              <w:jc w:val="right"/>
            </w:pPr>
            <m:oMath>
              <m:r>
                <m:t>7.6</m:t>
              </m:r>
              <m:r>
                <m:rPr>
                  <m:sty m:val="p"/>
                </m:rPr>
                <m:t>×</m:t>
              </m:r>
              <m:sSup>
                <m:e>
                  <m:r>
                    <m:t>10</m:t>
                  </m:r>
                </m:e>
                <m:sup>
                  <m:r>
                    <m:rPr>
                      <m:sty m:val="p"/>
                    </m:rPr>
                    <m:t>−</m:t>
                  </m:r>
                  <m:r>
                    <m:t>4</m:t>
                  </m:r>
                </m:sup>
              </m:sSup>
            </m:oMath>
          </w:p>
        </w:tc>
      </w:tr>
      <w:tr>
        <w:tc>
          <w:tcPr/>
          <w:p>
            <w:pPr>
              <w:pStyle w:val="Compact"/>
              <w:jc w:val="right"/>
            </w:pPr>
            <w:r>
              <w:t xml:space="preserve">0.5</w:t>
            </w:r>
          </w:p>
        </w:tc>
        <w:tc>
          <w:tcPr/>
          <w:p>
            <w:pPr>
              <w:pStyle w:val="Compact"/>
              <w:jc w:val="right"/>
            </w:pPr>
            <w:r>
              <w:t xml:space="preserve">0.965</w:t>
            </w:r>
          </w:p>
        </w:tc>
        <w:tc>
          <w:tcPr/>
          <w:p>
            <w:pPr>
              <w:pStyle w:val="Compact"/>
              <w:jc w:val="right"/>
            </w:pPr>
            <w:r>
              <w:t xml:space="preserve">[0.946, 0.985]</w:t>
            </w:r>
          </w:p>
        </w:tc>
        <w:tc>
          <w:tcPr/>
          <w:p>
            <w:pPr>
              <w:pStyle w:val="Compact"/>
              <w:jc w:val="right"/>
            </w:pPr>
            <m:oMath>
              <m:r>
                <m:t>4.9</m:t>
              </m:r>
              <m:r>
                <m:rPr>
                  <m:sty m:val="p"/>
                </m:rPr>
                <m:t>×</m:t>
              </m:r>
              <m:sSup>
                <m:e>
                  <m:r>
                    <m:t>10</m:t>
                  </m:r>
                </m:e>
                <m:sup>
                  <m:r>
                    <m:rPr>
                      <m:sty m:val="p"/>
                    </m:rPr>
                    <m:t>−</m:t>
                  </m:r>
                  <m:r>
                    <m:t>4</m:t>
                  </m:r>
                </m:sup>
              </m:sSup>
            </m:oMath>
          </w:p>
        </w:tc>
        <w:tc>
          <w:tcPr/>
          <w:p>
            <w:pPr>
              <w:pStyle w:val="Compact"/>
              <w:jc w:val="right"/>
            </w:pPr>
            <w:r>
              <w:t xml:space="preserve">0.990</w:t>
            </w:r>
          </w:p>
        </w:tc>
        <w:tc>
          <w:tcPr/>
          <w:p>
            <w:pPr>
              <w:pStyle w:val="Compact"/>
              <w:jc w:val="right"/>
            </w:pPr>
            <m:oMath>
              <m:r>
                <m:rPr>
                  <m:sty m:val="p"/>
                </m:rPr>
                <m:t>−</m:t>
              </m:r>
              <m:r>
                <m:t>3.8</m:t>
              </m:r>
              <m:r>
                <m:rPr>
                  <m:sty m:val="p"/>
                </m:rPr>
                <m:t>×</m:t>
              </m:r>
              <m:sSup>
                <m:e>
                  <m:r>
                    <m:t>10</m:t>
                  </m:r>
                </m:e>
                <m:sup>
                  <m:r>
                    <m:rPr>
                      <m:sty m:val="p"/>
                    </m:rPr>
                    <m:t>−</m:t>
                  </m:r>
                  <m:r>
                    <m:t>5</m:t>
                  </m:r>
                </m:sup>
              </m:sSup>
            </m:oMath>
          </w:p>
        </w:tc>
      </w:tr>
      <w:tr>
        <w:tc>
          <w:tcPr/>
          <w:p>
            <w:pPr>
              <w:pStyle w:val="Compact"/>
              <w:jc w:val="right"/>
            </w:pPr>
            <w:r>
              <w:t xml:space="preserve">1.0</w:t>
            </w:r>
          </w:p>
        </w:tc>
        <w:tc>
          <w:tcPr/>
          <w:p>
            <w:pPr>
              <w:pStyle w:val="Compact"/>
              <w:jc w:val="right"/>
            </w:pPr>
            <w:r>
              <w:t xml:space="preserve">0.944</w:t>
            </w:r>
          </w:p>
        </w:tc>
        <w:tc>
          <w:tcPr/>
          <w:p>
            <w:pPr>
              <w:pStyle w:val="Compact"/>
              <w:jc w:val="right"/>
            </w:pPr>
            <w:r>
              <w:t xml:space="preserve">[0.926, 0.963]</w:t>
            </w:r>
          </w:p>
        </w:tc>
        <w:tc>
          <w:tcPr/>
          <w:p>
            <w:pPr>
              <w:pStyle w:val="Compact"/>
              <w:jc w:val="right"/>
            </w:pPr>
            <m:oMath>
              <m:r>
                <m:t>1.7</m:t>
              </m:r>
              <m:r>
                <m:rPr>
                  <m:sty m:val="p"/>
                </m:rPr>
                <m:t>×</m:t>
              </m:r>
              <m:sSup>
                <m:e>
                  <m:r>
                    <m:t>10</m:t>
                  </m:r>
                </m:e>
                <m:sup>
                  <m:r>
                    <m:rPr>
                      <m:sty m:val="p"/>
                    </m:rPr>
                    <m:t>−</m:t>
                  </m:r>
                  <m:r>
                    <m:t>8</m:t>
                  </m:r>
                </m:sup>
              </m:sSup>
            </m:oMath>
          </w:p>
        </w:tc>
        <w:tc>
          <w:tcPr/>
          <w:p>
            <w:pPr>
              <w:pStyle w:val="Compact"/>
              <w:jc w:val="right"/>
            </w:pPr>
            <w:r>
              <w:t xml:space="preserve">0.992</w:t>
            </w:r>
          </w:p>
        </w:tc>
        <w:tc>
          <w:tcPr/>
          <w:p>
            <w:pPr>
              <w:pStyle w:val="Compact"/>
              <w:jc w:val="right"/>
            </w:pPr>
            <m:oMath>
              <m:r>
                <m:rPr>
                  <m:sty m:val="p"/>
                </m:rPr>
                <m:t>−</m:t>
              </m:r>
              <m:r>
                <m:t>3.0</m:t>
              </m:r>
              <m:r>
                <m:rPr>
                  <m:sty m:val="p"/>
                </m:rPr>
                <m:t>×</m:t>
              </m:r>
              <m:sSup>
                <m:e>
                  <m:r>
                    <m:t>10</m:t>
                  </m:r>
                </m:e>
                <m:sup>
                  <m:r>
                    <m:rPr>
                      <m:sty m:val="p"/>
                    </m:rPr>
                    <m:t>−</m:t>
                  </m:r>
                  <m:r>
                    <m:t>4</m:t>
                  </m:r>
                </m:sup>
              </m:sSup>
            </m:oMath>
          </w:p>
        </w:tc>
      </w:tr>
      <w:tr>
        <w:tc>
          <w:tcPr/>
          <w:p>
            <w:pPr>
              <w:pStyle w:val="Compact"/>
              <w:jc w:val="right"/>
            </w:pPr>
            <w:r>
              <w:t xml:space="preserve">2.0</w:t>
            </w:r>
          </w:p>
        </w:tc>
        <w:tc>
          <w:tcPr/>
          <w:p>
            <w:pPr>
              <w:pStyle w:val="Compact"/>
              <w:jc w:val="right"/>
            </w:pPr>
            <w:r>
              <w:t xml:space="preserve">0.902</w:t>
            </w:r>
          </w:p>
        </w:tc>
        <w:tc>
          <w:tcPr/>
          <w:p>
            <w:pPr>
              <w:pStyle w:val="Compact"/>
              <w:jc w:val="right"/>
            </w:pPr>
            <w:r>
              <w:t xml:space="preserve">[0.884, 0.921]</w:t>
            </w:r>
          </w:p>
        </w:tc>
        <w:tc>
          <w:tcPr/>
          <w:p>
            <w:pPr>
              <w:pStyle w:val="Compact"/>
              <w:jc w:val="right"/>
            </w:pPr>
            <m:oMath>
              <m:r>
                <m:t>2.4</m:t>
              </m:r>
              <m:r>
                <m:rPr>
                  <m:sty m:val="p"/>
                </m:rPr>
                <m:t>×</m:t>
              </m:r>
              <m:sSup>
                <m:e>
                  <m:r>
                    <m:t>10</m:t>
                  </m:r>
                </m:e>
                <m:sup>
                  <m:r>
                    <m:rPr>
                      <m:sty m:val="p"/>
                    </m:rPr>
                    <m:t>−</m:t>
                  </m:r>
                  <m:r>
                    <m:t>23</m:t>
                  </m:r>
                </m:sup>
              </m:sSup>
            </m:oMath>
          </w:p>
        </w:tc>
        <w:tc>
          <w:tcPr/>
          <w:p>
            <w:pPr>
              <w:pStyle w:val="Compact"/>
              <w:jc w:val="right"/>
            </w:pPr>
            <w:r>
              <w:t xml:space="preserve">0.991</w:t>
            </w:r>
          </w:p>
        </w:tc>
        <w:tc>
          <w:tcPr/>
          <w:p>
            <w:pPr>
              <w:pStyle w:val="Compact"/>
              <w:jc w:val="right"/>
            </w:pPr>
            <m:oMath>
              <m:r>
                <m:t>3.7</m:t>
              </m:r>
              <m:r>
                <m:rPr>
                  <m:sty m:val="p"/>
                </m:rPr>
                <m:t>×</m:t>
              </m:r>
              <m:sSup>
                <m:e>
                  <m:r>
                    <m:t>10</m:t>
                  </m:r>
                </m:e>
                <m:sup>
                  <m:r>
                    <m:rPr>
                      <m:sty m:val="p"/>
                    </m:rPr>
                    <m:t>−</m:t>
                  </m:r>
                  <m:r>
                    <m:t>4</m:t>
                  </m:r>
                </m:sup>
              </m:sSup>
            </m:oMath>
          </w:p>
        </w:tc>
      </w:tr>
      <w:tr>
        <w:tc>
          <w:tcPr/>
          <w:p>
            <w:pPr>
              <w:pStyle w:val="Compact"/>
              <w:jc w:val="right"/>
            </w:pPr>
            <w:r>
              <w:t xml:space="preserve">5.0</w:t>
            </w:r>
          </w:p>
        </w:tc>
        <w:tc>
          <w:tcPr/>
          <w:p>
            <w:pPr>
              <w:pStyle w:val="Compact"/>
              <w:jc w:val="right"/>
            </w:pPr>
            <w:r>
              <w:t xml:space="preserve">0.804</w:t>
            </w:r>
          </w:p>
        </w:tc>
        <w:tc>
          <w:tcPr/>
          <w:p>
            <w:pPr>
              <w:pStyle w:val="Compact"/>
              <w:jc w:val="right"/>
            </w:pPr>
            <w:r>
              <w:t xml:space="preserve">[0.787, 0.820]</w:t>
            </w:r>
          </w:p>
        </w:tc>
        <w:tc>
          <w:tcPr/>
          <w:p>
            <w:pPr>
              <w:pStyle w:val="Compact"/>
              <w:jc w:val="right"/>
            </w:pPr>
            <m:oMath>
              <m:r>
                <m:t>1.5</m:t>
              </m:r>
              <m:r>
                <m:rPr>
                  <m:sty m:val="p"/>
                </m:rPr>
                <m:t>×</m:t>
              </m:r>
              <m:sSup>
                <m:e>
                  <m:r>
                    <m:t>10</m:t>
                  </m:r>
                </m:e>
                <m:sup>
                  <m:r>
                    <m:rPr>
                      <m:sty m:val="p"/>
                    </m:rPr>
                    <m:t>−</m:t>
                  </m:r>
                  <m:r>
                    <m:t>93</m:t>
                  </m:r>
                </m:sup>
              </m:sSup>
            </m:oMath>
          </w:p>
        </w:tc>
        <w:tc>
          <w:tcPr/>
          <w:p>
            <w:pPr>
              <w:pStyle w:val="Compact"/>
              <w:jc w:val="right"/>
            </w:pPr>
            <w:r>
              <w:t xml:space="preserve">0.993</w:t>
            </w:r>
          </w:p>
        </w:tc>
        <w:tc>
          <w:tcPr/>
          <w:p>
            <w:pPr>
              <w:pStyle w:val="Compact"/>
              <w:jc w:val="right"/>
            </w:pPr>
            <m:oMath>
              <m:r>
                <m:rPr>
                  <m:sty m:val="p"/>
                </m:rPr>
                <m:t>−</m:t>
              </m:r>
              <m:r>
                <m:t>5.3</m:t>
              </m:r>
              <m:r>
                <m:rPr>
                  <m:sty m:val="p"/>
                </m:rPr>
                <m:t>×</m:t>
              </m:r>
              <m:sSup>
                <m:e>
                  <m:r>
                    <m:t>10</m:t>
                  </m:r>
                </m:e>
                <m:sup>
                  <m:r>
                    <m:rPr>
                      <m:sty m:val="p"/>
                    </m:rPr>
                    <m:t>−</m:t>
                  </m:r>
                  <m:r>
                    <m:t>4</m:t>
                  </m:r>
                </m:sup>
              </m:sSup>
            </m:oMath>
          </w:p>
        </w:tc>
      </w:tr>
      <w:tr>
        <w:tc>
          <w:tcPr/>
          <w:p>
            <w:pPr>
              <w:pStyle w:val="Compact"/>
              <w:jc w:val="right"/>
            </w:pPr>
            <w:r>
              <w:t xml:space="preserve">10.0</w:t>
            </w:r>
          </w:p>
        </w:tc>
        <w:tc>
          <w:tcPr/>
          <w:p>
            <w:pPr>
              <w:pStyle w:val="Compact"/>
              <w:jc w:val="right"/>
            </w:pPr>
            <w:r>
              <w:t xml:space="preserve">0.701</w:t>
            </w:r>
          </w:p>
        </w:tc>
        <w:tc>
          <w:tcPr/>
          <w:p>
            <w:pPr>
              <w:pStyle w:val="Compact"/>
              <w:jc w:val="right"/>
            </w:pPr>
            <w:r>
              <w:t xml:space="preserve">[0.686, 0.717]</w:t>
            </w:r>
          </w:p>
        </w:tc>
        <w:tc>
          <w:tcPr/>
          <w:p>
            <w:pPr>
              <w:pStyle w:val="Compact"/>
              <w:jc w:val="right"/>
            </w:pPr>
            <m:oMath>
              <m:r>
                <m:rPr>
                  <m:sty m:val="p"/>
                </m:rPr>
                <m:t>&lt;</m:t>
              </m:r>
              <m:sSup>
                <m:e>
                  <m:r>
                    <m:t>10</m:t>
                  </m:r>
                </m:e>
                <m:sup>
                  <m:r>
                    <m:rPr>
                      <m:sty m:val="p"/>
                    </m:rPr>
                    <m:t>−</m:t>
                  </m:r>
                  <m:r>
                    <m:t>200</m:t>
                  </m:r>
                </m:sup>
              </m:sSup>
            </m:oMath>
          </w:p>
        </w:tc>
        <w:tc>
          <w:tcPr/>
          <w:p>
            <w:pPr>
              <w:pStyle w:val="Compact"/>
              <w:jc w:val="right"/>
            </w:pPr>
            <w:r>
              <w:t xml:space="preserve">1.020</w:t>
            </w:r>
          </w:p>
        </w:tc>
        <w:tc>
          <w:tcPr/>
          <w:p>
            <w:pPr>
              <w:pStyle w:val="Compact"/>
              <w:jc w:val="right"/>
            </w:pPr>
            <m:oMath>
              <m:r>
                <m:t>3.2</m:t>
              </m:r>
              <m:r>
                <m:rPr>
                  <m:sty m:val="p"/>
                </m:rPr>
                <m:t>×</m:t>
              </m:r>
              <m:sSup>
                <m:e>
                  <m:r>
                    <m:t>10</m:t>
                  </m:r>
                </m:e>
                <m:sup>
                  <m:r>
                    <m:rPr>
                      <m:sty m:val="p"/>
                    </m:rPr>
                    <m:t>−</m:t>
                  </m:r>
                  <m:r>
                    <m:t>4</m:t>
                  </m:r>
                </m:sup>
              </m:sSup>
            </m:oMath>
          </w:p>
        </w:tc>
      </w:tr>
      <w:tr>
        <w:tc>
          <w:tcPr/>
          <w:p>
            <w:pPr>
              <w:pStyle w:val="Compact"/>
              <w:jc w:val="right"/>
            </w:pPr>
            <w:r>
              <w:t xml:space="preserve">20.0</w:t>
            </w:r>
          </w:p>
        </w:tc>
        <w:tc>
          <w:tcPr/>
          <w:p>
            <w:pPr>
              <w:pStyle w:val="Compact"/>
              <w:jc w:val="right"/>
            </w:pPr>
            <w:r>
              <w:t xml:space="preserve">0.551</w:t>
            </w:r>
          </w:p>
        </w:tc>
        <w:tc>
          <w:tcPr/>
          <w:p>
            <w:pPr>
              <w:pStyle w:val="Compact"/>
              <w:jc w:val="right"/>
            </w:pPr>
            <w:r>
              <w:t xml:space="preserve">[0.539, 0.564]</w:t>
            </w:r>
          </w:p>
        </w:tc>
        <w:tc>
          <w:tcPr/>
          <w:p>
            <w:pPr>
              <w:pStyle w:val="Compact"/>
              <w:jc w:val="right"/>
            </w:pPr>
            <m:oMath>
              <m:r>
                <m:rPr>
                  <m:sty m:val="p"/>
                </m:rPr>
                <m:t>&lt;</m:t>
              </m:r>
              <m:sSup>
                <m:e>
                  <m:r>
                    <m:t>10</m:t>
                  </m:r>
                </m:e>
                <m:sup>
                  <m:r>
                    <m:rPr>
                      <m:sty m:val="p"/>
                    </m:rPr>
                    <m:t>−</m:t>
                  </m:r>
                  <m:r>
                    <m:t>300</m:t>
                  </m:r>
                </m:sup>
              </m:sSup>
            </m:oMath>
          </w:p>
        </w:tc>
        <w:tc>
          <w:tcPr/>
          <w:p>
            <w:pPr>
              <w:pStyle w:val="Compact"/>
              <w:jc w:val="right"/>
            </w:pPr>
            <w:r>
              <w:t xml:space="preserve">1.024</w:t>
            </w:r>
          </w:p>
        </w:tc>
        <w:tc>
          <w:tcPr/>
          <w:p>
            <w:pPr>
              <w:pStyle w:val="Compact"/>
              <w:jc w:val="right"/>
            </w:pPr>
            <m:oMath>
              <m:r>
                <m:rPr>
                  <m:sty m:val="p"/>
                </m:rPr>
                <m:t>−</m:t>
              </m:r>
              <m:r>
                <m:t>1.6</m:t>
              </m:r>
              <m:r>
                <m:rPr>
                  <m:sty m:val="p"/>
                </m:rPr>
                <m:t>×</m:t>
              </m:r>
              <m:sSup>
                <m:e>
                  <m:r>
                    <m:t>10</m:t>
                  </m:r>
                </m:e>
                <m:sup>
                  <m:r>
                    <m:rPr>
                      <m:sty m:val="p"/>
                    </m:rPr>
                    <m:t>−</m:t>
                  </m:r>
                  <m:r>
                    <m:t>4</m:t>
                  </m:r>
                </m:sup>
              </m:sSup>
            </m:oMath>
          </w:p>
        </w:tc>
      </w:tr>
    </w:tbl>
    <w:bookmarkEnd w:id="78"/>
    <w:bookmarkStart w:id="82" w:name="fig:cox_bias_hr"/>
    <w:p>
      <w:pPr>
        <w:pStyle w:val="CaptionedFigure"/>
      </w:pPr>
      <w:r>
        <w:drawing>
          <wp:inline>
            <wp:extent cx="5334000" cy="3975680"/>
            <wp:effectExtent b="0" l="0" r="0" t="0"/>
            <wp:docPr descr="Figure 3. Cox regression produces spurious non-null hazard ratios under a synthetic null as frailty heterogeneity increases. Hazard ratios (with 95% confidence intervals) from Cox proportional hazards regression comparing cohort B to cohort A in simulations where the true treatment effect is identically zero and cohorts differ only in frailty variance (\theta). Deviations from HR=1 arise solely from frailty-driven depletion and associated non-proportional hazards." title="" id="80" name="Picture"/>
            <a:graphic>
              <a:graphicData uri="http://schemas.openxmlformats.org/drawingml/2006/picture">
                <pic:pic>
                  <pic:nvPicPr>
                    <pic:cNvPr descr="figures/fig_cox_bias_hr_vs_theta.png" id="81" name="Picture"/>
                    <pic:cNvPicPr>
                      <a:picLocks noChangeArrowheads="1" noChangeAspect="1"/>
                    </pic:cNvPicPr>
                  </pic:nvPicPr>
                  <pic:blipFill>
                    <a:blip r:embed="rId79"/>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3. Cox regression produces spurious non-null hazard ratios under a</w:t>
      </w:r>
      <w:r>
        <w:t xml:space="preserve"> </w:t>
      </w:r>
      <w:r>
        <w:rPr>
          <w:i/>
          <w:iCs/>
        </w:rPr>
        <w:t xml:space="preserve">synthetic null</w:t>
      </w:r>
      <w:r>
        <w:t xml:space="preserve"> </w:t>
      </w:r>
      <w:r>
        <w:t xml:space="preserve">as frailty heterogeneity increases. Hazard ratios (with 95% confidence intervals) from Cox proportional hazards regression comparing cohort B to cohort A in simulations where the true treatment effect is identically zero and cohorts differ only in frailty variance (</w:t>
      </w:r>
      <m:oMath>
        <m:r>
          <m:t>θ</m:t>
        </m:r>
      </m:oMath>
      <w:r>
        <w:t xml:space="preserve">). Deviations from HR=1 arise solely from frailty-driven depletion and associated non-proportional hazards.</w:t>
      </w:r>
    </w:p>
    <w:bookmarkEnd w:id="82"/>
    <w:bookmarkStart w:id="86" w:name="fig:cox_bias_kcor"/>
    <w:p>
      <w:pPr>
        <w:pStyle w:val="CaptionedFigure"/>
      </w:pPr>
      <w:r>
        <w:drawing>
          <wp:inline>
            <wp:extent cx="5334000" cy="3975680"/>
            <wp:effectExtent b="0" l="0" r="0" t="0"/>
            <wp:docPr descr="Figure 4. KCOR(t) remains null under a synthetic null across increasing frailty heterogeneity. KCOR(t) asymptotes remain near 1 across \theta in the same simulations, consistent with correct null behavior after depletion normalization." title="" id="84" name="Picture"/>
            <a:graphic>
              <a:graphicData uri="http://schemas.openxmlformats.org/drawingml/2006/picture">
                <pic:pic>
                  <pic:nvPicPr>
                    <pic:cNvPr descr="figures/fig_cox_bias_kcor_vs_theta.png" id="85" name="Picture"/>
                    <pic:cNvPicPr>
                      <a:picLocks noChangeArrowheads="1" noChangeAspect="1"/>
                    </pic:cNvPicPr>
                  </pic:nvPicPr>
                  <pic:blipFill>
                    <a:blip r:embed="rId83"/>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4. KCOR(t) remains null under a synthetic null across increasing frailty heterogeneity. KCOR(t) asymptotes remain near 1 across</w:t>
      </w:r>
      <w:r>
        <w:t xml:space="preserve"> </w:t>
      </w:r>
      <m:oMath>
        <m:r>
          <m:t>θ</m:t>
        </m:r>
      </m:oMath>
      <w:r>
        <w:t xml:space="preserve"> </w:t>
      </w:r>
      <w:r>
        <w:t xml:space="preserve">in the same simulations, consistent with correct null behavior after depletion normalization.</w:t>
      </w:r>
    </w:p>
    <w:bookmarkEnd w:id="86"/>
    <w:p>
      <w:pPr>
        <w:pStyle w:val="BodyText"/>
      </w:pPr>
      <w:r>
        <w:rPr>
          <w:b/>
          <w:bCs/>
        </w:rPr>
        <w:t xml:space="preserve">Interpretation.</w:t>
      </w:r>
    </w:p>
    <w:p>
      <w:pPr>
        <w:pStyle w:val="BodyText"/>
      </w:pPr>
      <w:r>
        <w:t xml:space="preserve">This demonstration shows that Cox proportional hazards regression can report highly statistically significant non-null hazard ratios—even when the true treatment effect is identically zero—solely due to frailty-induced depletion (e.g.,</w:t>
      </w:r>
      <w:r>
        <w:t xml:space="preserve"> </w:t>
      </w:r>
      <m:oMath>
        <m:r>
          <m:t>p</m:t>
        </m:r>
        <m:r>
          <m:rPr>
            <m:sty m:val="p"/>
          </m:rPr>
          <m:t>&lt;</m:t>
        </m:r>
        <m:sSup>
          <m:e>
            <m:r>
              <m:t>10</m:t>
            </m:r>
          </m:e>
          <m:sup>
            <m:r>
              <m:rPr>
                <m:sty m:val="p"/>
              </m:rPr>
              <m:t>−</m:t>
            </m:r>
            <m:r>
              <m:t>300</m:t>
            </m:r>
          </m:sup>
        </m:sSup>
      </m:oMath>
      <w:r>
        <w:t xml:space="preserve"> </w:t>
      </w:r>
      <w:r>
        <w:t xml:space="preserve">at</w:t>
      </w:r>
      <w:r>
        <w:t xml:space="preserve"> </w:t>
      </w:r>
      <m:oMath>
        <m:r>
          <m:t>θ</m:t>
        </m:r>
        <m:r>
          <m:rPr>
            <m:sty m:val="p"/>
          </m:rPr>
          <m:t>=</m:t>
        </m:r>
        <m:r>
          <m:t>20</m:t>
        </m:r>
      </m:oMath>
      <w:r>
        <w:t xml:space="preserve">), with the magnitude and direction of the apparent effect depending on follow-up horizon, not any causal signal. KCOR, by explicitly normalizing depletion geometry in cumulative-hazard space, correctly returns a null result under the same conditions, with KCOR(t) remaining centered near unity with negligible post-normalization slope across all frailty variance values. This controlled example motivates the use of KCOR for retrospective vaccine studies, where frailty heterogeneity and non-proportional hazards are expected to be substantial.</w:t>
      </w:r>
    </w:p>
    <w:p>
      <w:pPr>
        <w:pStyle w:val="BodyText"/>
      </w:pPr>
      <w:r>
        <w:t xml:space="preserve">This synthetic null isolates depletion-driven non-proportionality as a sufficient cause of strongly non-null Cox estimates, motivating cumulative-hazard–based normalization when selection-induced curvature is present.</w:t>
      </w:r>
    </w:p>
    <w:bookmarkEnd w:id="87"/>
    <w:bookmarkStart w:id="88" w:name="X66e05337efe17185a8c68bb3f932f10416d81dc"/>
    <w:p>
      <w:pPr>
        <w:pStyle w:val="Heading4"/>
      </w:pPr>
      <w:r>
        <w:t xml:space="preserve">2.11.2 Relation to other approaches addressing selection effects</w:t>
      </w:r>
    </w:p>
    <w:p>
      <w:pPr>
        <w:pStyle w:val="FirstParagraph"/>
      </w:pPr>
      <w:r>
        <w:t xml:space="preserve">Several existing approaches, including inverse-probability weighting, marginal structural models, and joint frailty formulations, aim to mitigate selection bias in observational survival analyses. These methods rely on explicit modeling of treatment assignment or hazard structure and generally operate in instantaneous-hazard space. KCOR differs in focusing directly on depletion geometry in cumulative-hazard space and enforcing diagnostic checks that signal loss of identifiability when normalization fails. A full head-to-head empirical comparison across all model families is beyond scope of this methods manuscript; however, we explicitly contrast estimands, assumptions, and failure modes in §1.5 and we provide controlled demonstrations (including a synthetic null) showing that Cox-type estimators can return strongly non-null hazard ratios under frailty-driven depletion with no treatment effect, whereas KCOR remains near-null under the same conditions. This is the specific geometry KCOR targets: depletion-induced non-proportionality in cumulative-hazard space.</w:t>
      </w:r>
    </w:p>
    <w:bookmarkEnd w:id="88"/>
    <w:bookmarkEnd w:id="89"/>
    <w:bookmarkStart w:id="90" w:name="worked-example-descriptive"/>
    <w:p>
      <w:pPr>
        <w:pStyle w:val="Heading3"/>
      </w:pPr>
      <w:r>
        <w:t xml:space="preserve">2.12 Worked example (descriptive)</w:t>
      </w:r>
    </w:p>
    <w:p>
      <w:pPr>
        <w:pStyle w:val="FirstParagraph"/>
      </w:pPr>
      <w:r>
        <w:t xml:space="preserve">We include a brief worked example to illustrate the KCOR workflow end-to-end. This example is descriptive and intended solely to demonstrate the mechanics of cohort construction, hazard estimation, frailty fitting, depletion normalization, and KCOR computation, without supporting causal interpretation.</w:t>
      </w:r>
    </w:p>
    <w:p>
      <w:pPr>
        <w:pStyle w:val="BodyText"/>
      </w:pPr>
      <w:r>
        <w:t xml:space="preserve">The example proceeds from aggregated cohort counts through cumulative-hazard estimation, quiet-window frailty fitting, gamma inversion, and KCOR(t) construction, accompanied by diagnostic plots assessing post-normalization linearity and parameter stability.</w:t>
      </w:r>
    </w:p>
    <w:bookmarkEnd w:id="90"/>
    <w:bookmarkStart w:id="91" w:name="reproducibility"/>
    <w:p>
      <w:pPr>
        <w:pStyle w:val="Heading3"/>
      </w:pPr>
      <w:r>
        <w:t xml:space="preserve">2.13 Reproducibility</w:t>
      </w:r>
    </w:p>
    <w:p>
      <w:pPr>
        <w:pStyle w:val="FirstParagraph"/>
      </w:pPr>
      <w:r>
        <w:t xml:space="preserve">All figures, tables, and simulations in this manuscript can be reproduced from the accompanying code repository. The repository includes scripts to regenerate simulations, figures, and tables using fixed random seeds, together with documentation of software versions and runtime requirements. Commands and execution order are provided in the repository README.</w:t>
      </w:r>
    </w:p>
    <w:bookmarkEnd w:id="91"/>
    <w:bookmarkStart w:id="92" w:name="Xa0be048657ba0efd1a2331f2daf077c6c3d64f9"/>
    <w:p>
      <w:pPr>
        <w:pStyle w:val="Heading3"/>
      </w:pPr>
      <w:r>
        <w:t xml:space="preserve">2.14 Computational implementation and reproducibility</w:t>
      </w:r>
    </w:p>
    <w:p>
      <w:pPr>
        <w:pStyle w:val="FirstParagraph"/>
      </w:pPr>
      <w:r>
        <w:t xml:space="preserve">Analyses were implemented in Python and are fully reproducible from the public repository and archived release (see Code/Data Availability). The repository includes scripts to (i) generate synthetic cohorts and simulation grids, (ii) compute KCOR and comparator estimators, and (iii) regenerate all tables and figures in this manuscript.</w:t>
      </w:r>
    </w:p>
    <w:p>
      <w:pPr>
        <w:pStyle w:val="BodyText"/>
      </w:pPr>
      <w:r>
        <w:rPr>
          <w:b/>
          <w:bCs/>
        </w:rPr>
        <w:t xml:space="preserve">Environment.</w:t>
      </w:r>
      <w:r>
        <w:t xml:space="preserve"> </w:t>
      </w:r>
      <w:r>
        <w:t xml:space="preserve">Python 3.11; key dependencies include numpy, scipy, pandas, and lifelines (for Cox-model comparisons), with plotting via matplotlib.</w:t>
      </w:r>
    </w:p>
    <w:p>
      <w:pPr>
        <w:pStyle w:val="BodyText"/>
      </w:pPr>
      <w:r>
        <w:rPr>
          <w:b/>
          <w:bCs/>
        </w:rPr>
        <w:t xml:space="preserve">Compute requirements.</w:t>
      </w:r>
      <w:r>
        <w:t xml:space="preserve"> </w:t>
      </w:r>
      <w:r>
        <w:t xml:space="preserve">The full simulation grid reproduces in approximately 1 hour 26 minutes on a 20-core CPU with 128 GB RAM; smaller subsets reproduce in minutes.</w:t>
      </w:r>
    </w:p>
    <w:p>
      <w:pPr>
        <w:pStyle w:val="BodyText"/>
      </w:pPr>
      <w:r>
        <w:rPr>
          <w:b/>
          <w:bCs/>
        </w:rPr>
        <w:t xml:space="preserve">Reproduction.</w:t>
      </w:r>
      <w:r>
        <w:t xml:space="preserve"> </w:t>
      </w:r>
      <w:r>
        <w:t xml:space="preserve">Running</w:t>
      </w:r>
      <w:r>
        <w:t xml:space="preserve"> </w:t>
      </w:r>
      <w:r>
        <w:rPr>
          <w:rStyle w:val="VerbatimChar"/>
        </w:rPr>
        <w:t xml:space="preserve">make paper</w:t>
      </w:r>
      <w:r>
        <w:t xml:space="preserve"> </w:t>
      </w:r>
      <w:r>
        <w:t xml:space="preserve">(or the repository’s top-level build command) regenerates all artifacts from a clean checkout.</w:t>
      </w:r>
    </w:p>
    <w:bookmarkEnd w:id="92"/>
    <w:bookmarkEnd w:id="93"/>
    <w:bookmarkStart w:id="147"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20"/>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20"/>
        </w:numPr>
      </w:pPr>
      <w:r>
        <w:rPr>
          <w:b/>
          <w:bCs/>
        </w:rPr>
        <w:t xml:space="preserve">Positive controls (detect injected effects):</w:t>
      </w:r>
      <w:r>
        <w:t xml:space="preserve"> </w:t>
      </w:r>
      <w:r>
        <w:t xml:space="preserve">when known harm/benefit is injected into otherwise-null data, KCOR reliably detects it.</w:t>
      </w:r>
    </w:p>
    <w:p>
      <w:pPr>
        <w:pStyle w:val="FirstParagraph"/>
      </w:pPr>
      <w:r>
        <w:t xml:space="preserve">Throughout, curvature in cumulative hazard plots reflects selection-induced depletion, while linearity after normalization indicates successful removal of that curvature.</w:t>
      </w:r>
    </w:p>
    <w:bookmarkStart w:id="110" w:name="X250d2743dd947cd04209f9dc9cf02b545517230"/>
    <w:p>
      <w:pPr>
        <w:pStyle w:val="Heading3"/>
      </w:pPr>
      <w:r>
        <w:t xml:space="preserve">3.1 Negative controls: null under selection-induced curvature</w:t>
      </w:r>
    </w:p>
    <w:bookmarkStart w:id="99"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21"/>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21"/>
        </w:numPr>
      </w:pPr>
      <w:r>
        <w:t xml:space="preserve">Two cohorts have different frailty variance</w:t>
      </w:r>
      <w:r>
        <w:t xml:space="preserve"> </w:t>
      </w:r>
      <m:oMath>
        <m:r>
          <m:t>θ</m:t>
        </m:r>
      </m:oMath>
      <w:r>
        <w:t xml:space="preserve"> </w:t>
      </w:r>
      <w:r>
        <w:t xml:space="preserve">(or different selection rules), creating different cohort-level curvature in observed cohort hazards.</w:t>
      </w:r>
    </w:p>
    <w:p>
      <w:pPr>
        <w:pStyle w:val="Compact"/>
        <w:numPr>
          <w:ilvl w:val="0"/>
          <w:numId w:val="1021"/>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during quiet periods and applying gamma-frailty inversion, KCOR should remain approximately constant at 1 over follow-up.</w:t>
      </w:r>
    </w:p>
    <w:bookmarkStart w:id="98"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22"/>
        </w:numPr>
      </w:pPr>
      <w:r>
        <w:t xml:space="preserve">Time unit: weeks.</w:t>
      </w:r>
    </w:p>
    <w:p>
      <w:pPr>
        <w:pStyle w:val="Compact"/>
        <w:numPr>
          <w:ilvl w:val="0"/>
          <w:numId w:val="1022"/>
        </w:numPr>
      </w:pPr>
      <w:r>
        <w:t xml:space="preserve">Baseline hazard is constant during quiet periods; choose a baseline level</w:t>
      </w:r>
      <w:r>
        <w:t xml:space="preserve"> </w:t>
      </w:r>
      <m:oMath>
        <m:r>
          <m:t>k</m:t>
        </m:r>
      </m:oMath>
      <w:r>
        <w:t xml:space="preserve"> </w:t>
      </w:r>
      <w:r>
        <w:t xml:space="preserve">in the chosen time units.</w:t>
      </w:r>
    </w:p>
    <w:p>
      <w:pPr>
        <w:pStyle w:val="Compact"/>
        <w:numPr>
          <w:ilvl w:val="0"/>
          <w:numId w:val="1022"/>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22"/>
        </w:numPr>
      </w:pPr>
      <w:r>
        <w:t xml:space="preserve">Cohort B:</w:t>
      </w:r>
      <w:r>
        <w:t xml:space="preserve"> </w:t>
      </w:r>
      <m:oMath>
        <m:sSub>
          <m:e>
            <m:r>
              <m:t>θ</m:t>
            </m:r>
          </m:e>
          <m:sub>
            <m:r>
              <m:t>B</m:t>
            </m:r>
          </m:sub>
        </m:sSub>
        <m:r>
          <m:rPr>
            <m:sty m:val="p"/>
          </m:rPr>
          <m:t>&gt;</m:t>
        </m:r>
        <m:r>
          <m:t>0</m:t>
        </m:r>
      </m:oMath>
      <w:r>
        <w:t xml:space="preserve"> </w:t>
      </w:r>
      <w:r>
        <w:t xml:space="preserve">(weaker depletion).</w:t>
      </w:r>
    </w:p>
    <w:p>
      <w:pPr>
        <w:pStyle w:val="FirstParagraph"/>
      </w:pPr>
      <w:r>
        <w:t xml:space="preserve">Figure 5 shows this construction.</w:t>
      </w:r>
    </w:p>
    <w:bookmarkStart w:id="97" w:name="fig:neg_control_synthetic"/>
    <w:p>
      <w:pPr>
        <w:pStyle w:val="CaptionedFigure"/>
      </w:pPr>
      <w:r>
        <w:drawing>
          <wp:inline>
            <wp:extent cx="5334000" cy="3852333"/>
            <wp:effectExtent b="0" l="0" r="0" t="0"/>
            <wp:docPr descr="Figure 5. Synthetic negative control under strong selection (different curvature) but no effect: KCOR(t) remains flat at 1. Top panel shows cohort hazards with different frailty-mixture weights inducing different curvature. Bottom panel shows KCOR(t) remaining near 1.0 after normalization, demonstrating successful depletion-neutralization under the null." title="" id="95" name="Picture"/>
            <a:graphic>
              <a:graphicData uri="http://schemas.openxmlformats.org/drawingml/2006/picture">
                <pic:pic>
                  <pic:nvPicPr>
                    <pic:cNvPr descr="figures/fig_neg_control_synthetic.png" id="96" name="Picture"/>
                    <pic:cNvPicPr>
                      <a:picLocks noChangeArrowheads="1" noChangeAspect="1"/>
                    </pic:cNvPicPr>
                  </pic:nvPicPr>
                  <pic:blipFill>
                    <a:blip r:embed="rId94"/>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5. Synthetic negative control under strong selection (different curvature) but no effect: KCOR(t) remains flat at 1. Top panel shows cohort hazards with different frailty-mixture weights inducing different curvature. Bottom panel shows KCOR(t) remaining near 1.0 after normalization, demonstrating successful depletion-neutralization under the null.</w:t>
      </w:r>
    </w:p>
    <w:bookmarkEnd w:id="97"/>
    <w:bookmarkEnd w:id="98"/>
    <w:bookmarkEnd w:id="99"/>
    <w:bookmarkStart w:id="109"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 KCOR(t) trajectories are consistent with the estimator normalizing selection-induced depletion curvature without introducing spurious time trends or cumulative drift.</w:t>
      </w:r>
    </w:p>
    <w:p>
      <w:pPr>
        <w:pStyle w:val="BodyText"/>
      </w:pPr>
      <w:r>
        <w:t xml:space="preserve">For the empirical age-shift negative control (Figures 6 and 7), we use aggregated weekly cohort summaries derived from the Czech Republic administrative mortality and vaccination dataset and exported in KCOR_CMR format.</w:t>
      </w:r>
    </w:p>
    <w:p>
      <w:pPr>
        <w:pStyle w:val="BodyText"/>
      </w:pPr>
      <w:r>
        <w:t xml:space="preserve">Notably, KCOR estimates frailty parameters independently for each cohort without knowledge of exposure status; the observed asymmetry in depletion correction arises entirely from differences in hazard curvature rather than from any vaccination-specific assumptions.</w:t>
      </w:r>
    </w:p>
    <w:p>
      <w:pPr>
        <w:pStyle w:val="BodyText"/>
      </w:pPr>
      <w:r>
        <w:t xml:space="preserve">Two snapshots illustrate that KCOR is near-flat even under 10–20 year age differences:</w:t>
      </w:r>
    </w:p>
    <w:bookmarkStart w:id="103" w:name="fig:neg_control_10yr"/>
    <w:p>
      <w:pPr>
        <w:pStyle w:val="CaptionedFigure"/>
      </w:pPr>
      <w:r>
        <w:drawing>
          <wp:inline>
            <wp:extent cx="5334000" cy="2773680"/>
            <wp:effectExtent b="0" l="0" r="0" t="0"/>
            <wp:docPr descr="Figure 6. Empirical negative control with approximately 10-year age difference between cohorts. Despite large baseline mortality differences, KCOR(t) remains near-flat at 1 over follow-up, consistent with a true null effect. Data source: Czech Republic mortality and vaccination dataset processed into KCOR_CMR aggregated format (negative-control construction; see Appendix B.2).12" title="" id="101" name="Picture"/>
            <a:graphic>
              <a:graphicData uri="http://schemas.openxmlformats.org/drawingml/2006/picture">
                <pic:pic>
                  <pic:nvPicPr>
                    <pic:cNvPr descr="figures/fig2_neg_control_10yr_age_diff.png" id="102" name="Picture"/>
                    <pic:cNvPicPr>
                      <a:picLocks noChangeArrowheads="1" noChangeAspect="1"/>
                    </pic:cNvPicPr>
                  </pic:nvPicPr>
                  <pic:blipFill>
                    <a:blip r:embed="rId100"/>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6. Empirical negative control with approximately 10-year age difference between cohorts. Despite large baseline mortality differences, KCOR(t) remains near-flat at 1 over follow-up, consistent with a true null effect. Data source: Czech Republic mortality and vaccination dataset processed into KCOR_CMR aggregated format (negative-control construction; see Appendix B.2).</w:t>
      </w:r>
      <w:r>
        <w:rPr>
          <w:vertAlign w:val="superscript"/>
        </w:rPr>
        <w:t xml:space="preserve">12</w:t>
      </w:r>
    </w:p>
    <w:bookmarkEnd w:id="103"/>
    <w:bookmarkStart w:id="107" w:name="fig:neg_control_20yr"/>
    <w:p>
      <w:pPr>
        <w:pStyle w:val="CaptionedFigure"/>
      </w:pPr>
      <w:r>
        <w:drawing>
          <wp:inline>
            <wp:extent cx="5334000" cy="2810466"/>
            <wp:effectExtent b="0" l="0" r="0" t="0"/>
            <wp:docPr descr="Figure 7. Empirical negative control with approximately 20-year age difference between cohorts. Even under extreme composition differences, KCOR(t) exhibits no systematic drift, demonstrating robustness to selection-induced curvature. Data source: Czech Republic mortality and vaccination dataset processed into KCOR_CMR aggregated format (negative-control construction; see Appendix B.2)." title="" id="105" name="Picture"/>
            <a:graphic>
              <a:graphicData uri="http://schemas.openxmlformats.org/drawingml/2006/picture">
                <pic:pic>
                  <pic:nvPicPr>
                    <pic:cNvPr descr="figures/fig3_neg_control_20yr_age_diff.png" id="106" name="Picture"/>
                    <pic:cNvPicPr>
                      <a:picLocks noChangeArrowheads="1" noChangeAspect="1"/>
                    </pic:cNvPicPr>
                  </pic:nvPicPr>
                  <pic:blipFill>
                    <a:blip r:embed="rId104"/>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7. Empirical negative control with approximately 20-year age difference between cohorts. Even under extreme composition differences, KCOR(t) exhibits no systematic drift, demonstrating robustness to selection-induced curvature. Data source: Czech Republic mortality and vaccination dataset processed into KCOR_CMR aggregated format (negative-control construction; see Appendix B.2).</w:t>
      </w:r>
    </w:p>
    <w:bookmarkEnd w:id="107"/>
    <w:p>
      <w:pPr>
        <w:pStyle w:val="BodyText"/>
      </w:pPr>
      <w:r>
        <w:t xml:space="preserve">Table 7 provides numeric summaries.</w:t>
      </w:r>
    </w:p>
    <w:bookmarkStart w:id="108" w:name="tbl:neg_control_summary"/>
    <w:p>
      <w:pPr>
        <w:pStyle w:val="TableCaption"/>
      </w:pPr>
      <w:r>
        <w:t xml:space="preserve">Table 7. Example end-of-window KCOR(t) values from the empirical negative control (pooled/ASMR summaries), showing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7. Example end-of-window KCOR(t) values from the empirical negative control (pooled/ASMR summaries), show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108"/>
    <w:bookmarkEnd w:id="109"/>
    <w:bookmarkEnd w:id="110"/>
    <w:bookmarkStart w:id="117"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bookmarkStart w:id="111" w:name="eq:pos-control-injection"/>
    <w:p>
      <w:pPr>
        <w:pStyle w:val="BodyText"/>
      </w:pPr>
      <w:pPr>
        <w:tabs>
          <w:tab w:val="center" w:leader="none" w:pos="4680"/>
          <w:tab w:val="right" w:leader="none" w:pos="9360"/>
        </w:tabs>
      </w:pPr>
      <w:r>
        <w:tab/>
      </w:r>
      <w:r>
        <w:t xml:space="preserve"> </w:t>
      </w: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oMath>
      <w:r>
        <w:t xml:space="preserve"> </w:t>
      </w:r>
      <w:r>
        <w:tab/>
      </w:r>
      <w:r>
        <w:t xml:space="preserve"> </w:t>
      </w:r>
      <m:oMath>
        <m:r>
          <m:rPr>
            <m:sty m:val="p"/>
          </m:rPr>
          <m:t>(</m:t>
        </m:r>
        <m:r>
          <m:t>15</m:t>
        </m:r>
        <m:r>
          <m:rPr>
            <m:sty m:val="p"/>
          </m:rPr>
          <m:t>)</m:t>
        </m:r>
      </m:oMath>
    </w:p>
    <w:bookmarkEnd w:id="111"/>
    <w:p>
      <w:pPr>
        <w:pStyle w:val="BodyText"/>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 Figure 8 and Table 8 confirm this behavior.</w:t>
      </w:r>
    </w:p>
    <w:bookmarkStart w:id="115" w:name="fig:pos_control_injected"/>
    <w:p>
      <w:pPr>
        <w:pStyle w:val="CaptionedFigure"/>
      </w:pPr>
      <w:r>
        <w:drawing>
          <wp:inline>
            <wp:extent cx="5334000" cy="4253184"/>
            <wp:effectExtent b="0" l="0" r="0" t="0"/>
            <wp:docPr descr="Figure 8.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 title="" id="113" name="Picture"/>
            <a:graphic>
              <a:graphicData uri="http://schemas.openxmlformats.org/drawingml/2006/picture">
                <pic:pic>
                  <pic:nvPicPr>
                    <pic:cNvPr descr="figures/fig_pos_control_injected.png" id="114" name="Picture"/>
                    <pic:cNvPicPr>
                      <a:picLocks noChangeArrowheads="1" noChangeAspect="1"/>
                    </pic:cNvPicPr>
                  </pic:nvPicPr>
                  <pic:blipFill>
                    <a:blip r:embed="rId112"/>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8.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w:t>
      </w:r>
    </w:p>
    <w:bookmarkEnd w:id="115"/>
    <w:bookmarkStart w:id="116" w:name="tbl:pos_control_summary"/>
    <w:p>
      <w:pPr>
        <w:pStyle w:val="TableCaption"/>
      </w:pPr>
      <w:r>
        <w:t xml:space="preserve">Table 8.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8.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 KCOR 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116"/>
    <w:bookmarkEnd w:id="117"/>
    <w:bookmarkStart w:id="122"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23"/>
        </w:numPr>
      </w:pPr>
      <w:r>
        <w:t xml:space="preserve">Quiet-window selection (calendar ISO-week bounds)</w:t>
      </w:r>
    </w:p>
    <w:p>
      <w:pPr>
        <w:pStyle w:val="Compact"/>
        <w:numPr>
          <w:ilvl w:val="0"/>
          <w:numId w:val="1023"/>
        </w:numPr>
      </w:pPr>
      <w:r>
        <w:t xml:space="preserve">Stabilization skip (early-bin handling)</w:t>
      </w:r>
    </w:p>
    <w:p>
      <w:pPr>
        <w:pStyle w:val="Compact"/>
        <w:numPr>
          <w:ilvl w:val="0"/>
          <w:numId w:val="1023"/>
        </w:numPr>
      </w:pPr>
      <w:r>
        <w:t xml:space="preserve">Time-binning resolution</w:t>
      </w:r>
    </w:p>
    <w:p>
      <w:pPr>
        <w:pStyle w:val="Compact"/>
        <w:numPr>
          <w:ilvl w:val="0"/>
          <w:numId w:val="1023"/>
        </w:numPr>
      </w:pPr>
      <w:r>
        <w:t xml:space="preserve">Age stratification and/or stratified analyses where appropriate</w:t>
      </w:r>
    </w:p>
    <w:p>
      <w:pPr>
        <w:pStyle w:val="Compact"/>
        <w:numPr>
          <w:ilvl w:val="0"/>
          <w:numId w:val="1023"/>
        </w:numPr>
      </w:pPr>
      <w:r>
        <w:t xml:space="preserve">Baseline shape choice (default constant baseline over the fit window; alternatives can be assessed as sensitivity)</w:t>
      </w:r>
    </w:p>
    <w:p>
      <w:pPr>
        <w:pStyle w:val="FirstParagraph"/>
      </w:pPr>
      <w:r>
        <w:t xml:space="preserve">Figure 9 summarizes KCOR stability across the parameter grid.</w:t>
      </w:r>
    </w:p>
    <w:bookmarkStart w:id="121" w:name="fig:sensitivity_overview"/>
    <w:p>
      <w:pPr>
        <w:pStyle w:val="CaptionedFigure"/>
      </w:pPr>
      <w:r>
        <w:drawing>
          <wp:inline>
            <wp:extent cx="5334000" cy="1571483"/>
            <wp:effectExtent b="0" l="0" r="0" t="0"/>
            <wp:docPr descr="Figure 9. Sensitivity analysis summary showing KCOR(t) values across parameter grid. Heatmaps display KCOR(t) estimates for different combinations of baseline weeks (rows) and quiet-window start offsets (columns). Across all comparisons, KCOR varies smoothly and modestly across a wide range of quiet-start offsets and baseline window lengths, with no qualitative changes in sign or magnitude, indicating robustness to reasonable parameter choices. All panels use a unified color scale centered at 1.0 to enable direct visual comparison across dose comparisons." title="" id="119" name="Picture"/>
            <a:graphic>
              <a:graphicData uri="http://schemas.openxmlformats.org/drawingml/2006/picture">
                <pic:pic>
                  <pic:nvPicPr>
                    <pic:cNvPr descr="figures/fig_sensitivity_overview.png" id="120" name="Picture"/>
                    <pic:cNvPicPr>
                      <a:picLocks noChangeArrowheads="1" noChangeAspect="1"/>
                    </pic:cNvPicPr>
                  </pic:nvPicPr>
                  <pic:blipFill>
                    <a:blip r:embed="rId118"/>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9. Sensitivity analysis summary showing KCOR(t) values across parameter grid. Heatmaps display KCOR(t) estimates for different combinations of baseline weeks (rows) and quiet-window start offsets (columns). Across all comparisons, KCOR varies smoothly and modestly across a wide range of quiet-start offsets and baseline window lengths, with no qualitative changes in sign or magnitude, indicating robustness to reasonable parameter choices. All panels use a unified color scale centered at 1.0 to enable direct visual comparison across dose comparisons.</w:t>
      </w:r>
    </w:p>
    <w:bookmarkEnd w:id="121"/>
    <w:p>
      <w:pPr>
        <w:pStyle w:val="BodyText"/>
      </w:pPr>
      <w:r>
        <w:t xml:space="preserve">Across all tested parameter ranges, KCOR(t) values remained within approximately ±5% of unity, indicating stability under reasonable variations in fitting choices.</w:t>
      </w:r>
    </w:p>
    <w:bookmarkEnd w:id="122"/>
    <w:bookmarkStart w:id="144" w:name="Xc4d8adb0ad5f1ae7badc4f43956d4ea2b8d625b"/>
    <w:p>
      <w:pPr>
        <w:pStyle w:val="Heading3"/>
      </w:pPr>
      <w:r>
        <w:t xml:space="preserve">3.4 Simulation grid: operating characteristics and failure-mode diagnostics</w:t>
      </w:r>
    </w:p>
    <w:p>
      <w:pPr>
        <w:pStyle w:val="FirstParagraph"/>
      </w:pPr>
      <w:r>
        <w:t xml:space="preserve">Simulation studies are structured according to the ADEMP framework: aims (assessing robustness to selection-induced depletion), data-generating mechanisms (frailty heterogeneity with controlled selection and external hazard structure), estimands (cumulative hazard contrasts for KCOR; method-specific contrasts for comparators), methods (KCOR and selected competing approaches), and performance measures (bias, variance, stability across time, and diagnostic failure detection).</w:t>
      </w:r>
    </w:p>
    <w:p>
      <w:pPr>
        <w:pStyle w:val="BodyText"/>
      </w:pPr>
      <w:r>
        <w:t xml:space="preserve">We further evaluate KCOR using a compact simulation grid designed to (i) confirm near-null behavior under selection-induced curvature, (ii) confirm detection of injected effects, and (iii) characterize failure modes and diagnostics under model misspecification and adverse data regimes. Each scenario generates cohort-level weekly counts in KCOR_CMR format. KCOR is then fit using the same prespecified quiet-window procedure as in the empirical analyses, and we report both KCOR(t) trajectories and diagnostic summaries, including cumulative-hazard fit error and post-normalization linearity. The scenarios isolate specific stresses, including non-gamma frailty, contamination of the quiet window by an external shock, sparse events,</w:t>
      </w:r>
      <w:r>
        <w:t xml:space="preserve"> </w:t>
      </w:r>
      <w:r>
        <w:rPr>
          <w:b/>
          <w:bCs/>
        </w:rPr>
        <w:t xml:space="preserve">joint frailty and treatment effects (S7)</w:t>
      </w:r>
      <w:r>
        <w:t xml:space="preserve">, and</w:t>
      </w:r>
      <w:r>
        <w:t xml:space="preserve"> </w:t>
      </w:r>
      <w:r>
        <w:rPr>
          <w:b/>
          <w:bCs/>
        </w:rPr>
        <w:t xml:space="preserve">tail-sampling / bimodal selection</w:t>
      </w:r>
      <w:r>
        <w:t xml:space="preserve"> </w:t>
      </w:r>
      <w:r>
        <w:t xml:space="preserve">(cohorts drawn from different parts of the same underlying frailty distribution, e.g., vaccinated sampled from mid-quantiles; unvaccinated from low+high tails, producing non-gamma mixture geometry at the cohort level). Code to reproduce all simulations and figures is included in the repository.</w:t>
      </w:r>
      <w:r>
        <w:t xml:space="preserve"> </w:t>
      </w:r>
      <w:r>
        <w:rPr>
          <w:i/>
          <w:iCs/>
        </w:rPr>
        <w:t xml:space="preserve">Near-flat</w:t>
      </w:r>
      <w:r>
        <w:t xml:space="preserve"> </w:t>
      </w:r>
      <w:r>
        <w:t xml:space="preserve">is defined operationally as median KCOR(t) remaining within ±5% of unity over the diagnostic window (weeks 20–100), excluding early transients. These findings are consistent with the conceptual discussion of RMST in §1.3.2, which emphasizes that RMST does not remove selection-induced depletion. See Figures 10 and 11 below.</w:t>
      </w:r>
    </w:p>
    <w:p>
      <w:pPr>
        <w:pStyle w:val="BodyText"/>
      </w:pPr>
      <w:r>
        <w:rPr>
          <w:b/>
          <w:bCs/>
        </w:rPr>
        <w:t xml:space="preserve">Joint frailty and treatment-effect simulation (S7).</w:t>
      </w:r>
      <w:r>
        <w:br/>
      </w:r>
      <w:r>
        <w:t xml:space="preserve">Figure 12 summarizes results from the S7 simulation, in which cohorts differ in frailty-driven depletion dynamics and a known treatment effect is introduced in a separate time window. Frailty parameters are estimated exclusively during a prespecified quiet window, and KCOR normalization is then applied to the full follow-up period.</w:t>
      </w:r>
    </w:p>
    <w:p>
      <w:pPr>
        <w:pStyle w:val="BodyText"/>
      </w:pPr>
      <w:r>
        <w:t xml:space="preserve">When the quiet window and treatment window are temporally separable, KCOR exhibits the expected behavior under identifiable conditions: KCOR</w:t>
      </w:r>
      <m:oMath>
        <m:r>
          <m:rPr>
            <m:sty m:val="p"/>
          </m:rPr>
          <m:t>(</m:t>
        </m:r>
        <m:r>
          <m:t>t</m:t>
        </m:r>
        <m:r>
          <m:rPr>
            <m:sty m:val="p"/>
          </m:rPr>
          <m:t>)</m:t>
        </m:r>
      </m:oMath>
      <w:r>
        <w:t xml:space="preserve"> </w:t>
      </w:r>
      <w:r>
        <w:t xml:space="preserve">remains approximately flat and near unity throughout the quiet window, indicating successful identification and removal of selection-induced depletion curvature, and deviates from unity only during the treatment window, in the correct direction and with magnitude consistent with the injected effect (harm or benefit). This behavior holds across multiple effect shapes (step, ramp, smooth pulse) and effect magnitudes.</w:t>
      </w:r>
    </w:p>
    <w:p>
      <w:pPr>
        <w:pStyle w:val="BodyText"/>
      </w:pPr>
      <w:r>
        <w:t xml:space="preserve">S7 also includes an intentional violation of temporal separability in which the treatment window overlaps the quiet window. In this overlap variant, KCOR(t) trajectories no longer stabilize during the nominal quiet period, and fit diagnostics degrade (Figure 13), including increased cumulative-hazard fit error and reduced post-normalization linearity. In these cases, KCOR(t) does not produce a spurious treatment signal; instead, diagnostics correctly indicate that the assumptions required for interpretable normalization are violated.</w:t>
      </w:r>
    </w:p>
    <w:p>
      <w:pPr>
        <w:pStyle w:val="BodyText"/>
      </w:pPr>
      <w:r>
        <w:t xml:space="preserve">Together, these results demonstrate KCOR’s operating characteristics under joint selection and treatment dynamics: when selection-induced depletion and treatment effects are sufficiently separable in time, KCOR can disentangle the two mechanisms; when they are not, the method fails transparently via its diagnostics rather than silently misattributing curvature.</w:t>
      </w:r>
    </w:p>
    <w:p>
      <w:pPr>
        <w:pStyle w:val="BodyText"/>
      </w:pPr>
      <w:r>
        <w:t xml:space="preserve">The tail-sampling scenario is included because it can confound frailty-driven depletion with cohort construction in ways not captured by a single gamma frailty distribution. The goal is not to force KCOR to</w:t>
      </w:r>
      <w:r>
        <w:t xml:space="preserve"> </w:t>
      </w:r>
      <w:r>
        <w:t xml:space="preserve">‘succeed’</w:t>
      </w:r>
      <w:r>
        <w:t xml:space="preserve"> </w:t>
      </w:r>
      <w:r>
        <w:t xml:space="preserve">under arbitrary misspecification, but to quantify operating characteristics: when the gamma depletion model is misspecified, KCOR should either (i) remain approximately unbiased in later windows (if the misspecification is mild in cumulative-hazard geometry), or (ii) visibly degrade via its diagnostics (poor</w:t>
      </w:r>
      <w:r>
        <w:t xml:space="preserve"> </w:t>
      </w:r>
      <m:oMath>
        <m:r>
          <m:t>H</m:t>
        </m:r>
      </m:oMath>
      <w:r>
        <w:t xml:space="preserve">-space fit, post-normalization nonlinearity, parameter instability), flagging that depletion-neutralization is unreliable without model generalization.</w:t>
      </w:r>
    </w:p>
    <w:bookmarkStart w:id="126" w:name="fig:sim_grid_overview"/>
    <w:p>
      <w:pPr>
        <w:pStyle w:val="CaptionedFigure"/>
      </w:pPr>
      <w:r>
        <w:drawing>
          <wp:inline>
            <wp:extent cx="5334000" cy="4247078"/>
            <wp:effectExtent b="0" l="0" r="0" t="0"/>
            <wp:docPr descr="Figure 10. Simulation grid overview: KCOR(t) trajectories across prespecified scenarios, including gamma-frailty null with strong selection, injected hazard increase and decrease, non-gamma frailty, quiet-window contamination, and sparse-event regimes. Under true null, KCOR(t) remains near-flat at 1; injected effects are detected in the expected direction; adverse regimes are accompanied by degraded diagnostics and reduced interpretability." title="" id="124" name="Picture"/>
            <a:graphic>
              <a:graphicData uri="http://schemas.openxmlformats.org/drawingml/2006/picture">
                <pic:pic>
                  <pic:nvPicPr>
                    <pic:cNvPr descr="figures/fig_sim_grid_overview.png" id="125" name="Picture"/>
                    <pic:cNvPicPr>
                      <a:picLocks noChangeArrowheads="1" noChangeAspect="1"/>
                    </pic:cNvPicPr>
                  </pic:nvPicPr>
                  <pic:blipFill>
                    <a:blip r:embed="rId123"/>
                    <a:stretch>
                      <a:fillRect/>
                    </a:stretch>
                  </pic:blipFill>
                  <pic:spPr bwMode="auto">
                    <a:xfrm>
                      <a:off x="0" y="0"/>
                      <a:ext cx="5334000" cy="4247078"/>
                    </a:xfrm>
                    <a:prstGeom prst="rect">
                      <a:avLst/>
                    </a:prstGeom>
                    <a:noFill/>
                    <a:ln w="9525">
                      <a:noFill/>
                      <a:headEnd/>
                      <a:tailEnd/>
                    </a:ln>
                  </pic:spPr>
                </pic:pic>
              </a:graphicData>
            </a:graphic>
          </wp:inline>
        </w:drawing>
      </w:r>
    </w:p>
    <w:p>
      <w:pPr>
        <w:pStyle w:val="ImageCaption"/>
      </w:pPr>
      <w:r>
        <w:t xml:space="preserve">Figure 10. Simulation grid overview: KCOR(t) trajectories across prespecified scenarios, including gamma-frailty null with strong selection, injected hazard increase and decrease, non-gamma frailty, quiet-window contamination, and sparse-event regimes. Under true null, KCOR(t) remains near-flat at 1; injected effects are detected in the expected direction; adverse regimes are accompanied by degraded diagnostics and reduced interpretability.</w:t>
      </w:r>
    </w:p>
    <w:bookmarkEnd w:id="126"/>
    <w:bookmarkStart w:id="130" w:name="fig:sim_grid_diagnostics"/>
    <w:p>
      <w:pPr>
        <w:pStyle w:val="CaptionedFigure"/>
      </w:pPr>
      <w:r>
        <w:drawing>
          <wp:inline>
            <wp:extent cx="5334000" cy="2490038"/>
            <wp:effectExtent b="0" l="0" r="0" t="0"/>
            <wp:docPr descr="Figure 11.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 title="" id="128" name="Picture"/>
            <a:graphic>
              <a:graphicData uri="http://schemas.openxmlformats.org/drawingml/2006/picture">
                <pic:pic>
                  <pic:nvPicPr>
                    <pic:cNvPr descr="figures/fig_sim_grid_diagnostics.png" id="129" name="Picture"/>
                    <pic:cNvPicPr>
                      <a:picLocks noChangeArrowheads="1" noChangeAspect="1"/>
                    </pic:cNvPicPr>
                  </pic:nvPicPr>
                  <pic:blipFill>
                    <a:blip r:embed="rId127"/>
                    <a:stretch>
                      <a:fillRect/>
                    </a:stretch>
                  </pic:blipFill>
                  <pic:spPr bwMode="auto">
                    <a:xfrm>
                      <a:off x="0" y="0"/>
                      <a:ext cx="5334000" cy="2490038"/>
                    </a:xfrm>
                    <a:prstGeom prst="rect">
                      <a:avLst/>
                    </a:prstGeom>
                    <a:noFill/>
                    <a:ln w="9525">
                      <a:noFill/>
                      <a:headEnd/>
                      <a:tailEnd/>
                    </a:ln>
                  </pic:spPr>
                </pic:pic>
              </a:graphicData>
            </a:graphic>
          </wp:inline>
        </w:drawing>
      </w:r>
    </w:p>
    <w:p>
      <w:pPr>
        <w:pStyle w:val="ImageCaption"/>
      </w:pPr>
      <w:r>
        <w:t xml:space="preserve">Figure 11.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w:t>
      </w:r>
    </w:p>
    <w:bookmarkEnd w:id="130"/>
    <w:bookmarkStart w:id="134" w:name="fig:s7_overview"/>
    <w:p>
      <w:pPr>
        <w:pStyle w:val="CaptionedFigure"/>
      </w:pPr>
      <w:r>
        <w:drawing>
          <wp:inline>
            <wp:extent cx="5334000" cy="1391685"/>
            <wp:effectExtent b="0" l="0" r="0" t="0"/>
            <wp:docPr descr="Figure 12. S7 simulation results: 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KCOR remains approximately flat during the quiet window and deviates only during the effect window when temporal separability holds. The overlap variant is included to demonstrate failure-mode behavior and should not be interpreted as a valid application regime for KCOR." title="" id="132" name="Picture"/>
            <a:graphic>
              <a:graphicData uri="http://schemas.openxmlformats.org/drawingml/2006/picture">
                <pic:pic>
                  <pic:nvPicPr>
                    <pic:cNvPr descr="figures/fig_s7_overview.png" id="133" name="Picture"/>
                    <pic:cNvPicPr>
                      <a:picLocks noChangeArrowheads="1" noChangeAspect="1"/>
                    </pic:cNvPicPr>
                  </pic:nvPicPr>
                  <pic:blipFill>
                    <a:blip r:embed="rId131"/>
                    <a:stretch>
                      <a:fillRect/>
                    </a:stretch>
                  </pic:blipFill>
                  <pic:spPr bwMode="auto">
                    <a:xfrm>
                      <a:off x="0" y="0"/>
                      <a:ext cx="5334000" cy="1391685"/>
                    </a:xfrm>
                    <a:prstGeom prst="rect">
                      <a:avLst/>
                    </a:prstGeom>
                    <a:noFill/>
                    <a:ln w="9525">
                      <a:noFill/>
                      <a:headEnd/>
                      <a:tailEnd/>
                    </a:ln>
                  </pic:spPr>
                </pic:pic>
              </a:graphicData>
            </a:graphic>
          </wp:inline>
        </w:drawing>
      </w:r>
    </w:p>
    <w:p>
      <w:pPr>
        <w:pStyle w:val="ImageCaption"/>
      </w:pPr>
      <w:r>
        <w:t xml:space="preserve">Figure 12. S7 simulation results: 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KCOR remains approximately flat during the quiet window and deviates only during the effect window when temporal separability holds. The overlap variant is included to demonstrate failure-mode behavior and should not be interpreted as a valid application regime for KCOR.</w:t>
      </w:r>
    </w:p>
    <w:bookmarkEnd w:id="134"/>
    <w:bookmarkStart w:id="138" w:name="fig:s7_diagnostics"/>
    <w:p>
      <w:pPr>
        <w:pStyle w:val="CaptionedFigure"/>
      </w:pPr>
      <w:r>
        <w:drawing>
          <wp:inline>
            <wp:extent cx="5334000" cy="4431300"/>
            <wp:effectExtent b="0" l="0" r="0" t="0"/>
            <wp:docPr descr="Figure 13. S7 simulation diagnostics: Fitted frailty variance parameters (\theta_0, \theta_1), fit quality (RMSE), and convergence status across S7 scenarios. The overlap variant shows degraded fit quality, correctly signaling violation of temporal separability assumptions." title="" id="136" name="Picture"/>
            <a:graphic>
              <a:graphicData uri="http://schemas.openxmlformats.org/drawingml/2006/picture">
                <pic:pic>
                  <pic:nvPicPr>
                    <pic:cNvPr descr="figures/fig_s7_diagnostics.png" id="137" name="Picture"/>
                    <pic:cNvPicPr>
                      <a:picLocks noChangeArrowheads="1" noChangeAspect="1"/>
                    </pic:cNvPicPr>
                  </pic:nvPicPr>
                  <pic:blipFill>
                    <a:blip r:embed="rId135"/>
                    <a:stretch>
                      <a:fillRect/>
                    </a:stretch>
                  </pic:blipFill>
                  <pic:spPr bwMode="auto">
                    <a:xfrm>
                      <a:off x="0" y="0"/>
                      <a:ext cx="5334000" cy="4431300"/>
                    </a:xfrm>
                    <a:prstGeom prst="rect">
                      <a:avLst/>
                    </a:prstGeom>
                    <a:noFill/>
                    <a:ln w="9525">
                      <a:noFill/>
                      <a:headEnd/>
                      <a:tailEnd/>
                    </a:ln>
                  </pic:spPr>
                </pic:pic>
              </a:graphicData>
            </a:graphic>
          </wp:inline>
        </w:drawing>
      </w:r>
    </w:p>
    <w:p>
      <w:pPr>
        <w:pStyle w:val="ImageCaption"/>
      </w:pPr>
      <w:r>
        <w:t xml:space="preserve">Figure 13. S7 simulation diagnostics: Fitted frailty variance parameters (</w:t>
      </w:r>
      <m:oMath>
        <m:sSub>
          <m:e>
            <m:r>
              <m:t>θ</m:t>
            </m:r>
          </m:e>
          <m:sub>
            <m:r>
              <m:t>0</m:t>
            </m:r>
          </m:sub>
        </m:sSub>
      </m:oMath>
      <w:r>
        <w:t xml:space="preserve">,</w:t>
      </w:r>
      <w:r>
        <w:t xml:space="preserve"> </w:t>
      </w:r>
      <m:oMath>
        <m:sSub>
          <m:e>
            <m:r>
              <m:t>θ</m:t>
            </m:r>
          </m:e>
          <m:sub>
            <m:r>
              <m:t>1</m:t>
            </m:r>
          </m:sub>
        </m:sSub>
      </m:oMath>
      <w:r>
        <w:t xml:space="preserve">), fit quality (RMSE), and convergence status across S7 scenarios. The overlap variant shows degraded fit quality, correctly signaling violation of temporal separability assumptions.</w:t>
      </w:r>
    </w:p>
    <w:bookmarkEnd w:id="138"/>
    <w:bookmarkStart w:id="142" w:name="fig:skip_weeks_sensitivity"/>
    <w:p>
      <w:pPr>
        <w:pStyle w:val="CaptionedFigure"/>
      </w:pPr>
      <w:r>
        <w:drawing>
          <wp:inline>
            <wp:extent cx="5334000" cy="3170886"/>
            <wp:effectExtent b="0" l="0" r="0" t="0"/>
            <wp:docPr descr="Figure 14. Skip-window sensitivity illustrates dynamic selection effects in early follow-up. KCOR(t) computed on the same fixed-cohort comparison using skip windows of 0, 4, and 8 weeks. Early-time departures that attenuate with larger skip windows are consistent with dynamic selection immediately following cohort entry; later-time behavior is comparatively stable." title="" id="140" name="Picture"/>
            <a:graphic>
              <a:graphicData uri="http://schemas.openxmlformats.org/drawingml/2006/picture">
                <pic:pic>
                  <pic:nvPicPr>
                    <pic:cNvPr descr="figures/fig_skip_weeks_sensitivity.png" id="141" name="Picture"/>
                    <pic:cNvPicPr>
                      <a:picLocks noChangeArrowheads="1" noChangeAspect="1"/>
                    </pic:cNvPicPr>
                  </pic:nvPicPr>
                  <pic:blipFill>
                    <a:blip r:embed="rId139"/>
                    <a:stretch>
                      <a:fillRect/>
                    </a:stretch>
                  </pic:blipFill>
                  <pic:spPr bwMode="auto">
                    <a:xfrm>
                      <a:off x="0" y="0"/>
                      <a:ext cx="5334000" cy="3170886"/>
                    </a:xfrm>
                    <a:prstGeom prst="rect">
                      <a:avLst/>
                    </a:prstGeom>
                    <a:noFill/>
                    <a:ln w="9525">
                      <a:noFill/>
                      <a:headEnd/>
                      <a:tailEnd/>
                    </a:ln>
                  </pic:spPr>
                </pic:pic>
              </a:graphicData>
            </a:graphic>
          </wp:inline>
        </w:drawing>
      </w:r>
    </w:p>
    <w:p>
      <w:pPr>
        <w:pStyle w:val="ImageCaption"/>
      </w:pPr>
      <w:r>
        <w:t xml:space="preserve">Figure 14. Skip-window sensitivity illustrates dynamic selection effects in early follow-up. KCOR(t) computed on the same fixed-cohort comparison using skip windows of 0, 4, and 8 weeks. Early-time departures that attenuate with larger skip windows are consistent with dynamic selection immediately following cohort entry; later-time behavior is comparatively stable.</w:t>
      </w:r>
    </w:p>
    <w:bookmarkEnd w:id="142"/>
    <w:p>
      <w:pPr>
        <w:pStyle w:val="BodyText"/>
      </w:pPr>
      <w:r>
        <w:rPr>
          <w:b/>
          <w:bCs/>
        </w:rPr>
        <w:t xml:space="preserve">Comparison with alternative estimands.</w:t>
      </w:r>
      <w:r>
        <w:br/>
      </w:r>
      <w:r>
        <w:t xml:space="preserve">Table 9 summarizes KCOR, Cox, and RMST behavior under the same simulation settings. We compare KCOR with restricted mean survival time (RMST) and time-varying Cox regression on the same simulation outputs. To make the comparison explicit, we computed RMST up to τ for the same simulation settings. As shown in Table 9, RMST inherits depletion-induced bias in selection-only regimes because it aggregates survival differences produced by differential depletion, even when the true treatment effect is null. RMST summarizes survival experience up to a prespecified horizon but inherits depletion-induced bias from the underlying survival curves, as survival functions reflect populations whose composition evolves differently over time across cohorts under selection-induced frailty heterogeneity. Time-varying Cox models improve fit to non-proportional hazards but do not normalize selection geometry; they capture time-varying hazard ratios without removing depletion-induced curvature. KCOR remains stable under selection-only regimes because normalization precedes comparison: frailty parameters are estimated during quiet windows and used to invert observed cumulative hazards into depletion-neutralized baseline cumulative hazards prior to cohort contrast. This comparison emphasizes that KCOR targets a specific estimand—cumulative hazard ratios after depletion normalization—rather than claiming global superiority over alternative methods.</w:t>
      </w:r>
    </w:p>
    <w:p>
      <w:pPr>
        <w:pStyle w:val="BodyText"/>
      </w:pPr>
      <w:r>
        <w:rPr>
          <w:b/>
          <w:bCs/>
        </w:rPr>
        <w:t xml:space="preserve">Simulation evaluation followed an ADEMP structure</w:t>
      </w:r>
      <w:r>
        <w:t xml:space="preserve">: the</w:t>
      </w:r>
      <w:r>
        <w:t xml:space="preserve"> </w:t>
      </w:r>
      <w:r>
        <w:rPr>
          <w:i/>
          <w:iCs/>
        </w:rPr>
        <w:t xml:space="preserve">aim</w:t>
      </w:r>
      <w:r>
        <w:t xml:space="preserve"> </w:t>
      </w:r>
      <w:r>
        <w:t xml:space="preserve">was to assess robustness to selection-induced depletion;</w:t>
      </w:r>
      <w:r>
        <w:t xml:space="preserve"> </w:t>
      </w:r>
      <w:r>
        <w:rPr>
          <w:i/>
          <w:iCs/>
        </w:rPr>
        <w:t xml:space="preserve">data-generating mechanisms</w:t>
      </w:r>
      <w:r>
        <w:t xml:space="preserve"> </w:t>
      </w:r>
      <w:r>
        <w:t xml:space="preserve">varied frailty heterogeneity and selection strength under both null and non-null conditions;</w:t>
      </w:r>
      <w:r>
        <w:t xml:space="preserve"> </w:t>
      </w:r>
      <w:r>
        <w:rPr>
          <w:i/>
          <w:iCs/>
        </w:rPr>
        <w:t xml:space="preserve">estimands</w:t>
      </w:r>
      <w:r>
        <w:t xml:space="preserve"> </w:t>
      </w:r>
      <w:r>
        <w:t xml:space="preserve">were method-specific (KCOR, RMST, and time-varying Cox);</w:t>
      </w:r>
      <w:r>
        <w:t xml:space="preserve"> </w:t>
      </w:r>
      <w:r>
        <w:rPr>
          <w:i/>
          <w:iCs/>
        </w:rPr>
        <w:t xml:space="preserve">methods</w:t>
      </w:r>
      <w:r>
        <w:t xml:space="preserve"> </w:t>
      </w:r>
      <w:r>
        <w:t xml:space="preserve">were applied to identical simulated datasets; and</w:t>
      </w:r>
      <w:r>
        <w:t xml:space="preserve"> </w:t>
      </w:r>
      <w:r>
        <w:rPr>
          <w:i/>
          <w:iCs/>
        </w:rPr>
        <w:t xml:space="preserve">performance</w:t>
      </w:r>
      <w:r>
        <w:t xml:space="preserve"> </w:t>
      </w:r>
      <w:r>
        <w:t xml:space="preserve">was assessed via deviation from the null, trajectory stability, and interpretability under known selection structure. Under selection-only scenarios, KCOR remained centered near the null with low instability, whereas RMST and time-varying Cox exhibited systematic non-null behavior that increased with depletion strength, consistent with inherited selection effects rather than true signal (Table 9).</w:t>
      </w:r>
    </w:p>
    <w:p>
      <w:pPr>
        <w:pStyle w:val="BodyText"/>
      </w:pPr>
      <w:r>
        <w:t xml:space="preserve">In simulations where apparent effects arise solely from selection-induced depletion, KCOR was the only method to remain stable and near-null, while RMST and time-varying Cox produced non-null contrasts that varied with frailty strength, reflecting residual depletion geometry rather than causal signal (Table 9). Across selection-only scenarios, KCOR was the only estimand whose median deviation from the null remained approximately zero across the full frailty grid, whereas RMST and time-varying Cox produced systematic non-null contrasts that increased with frailty strength (Table 9).</w:t>
      </w:r>
    </w:p>
    <w:bookmarkStart w:id="143" w:name="tbl:comparison_estimands"/>
    <w:p>
      <w:pPr>
        <w:pStyle w:val="TableCaption"/>
      </w:pPr>
      <w:r>
        <w:t xml:space="preserve">Table 9.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 All methods were applied to identical simulation outputs.</w:t>
      </w:r>
    </w:p>
    <w:tbl>
      <w:tblPr>
        <w:tblStyle w:val="Table"/>
        <w:tblW w:type="pct" w:w="5000"/>
        <w:tblLayout w:type="fixed"/>
        <w:tblLook w:firstRow="1" w:lastRow="0" w:firstColumn="0" w:lastColumn="0" w:noHBand="0" w:noVBand="0" w:val="0020"/>
        <w:tblCaption w:val="Table 9.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 All methods were applied to identical simulation outputs."/>
      </w:tblPr>
      <w:tblGrid>
        <w:gridCol w:w="627"/>
        <w:gridCol w:w="1254"/>
        <w:gridCol w:w="2509"/>
        <w:gridCol w:w="1646"/>
        <w:gridCol w:w="1881"/>
      </w:tblGrid>
      <w:tr>
        <w:trPr>
          <w:tblHeader w:val="on"/>
        </w:trPr>
        <w:tc>
          <w:tcPr/>
          <w:p>
            <w:pPr>
              <w:pStyle w:val="Compact"/>
            </w:pPr>
            <w:r>
              <w:t xml:space="preserve">Method</w:t>
            </w:r>
          </w:p>
        </w:tc>
        <w:tc>
          <w:tcPr/>
          <w:p>
            <w:pPr>
              <w:pStyle w:val="Compact"/>
            </w:pPr>
            <w:r>
              <w:t xml:space="preserve">Target estimand</w:t>
            </w:r>
          </w:p>
        </w:tc>
        <w:tc>
          <w:tcPr/>
          <w:p>
            <w:pPr>
              <w:pStyle w:val="Compact"/>
            </w:pPr>
            <w:r>
              <w:t xml:space="preserve">Deviation from null (selection-only scenarios)</w:t>
            </w:r>
          </w:p>
        </w:tc>
        <w:tc>
          <w:tcPr/>
          <w:p>
            <w:pPr>
              <w:pStyle w:val="Compact"/>
            </w:pPr>
            <w:r>
              <w:t xml:space="preserve">Variance/instability</w:t>
            </w:r>
          </w:p>
        </w:tc>
        <w:tc>
          <w:tcPr/>
          <w:p>
            <w:pPr>
              <w:pStyle w:val="Compact"/>
            </w:pPr>
            <w:r>
              <w:t xml:space="preserve">Interpretability notes</w:t>
            </w:r>
          </w:p>
        </w:tc>
      </w:tr>
      <w:tr>
        <w:tc>
          <w:tcPr/>
          <w:p>
            <w:pPr>
              <w:pStyle w:val="Compact"/>
            </w:pPr>
            <w:r>
              <w:rPr>
                <w:b/>
                <w:bCs/>
              </w:rPr>
              <w:t xml:space="preserve">KCOR</w:t>
            </w:r>
          </w:p>
        </w:tc>
        <w:tc>
          <w:tcPr/>
          <w:p>
            <w:pPr>
              <w:pStyle w:val="Compact"/>
            </w:pPr>
            <w:r>
              <w:t xml:space="preserve">Cumulative hazard ratio (depletion-normalized)</w:t>
            </w:r>
          </w:p>
        </w:tc>
        <w:tc>
          <w:tcPr/>
          <w:p>
            <w:pPr>
              <w:pStyle w:val="Compact"/>
            </w:pPr>
            <w:r>
              <w:t xml:space="preserve">Near zero (median KCOR ≈ 1.0)</w:t>
            </w:r>
          </w:p>
        </w:tc>
        <w:tc>
          <w:tcPr/>
          <w:p>
            <w:pPr>
              <w:pStyle w:val="Compact"/>
            </w:pPr>
            <w:r>
              <w:t xml:space="preserve">Low (stable trajectory)</w:t>
            </w:r>
          </w:p>
        </w:tc>
        <w:tc>
          <w:tcPr/>
          <w:p>
            <w:pPr>
              <w:pStyle w:val="Compact"/>
            </w:pPr>
            <w:r>
              <w:t xml:space="preserve">Stable under selection-induced depletion; normalization precedes comparison</w:t>
            </w:r>
          </w:p>
        </w:tc>
      </w:tr>
      <w:tr>
        <w:tc>
          <w:tcPr/>
          <w:p>
            <w:pPr>
              <w:pStyle w:val="Compact"/>
            </w:pPr>
            <w:r>
              <w:rPr>
                <w:b/>
                <w:bCs/>
              </w:rPr>
              <w:t xml:space="preserve">RMST</w:t>
            </w:r>
          </w:p>
        </w:tc>
        <w:tc>
          <w:tcPr/>
          <w:p>
            <w:pPr>
              <w:pStyle w:val="Compact"/>
            </w:pPr>
            <w:r>
              <w:t xml:space="preserve">Restricted mean survival time</w:t>
            </w:r>
          </w:p>
        </w:tc>
        <w:tc>
          <w:tcPr/>
          <w:p>
            <w:pPr>
              <w:pStyle w:val="Compact"/>
            </w:pPr>
            <w:r>
              <w:t xml:space="preserve">Non-zero (depends on depletion strength)</w:t>
            </w:r>
          </w:p>
        </w:tc>
        <w:tc>
          <w:tcPr/>
          <w:p>
            <w:pPr>
              <w:pStyle w:val="Compact"/>
            </w:pPr>
            <w:r>
              <w:t xml:space="preserve">Moderate (depends on depletion strength)</w:t>
            </w:r>
          </w:p>
        </w:tc>
        <w:tc>
          <w:tcPr/>
          <w:p>
            <w:pPr>
              <w:pStyle w:val="Compact"/>
            </w:pPr>
            <w:r>
              <w:t xml:space="preserve">Inherits depletion bias from survival curves; does not normalize selection geometry</w:t>
            </w:r>
          </w:p>
        </w:tc>
      </w:tr>
      <w:tr>
        <w:tc>
          <w:tcPr/>
          <w:p>
            <w:pPr>
              <w:pStyle w:val="Compact"/>
            </w:pPr>
            <w:r>
              <w:rPr>
                <w:b/>
                <w:bCs/>
              </w:rPr>
              <w:t xml:space="preserve">Cox (time-varying)</w:t>
            </w:r>
            <w:r>
              <w:t xml:space="preserve"> </w:t>
            </w:r>
            <w:r>
              <w:t xml:space="preserve">(diagnostic comparator)</w:t>
            </w:r>
          </w:p>
        </w:tc>
        <w:tc>
          <w:tcPr/>
          <w:p>
            <w:pPr>
              <w:pStyle w:val="Compact"/>
            </w:pPr>
            <w:r>
              <w:t xml:space="preserve">Time-varying hazard ratio</w:t>
            </w:r>
          </w:p>
        </w:tc>
        <w:tc>
          <w:tcPr/>
          <w:p>
            <w:pPr>
              <w:pStyle w:val="Compact"/>
            </w:pPr>
            <w:r>
              <w:t xml:space="preserve">Non-zero under frailty heterogeneity</w:t>
            </w:r>
          </w:p>
        </w:tc>
        <w:tc>
          <w:tcPr/>
          <w:p>
            <w:pPr>
              <w:pStyle w:val="Compact"/>
            </w:pPr>
            <w:r>
              <w:t xml:space="preserve">Moderate (HR instability across time windows)</w:t>
            </w:r>
          </w:p>
        </w:tc>
        <w:tc>
          <w:tcPr/>
          <w:p>
            <w:pPr>
              <w:pStyle w:val="Compact"/>
            </w:pPr>
            <w:r>
              <w:t xml:space="preserve">Improves fit to non-proportional hazards but does not normalize selection geometry; inherits depletion structure</w:t>
            </w:r>
          </w:p>
        </w:tc>
      </w:tr>
    </w:tbl>
    <w:bookmarkEnd w:id="143"/>
    <w:bookmarkEnd w:id="144"/>
    <w:bookmarkStart w:id="145" w:name="dynamic-hve-diagnostic-tests"/>
    <w:p>
      <w:pPr>
        <w:pStyle w:val="Heading3"/>
      </w:pPr>
      <w:r>
        <w:t xml:space="preserve">3.5 Dynamic HVE diagnostic tests</w:t>
      </w:r>
    </w:p>
    <w:p>
      <w:pPr>
        <w:pStyle w:val="FirstParagraph"/>
      </w:pPr>
      <w:r>
        <w:t xml:space="preserve">Dynamic HVE refers to transient hazard suppression immediately after enrollment driven by short-horizon selection around intervention timing (e.g., deferral during illness). It produces a characteristic early-time pattern: an abrupt early reduction in observed hazard that decays over several weeks and is not explained by stable depletion curvature.</w:t>
      </w:r>
    </w:p>
    <w:p>
      <w:pPr>
        <w:pStyle w:val="BodyText"/>
      </w:pPr>
      <w:r>
        <w:rPr>
          <w:b/>
          <w:bCs/>
        </w:rPr>
        <w:t xml:space="preserve">Empirical signature in multi-dose settings (diagnostic, not proof).</w:t>
      </w:r>
      <w:r>
        <w:t xml:space="preserve"> </w:t>
      </w:r>
      <w:r>
        <w:t xml:space="preserve">When multiple</w:t>
      </w:r>
      <w:r>
        <w:t xml:space="preserve"> </w:t>
      </w:r>
      <w:r>
        <w:t xml:space="preserve">‘treatment intensities’</w:t>
      </w:r>
      <w:r>
        <w:t xml:space="preserve"> </w:t>
      </w:r>
      <w:r>
        <w:t xml:space="preserve">exist (e.g., dose-2 and dose-3 cohorts defined at enrollment), dynamic HVE should affect adjacent-dose cohorts similarly at early times because both enrollments are subject to the same short-horizon deferral mechanisms. Therefore, if early post-enrollment curvature is dominated by dynamic HVE, then early-time deviations in KCOR(t) versus the same comparator should show similar transient shapes across adjacent-dose cohorts. Conversely, if early-time behavior differs substantially across adjacent-dose cohorts while post-normalization quiet-window linearity holds, it is less consistent with a single shared dynamic deferral artifact.</w:t>
      </w:r>
    </w:p>
    <w:p>
      <w:pPr>
        <w:pStyle w:val="BodyText"/>
      </w:pPr>
      <w:r>
        <w:rPr>
          <w:b/>
          <w:bCs/>
        </w:rPr>
        <w:t xml:space="preserve">Simulation check.</w:t>
      </w:r>
      <w:r>
        <w:t xml:space="preserve"> </w:t>
      </w:r>
      <w:r>
        <w:t xml:space="preserve">We include simulations where a transient early hazard suppression is injected around enrollment (multiplying hazard by factor</w:t>
      </w:r>
      <w:r>
        <w:t xml:space="preserve"> </w:t>
      </w:r>
      <m:oMath>
        <m:r>
          <m:t>q</m:t>
        </m:r>
        <m:r>
          <m:rPr>
            <m:sty m:val="p"/>
          </m:rPr>
          <m:t>&lt;</m:t>
        </m:r>
        <m:r>
          <m:t>1</m:t>
        </m:r>
      </m:oMath>
      <w:r>
        <w:t xml:space="preserve"> </w:t>
      </w:r>
      <w:r>
        <w:t xml:space="preserve">for weeks 0–S), separately from gamma frailty depletion, and confirm that (i) the effect is attenuated/removed by prespecified skip weeks, and (ii) remaining KCOR(t) trajectories in later windows behave as expected under negative and positive controls.</w:t>
      </w:r>
    </w:p>
    <w:p>
      <w:pPr>
        <w:pStyle w:val="BodyText"/>
      </w:pPr>
      <w:r>
        <w:rPr>
          <w:b/>
          <w:bCs/>
        </w:rPr>
        <w:t xml:space="preserve">Skip-window sensitivity.</w:t>
      </w:r>
      <w:r>
        <w:t xml:space="preserve"> </w:t>
      </w:r>
      <w:r>
        <w:t xml:space="preserve">Figure 14 illustrates dynamic selection effects by comparing KCOR(t) computed on the same fixed-cohort comparison using skip windows of 0, 4, and 8 weeks. Early-time departures that attenuate with larger skip windows are consistent with dynamic selection immediately following cohort entry; later-time behavior is comparatively stable.</w:t>
      </w:r>
    </w:p>
    <w:bookmarkEnd w:id="145"/>
    <w:bookmarkStart w:id="146" w:name="illustrative-non-covid-example-synthetic"/>
    <w:p>
      <w:pPr>
        <w:pStyle w:val="Heading3"/>
      </w:pPr>
      <w:r>
        <w:t xml:space="preserve">3.6 Illustrative non-COVID example (synthetic)</w:t>
      </w:r>
    </w:p>
    <w:p>
      <w:pPr>
        <w:pStyle w:val="FirstParagraph"/>
      </w:pPr>
      <w:r>
        <w:t xml:space="preserve">To emphasize that KCOR is not specific to COVID-19 vaccination, we include a synthetic illustration motivated by elective intervention timing. Consider two cohorts defined by the timing of an elective medical procedure, where short-term deferral during acute illness induces selection into the later-treated cohort. Although no treatment effect is present by construction, the observed cumulative hazards differ due to selection-induced depletion.</w:t>
      </w:r>
    </w:p>
    <w:p>
      <w:pPr>
        <w:pStyle w:val="BodyText"/>
      </w:pPr>
      <w:r>
        <w:t xml:space="preserve">Applying KCOR to this setting removes curvature attributable to depletion and yields a flat post-normalization trajectory, with KCOR</w:t>
      </w:r>
      <m:oMath>
        <m:r>
          <m:rPr>
            <m:sty m:val="p"/>
          </m:rPr>
          <m:t>(</m:t>
        </m:r>
        <m:r>
          <m:t>t</m:t>
        </m:r>
        <m:r>
          <m:rPr>
            <m:sty m:val="p"/>
          </m:rPr>
          <m:t>)</m:t>
        </m:r>
      </m:oMath>
      <w:r>
        <w:t xml:space="preserve"> </w:t>
      </w:r>
      <w:r>
        <w:t xml:space="preserve">asymptoting to unity as expected under the null. This example demonstrates that KCOR applies generally to retrospective cohort comparisons affected by selection-induced hazard curvature, independent of disease area or intervention type.</w:t>
      </w:r>
    </w:p>
    <w:p>
      <w:pPr>
        <w:pStyle w:val="BodyText"/>
      </w:pPr>
      <w:r>
        <w:t xml:space="preserve">An applied illustration using Czech national records is provided in the Supplement to demonstrate end-to-end use of KCOR on administrative data; the primary validation in the main text is based on synthetic and empirical control experiments designed to probe failure modes.</w:t>
      </w:r>
    </w:p>
    <w:bookmarkEnd w:id="146"/>
    <w:bookmarkEnd w:id="147"/>
    <w:bookmarkStart w:id="153" w:name="discussion"/>
    <w:p>
      <w:pPr>
        <w:pStyle w:val="Heading2"/>
      </w:pPr>
      <w:r>
        <w:t xml:space="preserve">4. Discussion</w:t>
      </w:r>
    </w:p>
    <w:p>
      <w:pPr>
        <w:pStyle w:val="FirstParagraph"/>
      </w:pPr>
      <w:r>
        <w:t xml:space="preserve">In this discussion, KCOR is understood as a normalization-and-comparison framework designed to remove selection-induced depletion curvature in cumulative-hazard space and then report a cumulative cohort contrast (KCOR). It does not claim to identify a treatment-specific causal effect under arbitrary baseline and time-varying confounding, and it should be interpreted in conjunction with prespecified controls, diagnostics, and sensitivity analyses.</w:t>
      </w:r>
    </w:p>
    <w:p>
      <w:pPr>
        <w:pStyle w:val="BodyText"/>
      </w:pPr>
      <w:r>
        <w:rPr>
          <w:b/>
          <w:bCs/>
        </w:rPr>
        <w:t xml:space="preserve">What KCOR does not provide</w:t>
      </w:r>
    </w:p>
    <w:p>
      <w:pPr>
        <w:pStyle w:val="BodyText"/>
      </w:pPr>
      <w:r>
        <w:t xml:space="preserve">KCOR is designed to resolve a specific and otherwise unaddressed failure mode in retrospective analyses—selection-induced depletion under latent heterogeneity. Accordingly, KCOR does</w:t>
      </w:r>
      <w:r>
        <w:t xml:space="preserve"> </w:t>
      </w:r>
      <w:r>
        <w:rPr>
          <w:b/>
          <w:bCs/>
        </w:rPr>
        <w:t xml:space="preserve">not</w:t>
      </w:r>
      <w:r>
        <w:t xml:space="preserve"> </w:t>
      </w:r>
      <w:r>
        <w:t xml:space="preserve">by itself provide:</w:t>
      </w:r>
    </w:p>
    <w:p>
      <w:pPr>
        <w:pStyle w:val="BodyText"/>
      </w:pPr>
      <w:r>
        <w:t xml:space="preserve">• Policy optimization or cost-benefit analysis</w:t>
      </w:r>
      <w:r>
        <w:t xml:space="preserve"> </w:t>
      </w:r>
      <w:r>
        <w:t xml:space="preserve">• Transportability of effects across populations without additional assumptions</w:t>
      </w:r>
      <w:r>
        <w:t xml:space="preserve"> </w:t>
      </w:r>
      <w:r>
        <w:t xml:space="preserve">• Identification under unmeasured time-varying confounding unrelated to depletion dynamics</w:t>
      </w:r>
    </w:p>
    <w:p>
      <w:pPr>
        <w:pStyle w:val="BodyText"/>
      </w:pPr>
      <w:r>
        <w:t xml:space="preserve">These limitations are intrinsic to the data constraints KCOR is designed to operate under and do not detract from its role as a depletion-neutralized cohort comparison system.</w:t>
      </w:r>
    </w:p>
    <w:bookmarkStart w:id="148" w:name="X2b15ce1fa8c24db54c476cf8c57606fbe96819a"/>
    <w:p>
      <w:pPr>
        <w:pStyle w:val="Heading3"/>
      </w:pPr>
      <w:r>
        <w:t xml:space="preserve">Limits of attribution and non-identifiability</w:t>
      </w:r>
    </w:p>
    <w:p>
      <w:pPr>
        <w:pStyle w:val="FirstParagraph"/>
      </w:pPr>
      <w:r>
        <w:t xml:space="preserve">KCOR does not uniquely identify the biological, behavioral, or clinical mechanisms responsible for observed hazard heterogeneity. In particular, curvature in the cumulative hazard may arise from multiple sources, including selection on latent frailty, behavior change, seasonality, treatment effects, reporting artifacts, or their combination. Depletion of susceptibles is therefore used as a parsimonious working model whose adequacy is evaluated through diagnostics and negative controls, rather than assumed as a causal truth. KCOR’s estimand is whether a cumulative outcome contrast persists after removal of curvature consistent with selection-induced depletion, not attribution of that curvature to a specific mechanism.</w:t>
      </w:r>
    </w:p>
    <w:bookmarkEnd w:id="148"/>
    <w:bookmarkStart w:id="149" w:name="what-kcor-estimates"/>
    <w:p>
      <w:pPr>
        <w:pStyle w:val="Heading3"/>
      </w:pPr>
      <w:r>
        <w:t xml:space="preserve">4.1 What KCOR estimates</w:t>
      </w:r>
    </w:p>
    <w:p>
      <w:pPr>
        <w:pStyle w:val="FirstParagraph"/>
      </w:pPr>
      <w:r>
        <w:rPr>
          <w:i/>
          <w:iCs/>
        </w:rPr>
        <w:t xml:space="preserve">Table 3 clarifies that KCOR differs from non-proportional hazards methods not in flexibility, but in estimand and direction of inference.</w:t>
      </w:r>
      <w:r>
        <w:t xml:space="preserve"> </w:t>
      </w:r>
      <w:r>
        <w:t xml:space="preserve">KCOR operates at a specific but critical layer of the retrospective inference stack: it both neutralizes selection-induced depletion dynamics and defines how the resulting depletion-neutralized hazards must be compared. The method’s strength is not the frailty inversion in isolation, but the fact that inversion, diagnostics, and cumulative comparison are mathematically and operationally coupled. Once cohorts are mapped into depletion-neutralized hazard space, KCOR</w:t>
      </w:r>
      <m:oMath>
        <m:r>
          <m:rPr>
            <m:sty m:val="p"/>
          </m:rPr>
          <m:t>(</m:t>
        </m:r>
        <m:r>
          <m:t>t</m:t>
        </m:r>
        <m:r>
          <m:rPr>
            <m:sty m:val="p"/>
          </m:rPr>
          <m:t>)</m:t>
        </m:r>
      </m:oMath>
      <w:r>
        <w:t xml:space="preserve"> </w:t>
      </w:r>
      <w:r>
        <w:t xml:space="preserve">directly answers whether one cohort experienced higher or lower cumulative event risk than another over follow-up, conditional on the stated assumptions. Stabilization of KCOR(t) following frailty normalization is not an assumption but a falsification test; failure to flatten indicates residual curvature or loss of identifiability, not a substantive cumulative effect. Interpreting normalized hazards without this comparison step discards the central inferential content of the method. As emphasized earlier (§1.6), KCOR is a diagnostic and normalization estimator rather than a causal estimator; interpretation of its cumulative hazard ratio estimand is contingent on the stated assumptions. Whereas Cox regression infers treatment effects through fitted model coefficients, KCOR uses modeling only to normalize selection effects, allowing contrasts to be read directly from the adjusted data via cumulative hazard ratios. For infectious-disease vaccines, any plausible mortality effect is inherently time-local, occurring only during periods of pathogen circulation; the proportional hazards assumption therefore fails structurally, as a constant multiplicative effect over the entire follow-up is biologically implausible.</w:t>
      </w:r>
    </w:p>
    <w:p>
      <w:pPr>
        <w:pStyle w:val="BodyText"/>
      </w:pPr>
      <w:r>
        <w:t xml:space="preserve">As emphasized above, the frailty term is not causal and does not represent a treatment mechanism; it functions solely as a geometric normalization for selection-induced depletion.</w:t>
      </w:r>
    </w:p>
    <w:p>
      <w:pPr>
        <w:pStyle w:val="BodyText"/>
      </w:pPr>
      <w:r>
        <w:t xml:space="preserve">KCOR is a</w:t>
      </w:r>
      <w:r>
        <w:t xml:space="preserve"> </w:t>
      </w:r>
      <w:r>
        <w:rPr>
          <w:b/>
          <w:bCs/>
        </w:rPr>
        <w:t xml:space="preserve">cumulative</w:t>
      </w:r>
      <w:r>
        <w:t xml:space="preserve"> </w:t>
      </w:r>
      <w:r>
        <w:t xml:space="preserve">comparison of depletion-neutralized cumulative hazards; it does not estimate instantaneous hazard ratios. It is designed for settings where selection induces non-proportional hazards such that conventional proportional-hazards estimators can be difficult to interpret. A controlled synthetic null experiment (Section 2.11.1) shows that Cox regression can return statistically significant non-null hazard ratios solely from frailty-induced depletion—even when the true treatment effect is identically zero—whereas KCOR remains centered near unity with negligible post-normalization slope. We did not pursue model selection among Cox-based specifications (with or without frailty) because these models target instantaneous hazard ratios under proportional-hazards assumptions, whereas KCOR targets cumulative, depletion-neutralized outcomes; BIC comparisons across models with different estimands are therefore not informative for the question addressed here.</w:t>
      </w:r>
    </w:p>
    <w:p>
      <w:pPr>
        <w:pStyle w:val="BodyText"/>
      </w:pPr>
      <w:r>
        <w:t xml:space="preserve">Under the working assumptions that:</w:t>
      </w:r>
    </w:p>
    <w:p>
      <w:pPr>
        <w:pStyle w:val="Compact"/>
        <w:numPr>
          <w:ilvl w:val="0"/>
          <w:numId w:val="1024"/>
        </w:numPr>
      </w:pPr>
      <w:r>
        <w:t xml:space="preserve">selection-induced depletion dynamics can be estimated during quiet periods using a gamma-frailty mixture model, and</w:t>
      </w:r>
    </w:p>
    <w:p>
      <w:pPr>
        <w:pStyle w:val="Compact"/>
        <w:numPr>
          <w:ilvl w:val="0"/>
          <w:numId w:val="1024"/>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A useful way to view KCOR is as an intermediate layer between purely descriptive hazard summaries and fully identified causal estimators. KCOR is descriptive in that it summarizes cohort differences in a cumulative-hazard scale under explicit normalization of depletion geometry; it is inferential in that it provides falsifiable diagnostics and control-test behavior that constrain when the normalized contrast is interpretable. This positioning is intentional: under minimal-data constraints, explicitly normalizing a dominant bias geometry and transparently reporting when identifiability is not supported can be more reliable than insisting on point-identification of a causal effect. Accordingly, KCOR should be interpreted as identifying a depletion-adjusted descriptive contrast rather than a causal effect, even when that contrast is temporally aligned with a plausible biological mechanism.</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depletion-neutralized comparison space rather than assuming proportional hazards.</w:t>
      </w:r>
    </w:p>
    <w:p>
      <w:pPr>
        <w:pStyle w:val="BodyText"/>
      </w:pPr>
      <w:r>
        <w:t xml:space="preserve">Because the normalization targets selection-induced depletion curvature, KCOR results alone do not justify claims about net lives saved or lost by a particular intervention. Such claims require (i) clearly specified causal estimands, (ii) validated control outcomes, (iii) sensitivity analyses for remaining time-varying selection mechanisms and external shocks, and (iv) preferably replication across settings and outcomes. Having established the behavior of KCOR and the failure modes of standard estimators under controlled conditions, we apply KCOR to complete national registry data from the Czech Republic in a companion analysis. Accordingly, this manuscript focuses on method definition, diagnostics, and operating characteristics; applied causal conclusions are deferred to separate intervention-specific analyses. Interpretation should be read in light of the non-identifiability considerations described above.</w:t>
      </w:r>
    </w:p>
    <w:p>
      <w:pPr>
        <w:pStyle w:val="BodyText"/>
      </w:pPr>
      <w:r>
        <w:t xml:space="preserve">Although cumulative hazards and survival functions are in one-to-one correspondence, KCOR operates in cumulative-hazard space because curvature induced by frailty depletion is additive and more readily diagnosed there. While survival-based summaries such as restricted mean survival time may be derived from normalized hazards, KCOR’s primary estimand remains cumulative by construction.</w:t>
      </w:r>
    </w:p>
    <w:bookmarkEnd w:id="149"/>
    <w:bookmarkStart w:id="150"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normalize away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150"/>
    <w:bookmarkStart w:id="151"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25"/>
        </w:numPr>
      </w:pPr>
      <w:r>
        <w:t xml:space="preserve">Enrollment definition and justification</w:t>
      </w:r>
    </w:p>
    <w:p>
      <w:pPr>
        <w:pStyle w:val="Compact"/>
        <w:numPr>
          <w:ilvl w:val="0"/>
          <w:numId w:val="1025"/>
        </w:numPr>
      </w:pPr>
      <w:r>
        <w:t xml:space="preserve">Risk set definitions and event-time binning</w:t>
      </w:r>
    </w:p>
    <w:p>
      <w:pPr>
        <w:pStyle w:val="Compact"/>
        <w:numPr>
          <w:ilvl w:val="0"/>
          <w:numId w:val="1025"/>
        </w:numPr>
      </w:pPr>
      <w:r>
        <w:t xml:space="preserve">Quiet-window definition and justification</w:t>
      </w:r>
    </w:p>
    <w:p>
      <w:pPr>
        <w:pStyle w:val="Compact"/>
        <w:numPr>
          <w:ilvl w:val="0"/>
          <w:numId w:val="1025"/>
        </w:numPr>
      </w:pPr>
      <w:r>
        <w:t xml:space="preserve">Baseline-shape choice (default constant baseline over the fit window) and fit diagnostics</w:t>
      </w:r>
    </w:p>
    <w:p>
      <w:pPr>
        <w:pStyle w:val="Compact"/>
        <w:numPr>
          <w:ilvl w:val="0"/>
          <w:numId w:val="1025"/>
        </w:numPr>
      </w:pPr>
      <w:r>
        <w:t xml:space="preserve">Skip/stabilization rule and robustness to nearby values</w:t>
      </w:r>
    </w:p>
    <w:p>
      <w:pPr>
        <w:pStyle w:val="Compact"/>
        <w:numPr>
          <w:ilvl w:val="0"/>
          <w:numId w:val="1025"/>
        </w:numPr>
      </w:pPr>
      <w:r>
        <w:t xml:space="preserve">Predefined negative/positive controls used for validation</w:t>
      </w:r>
    </w:p>
    <w:p>
      <w:pPr>
        <w:pStyle w:val="Compact"/>
        <w:numPr>
          <w:ilvl w:val="0"/>
          <w:numId w:val="1025"/>
        </w:numPr>
      </w:pPr>
      <w:r>
        <w:t xml:space="preserve">Sensitivity analysis plan and results</w:t>
      </w:r>
    </w:p>
    <w:p>
      <w:pPr>
        <w:pStyle w:val="FirstParagraph"/>
      </w:pPr>
      <w:r>
        <w:t xml:space="preserve">KCOR should therefore be applied and reported as a complete pipeline—from cohort freezing, through depletion normalization, to cumulative comparison and diagnostics—rather than as a standalone adjustment step.</w:t>
      </w:r>
    </w:p>
    <w:bookmarkEnd w:id="151"/>
    <w:bookmarkStart w:id="152" w:name="extension-to-other-outcomes"/>
    <w:p>
      <w:pPr>
        <w:pStyle w:val="Heading3"/>
      </w:pPr>
      <w:r>
        <w:t xml:space="preserve">4.4 Extension to other outcomes</w:t>
      </w:r>
    </w:p>
    <w:p>
      <w:pPr>
        <w:pStyle w:val="FirstParagraph"/>
      </w:pPr>
      <w:r>
        <w:t xml:space="preserve">Although this paper focuses on all-cause mortality, KCOR is applicable to other irreversible outcomes provided that event timing and risk sets are well defined. Application to cause-specific mortality requires careful consideration of competing risks and interpretation of cumulative hazards within cause-restricted populations. Extension to non-fatal outcomes such as hospitalization is conceptually straightforward but may require additional attention to outcome definitions, censoring mechanisms, and recurrent events. These considerations affect interpretation rather than the core KCOR framework.</w:t>
      </w:r>
    </w:p>
    <w:bookmarkEnd w:id="152"/>
    <w:bookmarkEnd w:id="153"/>
    <w:bookmarkStart w:id="157" w:name="limitations"/>
    <w:p>
      <w:pPr>
        <w:pStyle w:val="Heading2"/>
      </w:pPr>
      <w:r>
        <w:t xml:space="preserve">5. Limitations</w:t>
      </w:r>
    </w:p>
    <w:p>
      <w:pPr>
        <w:pStyle w:val="Compact"/>
        <w:numPr>
          <w:ilvl w:val="0"/>
          <w:numId w:val="1026"/>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26"/>
        </w:numPr>
      </w:pPr>
      <w:r>
        <w:rPr>
          <w:b/>
          <w:bCs/>
        </w:rPr>
        <w:t xml:space="preserve">Relation to existing non-PH methods</w:t>
      </w:r>
      <w:r>
        <w:t xml:space="preserve">: KCOR is complementary to time-varying Cox, flexible parametric, additive hazards, and MSM approaches; these methods address different estimands and identification strategies, whereas KCOR targets depletion-geometry normalization under minimal-data constraints (see §1.3.1).</w:t>
      </w:r>
    </w:p>
    <w:p>
      <w:pPr>
        <w:pStyle w:val="Compact"/>
        <w:numPr>
          <w:ilvl w:val="0"/>
          <w:numId w:val="1026"/>
        </w:numPr>
      </w:pPr>
      <w:r>
        <w:rPr>
          <w:b/>
          <w:bCs/>
        </w:rPr>
        <w:t xml:space="preserve">θ estimation is data-driven</w:t>
      </w:r>
      <w:r>
        <w:t xml:space="preserve">: KCOR does not impose θ = 0 for any cohort. The frequent observation that fitted frailty variance estimates collapse toward zero for vaccinated cohorts is a data-driven result of the frailty fit and should not be interpreted as an assumption of homogeneity.</w:t>
      </w:r>
    </w:p>
    <w:p>
      <w:pPr>
        <w:pStyle w:val="Compact"/>
        <w:numPr>
          <w:ilvl w:val="0"/>
          <w:numId w:val="1026"/>
        </w:numPr>
      </w:pPr>
      <w:r>
        <w:rPr>
          <w:b/>
          <w:bCs/>
        </w:rPr>
        <w:t xml:space="preserve">Sparse events</w:t>
      </w:r>
      <w:r>
        <w:t xml:space="preserve">: When event counts are small, hazard estimation and parameter fitting can be unstable.</w:t>
      </w:r>
    </w:p>
    <w:p>
      <w:pPr>
        <w:pStyle w:val="Compact"/>
        <w:numPr>
          <w:ilvl w:val="0"/>
          <w:numId w:val="1026"/>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26"/>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26"/>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 fitted frailty variance 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154" w:name="X23cf99625f696e3debeff054e3876378086bb67"/>
    <w:p>
      <w:pPr>
        <w:pStyle w:val="Heading3"/>
      </w:pPr>
      <w:r>
        <w:t xml:space="preserve">5.1 Failure modes and diagnostics (recommended)</w:t>
      </w:r>
    </w:p>
    <w:p>
      <w:pPr>
        <w:pStyle w:val="FirstParagraph"/>
      </w:pPr>
      <w:r>
        <w:t xml:space="preserve">KCOR is designed to normalize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27"/>
        </w:numPr>
      </w:pPr>
      <w:r>
        <w:rPr>
          <w:b/>
          <w:bCs/>
        </w:rPr>
        <w:t xml:space="preserve">Mis-specified quiet window</w:t>
      </w:r>
      <w:r>
        <w:t xml:space="preserve">: If the quiet window overlaps major external shocks (epidemic waves, policy changes, reporting artifacts), the fitted parameters may absorb non-selection dynamics, biasing normalization.</w:t>
      </w:r>
    </w:p>
    <w:p>
      <w:pPr>
        <w:pStyle w:val="Compact"/>
        <w:numPr>
          <w:ilvl w:val="0"/>
          <w:numId w:val="1027"/>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27"/>
        </w:numPr>
      </w:pPr>
      <w:r>
        <w:rPr>
          <w:b/>
          <w:bCs/>
        </w:rPr>
        <w:t xml:space="preserve">Extremely sparse cohorts</w:t>
      </w:r>
      <w:r>
        <w:t xml:space="preserve">: When events are rare, observed cumulative hazards become noisy and</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can be weakly identified, often manifesting as unstable fitted frailty variance estimates or wide uncertainty.</w:t>
      </w:r>
    </w:p>
    <w:p>
      <w:pPr>
        <w:pStyle w:val="Compact"/>
        <w:numPr>
          <w:ilvl w:val="0"/>
          <w:numId w:val="1027"/>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28"/>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28"/>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 fitted parameters under small perturbations of the quiet-window bounds.</w:t>
      </w:r>
    </w:p>
    <w:p>
      <w:pPr>
        <w:pStyle w:val="Compact"/>
        <w:numPr>
          <w:ilvl w:val="0"/>
          <w:numId w:val="1028"/>
        </w:numPr>
      </w:pPr>
      <w:r>
        <w:rPr>
          <w:b/>
          <w:bCs/>
        </w:rPr>
        <w:t xml:space="preserve">Sensitivity analyses</w:t>
      </w:r>
      <w:r>
        <w:t xml:space="preserve"> </w:t>
      </w:r>
      <w:r>
        <w:t xml:space="preserve">over plausible quiet windows and skip-weeks values.</w:t>
      </w:r>
    </w:p>
    <w:p>
      <w:pPr>
        <w:pStyle w:val="Compact"/>
        <w:numPr>
          <w:ilvl w:val="0"/>
          <w:numId w:val="1028"/>
        </w:numPr>
      </w:pPr>
      <w:r>
        <w:rPr>
          <w:b/>
          <w:bCs/>
        </w:rPr>
        <w:t xml:space="preserve">Prespecified negative controls</w:t>
      </w:r>
      <w:r>
        <w:t xml:space="preserve">: KCOR(t) 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154"/>
    <w:bookmarkStart w:id="155"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Because KCOR defines explicit diagnostic failure modes—instability, dose reversals, age incoherence, or absence of asymptotic convergence—the absence of such failures in the Czech 2021_24 Dose 0 versus Dose 2 cohorts provides stronger validation than goodness-of-fit alone.</w:t>
      </w:r>
    </w:p>
    <w:p>
      <w:pPr>
        <w:pStyle w:val="BodyText"/>
      </w:pPr>
      <w:r>
        <w:rPr>
          <w:b/>
          <w:bCs/>
        </w:rPr>
        <w:t xml:space="preserve">Conservativeness under overlap.</w:t>
      </w:r>
      <w:r>
        <w:br/>
      </w:r>
      <w:r>
        <w:t xml:space="preserve">When treatment effects overlap temporally with the quiet window used for frailty estimation, KCOR(t) does not attribute the resulting curvature to treatment nor amplify it into a spurious cumulative effect. Instead, overlap manifests as degraded quiet-window fit, reduced post-normalization linearity, and instability of estimated frailty parameters, all of which are explicitly surfaced by KCOR’s diagnostics. In these regimes, KCOR(t) trajectories tend to attenuate toward unity rather than diverge, reflecting loss of identifiability rather than false detection. This behavior is illustrated in the S7 overlap variant, where treatment and selection are deliberately confounded in time: KCOR(t) does not recover a clean effect signal, and diagnostic criteria correctly indicate that the assumptions required for interpretable normalization are violated. As a result, KCOR is conservative under temporal overlap—preferring diagnostic failure and attenuation over over-interpretation—rather than producing misleading treatment effects when separability is not supported by the data. This design choice reflects an intentional bias toward false negatives rather than false positives in ambiguous regimes. See §2.1.1 and Simulation S7 (Appendix B.6) for the corresponding identifiability assumptions and stress tests.</w:t>
      </w:r>
    </w:p>
    <w:p>
      <w:pPr>
        <w:pStyle w:val="BodyText"/>
      </w:pPr>
      <w:r>
        <w:t xml:space="preserve">KCOR analyses commonly exclude an initial post-enrollment window to exclude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pPr>
        <w:pStyle w:val="BodyText"/>
      </w:pPr>
      <w:r>
        <w:t xml:space="preserve">Simulation results in §3.4 illustrate that when key assumptions are violated—such as non-gamma frailty geometry, contamination of the quiet window by external shocks, or extreme event sparsity—frailty normalization may become weakly identified. In such regimes, KCOR’s diagnostics, including poor cumulative-hazard fit and reduced post-normalization linearity, explicitly signal that curvature-based inference is unreliable without model generalization or revised window selection.</w:t>
      </w:r>
    </w:p>
    <w:p>
      <w:pPr>
        <w:pStyle w:val="BodyText"/>
      </w:pPr>
      <w:r>
        <w:t xml:space="preserve">Increasing model complexity within the Cox regression framework—via random effects, cohort-specific frailty, or information-criterion–based selection—does not resolve this limitation, because these models continue to target instantaneous hazard ratios conditional on survival rather than cumulative counterfactual outcomes. Model-selection criteria applied within the Cox regression family favor specifications that improve likelihood fit of instantaneous hazards, but such criteria do not validate cumulative counterfactual interpretation under selection-induced non-proportional hazards.</w:t>
      </w:r>
    </w:p>
    <w:bookmarkEnd w:id="155"/>
    <w:bookmarkStart w:id="156" w:name="X5f05abe0762c7ae0ab5904f62ce19850163a03c"/>
    <w:p>
      <w:pPr>
        <w:pStyle w:val="Heading3"/>
      </w:pPr>
      <w:r>
        <w:t xml:space="preserve">5.3 Data requirements and external validation</w:t>
      </w:r>
    </w:p>
    <w:p>
      <w:pPr>
        <w:pStyle w:val="FirstParagraph"/>
      </w:pPr>
      <w:r>
        <w:t xml:space="preserve">In finite samples, KCOR precision is driven primarily by the number of events observed over follow-up. In simulation (selection-only null), cohorts of approximately 5,000 per arm yielded stable KCOR estimates with narrow uncertainty, whereas smaller cohorts exhibited appreciable Monte Carlo variability and occasional spurious deviations. We therefore recommend reporting event counts and conducting a simple cohort-size sensitivity check when applying KCOR to sparse outcomes.</w:t>
      </w:r>
    </w:p>
    <w:p>
      <w:pPr>
        <w:pStyle w:val="BodyText"/>
      </w:pPr>
      <w:r>
        <w:rPr>
          <w:b/>
          <w:bCs/>
        </w:rPr>
        <w:t xml:space="preserve">External validation across interventions.</w:t>
      </w:r>
      <w:r>
        <w:t xml:space="preserve"> </w:t>
      </w:r>
      <w:r>
        <w:t xml:space="preserve">A natural next step is to apply KCOR to other vaccines and interventions where large-scale individual-level event timing data are available. Many RCTs are underpowered for all-cause mortality and typically do not provide record-level timing needed for KCOR-style hazard-space normalization, while large observational studies often publish only aggregated effect estimates. Where sufficiently detailed time-to-event data exist (registries, integrated health systems, or open individual-level datasets), cross-intervention comparisons can help characterize how often selection-induced depletion dominates observed hazard curvature and how frequently post-normalization trajectories remain stable under negative controls.</w:t>
      </w:r>
    </w:p>
    <w:bookmarkEnd w:id="156"/>
    <w:bookmarkEnd w:id="157"/>
    <w:bookmarkStart w:id="158"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 KCOR relies on five explicit assumptions, of which only one requires substantive dataset-specific validation, and enforces these assumptions diagnostically rather than presuming them, allowing violations to be detected rather than absorbed into model-dependent estimates. Because standard methods for retrospective vaccine evaluation fail under non-proportional hazards and selection-induced depletion, KCOR provides a novel and practical alternative that operates on minimal individual-level information—dates of birth, intervention, and death—while remaining applicable to national registry data where richer covariates are unavailable or unreliable.</w:t>
      </w:r>
    </w:p>
    <w:bookmarkEnd w:id="158"/>
    <w:bookmarkStart w:id="169" w:name="declarations"/>
    <w:p>
      <w:pPr>
        <w:pStyle w:val="Heading2"/>
      </w:pPr>
      <w:r>
        <w:t xml:space="preserve">Declarations</w:t>
      </w:r>
    </w:p>
    <w:bookmarkStart w:id="159" w:name="Xd182db0490b2de20bd2b4e4cc8698599182035f"/>
    <w:p>
      <w:pPr>
        <w:pStyle w:val="Heading3"/>
      </w:pPr>
      <w:r>
        <w:t xml:space="preserve">Ethics approval and consent to participate</w:t>
      </w:r>
    </w:p>
    <w:p>
      <w:pPr>
        <w:pStyle w:val="FirstParagraph"/>
      </w:pPr>
      <w:r>
        <w:t xml:space="preserve">This study used only simulated data and publicly available, aggregated registry summaries that contain no individual-level or identifiable information; as such, it did not constitute human subjects research and was exempt from institutional review board oversight. This is a methods-only manuscript. The primary validation results use synthetic data. Empirical negative-control figures (Figures 6 and 7) use aggregated cohort summaries derived from Czech Republic administrative data; no record-level data are shared in this manuscript.</w:t>
      </w:r>
      <w:r>
        <w:rPr>
          <w:vertAlign w:val="superscript"/>
        </w:rPr>
        <w:t xml:space="preserve">12</w:t>
      </w:r>
    </w:p>
    <w:bookmarkEnd w:id="159"/>
    <w:bookmarkStart w:id="160" w:name="consent-for-publication"/>
    <w:p>
      <w:pPr>
        <w:pStyle w:val="Heading3"/>
      </w:pPr>
      <w:r>
        <w:t xml:space="preserve">Consent for publication</w:t>
      </w:r>
    </w:p>
    <w:p>
      <w:pPr>
        <w:pStyle w:val="FirstParagraph"/>
      </w:pPr>
      <w:r>
        <w:t xml:space="preserve">Not applicable.</w:t>
      </w:r>
    </w:p>
    <w:bookmarkEnd w:id="160"/>
    <w:bookmarkStart w:id="161" w:name="data-availability"/>
    <w:p>
      <w:pPr>
        <w:pStyle w:val="Heading3"/>
      </w:pPr>
      <w:r>
        <w:t xml:space="preserve">Data availability</w:t>
      </w:r>
    </w:p>
    <w:p>
      <w:pPr>
        <w:pStyle w:val="FirstParagraph"/>
      </w:pPr>
      <w:r>
        <w:t xml:space="preserve">No individual-level data were accessed or analyzed in this study.</w:t>
      </w:r>
    </w:p>
    <w:p>
      <w:pPr>
        <w:pStyle w:val="Compact"/>
        <w:numPr>
          <w:ilvl w:val="0"/>
          <w:numId w:val="1029"/>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29"/>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29"/>
        </w:numPr>
      </w:pPr>
      <w:r>
        <w:t xml:space="preserve">The reference implementation includes example datasets in KCOR_CMR format for reproducibility.</w:t>
      </w:r>
    </w:p>
    <w:p>
      <w:pPr>
        <w:pStyle w:val="Compact"/>
        <w:numPr>
          <w:ilvl w:val="0"/>
          <w:numId w:val="1029"/>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161"/>
    <w:bookmarkStart w:id="164" w:name="code-availability"/>
    <w:p>
      <w:pPr>
        <w:pStyle w:val="Heading3"/>
      </w:pPr>
      <w:r>
        <w:t xml:space="preserve">Code availability</w:t>
      </w:r>
    </w:p>
    <w:p>
      <w:pPr>
        <w:pStyle w:val="Compact"/>
        <w:numPr>
          <w:ilvl w:val="0"/>
          <w:numId w:val="1030"/>
        </w:numPr>
      </w:pPr>
      <w:r>
        <w:t xml:space="preserve">The KCOR reference implementation and complete validation suite are available in the project repository.</w:t>
      </w:r>
    </w:p>
    <w:p>
      <w:pPr>
        <w:pStyle w:val="Compact"/>
        <w:numPr>
          <w:ilvl w:val="0"/>
          <w:numId w:val="1030"/>
        </w:numPr>
      </w:pPr>
      <w:r>
        <w:t xml:space="preserve">Repository URL:</w:t>
      </w:r>
      <w:r>
        <w:t xml:space="preserve"> </w:t>
      </w:r>
      <w:hyperlink r:id="rId162">
        <w:r>
          <w:rPr>
            <w:rStyle w:val="Hyperlink"/>
          </w:rPr>
          <w:t xml:space="preserve">https://github.com/skirsch/KCOR</w:t>
        </w:r>
      </w:hyperlink>
    </w:p>
    <w:p>
      <w:pPr>
        <w:pStyle w:val="Compact"/>
        <w:numPr>
          <w:ilvl w:val="0"/>
          <w:numId w:val="1030"/>
        </w:numPr>
      </w:pPr>
      <w:r>
        <w:t xml:space="preserve">Zenodo DOI:</w:t>
      </w:r>
      <w:r>
        <w:t xml:space="preserve"> </w:t>
      </w:r>
      <w:hyperlink r:id="rId163">
        <w:r>
          <w:rPr>
            <w:rStyle w:val="Hyperlink"/>
          </w:rPr>
          <w:t xml:space="preserve">10.5281/zenodo.18050329</w:t>
        </w:r>
      </w:hyperlink>
    </w:p>
    <w:p>
      <w:pPr>
        <w:pStyle w:val="Compact"/>
        <w:numPr>
          <w:ilvl w:val="0"/>
          <w:numId w:val="1030"/>
        </w:numPr>
      </w:pPr>
      <w:r>
        <w:t xml:space="preserve">RMST computation and comparison table generation are implemented via functions</w:t>
      </w:r>
      <w:r>
        <w:t xml:space="preserve"> </w:t>
      </w:r>
      <w:r>
        <w:rPr>
          <w:rStyle w:val="VerbatimChar"/>
        </w:rPr>
        <w:t xml:space="preserve">compute_rmst_from_cohort()</w:t>
      </w:r>
      <w:r>
        <w:t xml:space="preserve"> </w:t>
      </w:r>
      <w:r>
        <w:t xml:space="preserve">and</w:t>
      </w:r>
      <w:r>
        <w:t xml:space="preserve"> </w:t>
      </w:r>
      <w:r>
        <w:rPr>
          <w:rStyle w:val="VerbatimChar"/>
        </w:rPr>
        <w:t xml:space="preserve">generate_comparison_table()</w:t>
      </w:r>
      <w:r>
        <w:t xml:space="preserve"> </w:t>
      </w:r>
      <w:r>
        <w:t xml:space="preserve">in</w:t>
      </w:r>
      <w:r>
        <w:t xml:space="preserve"> </w:t>
      </w:r>
      <w:r>
        <w:rPr>
          <w:rStyle w:val="VerbatimChar"/>
        </w:rPr>
        <w:t xml:space="preserve">test/sim_grid/code/generate_sim_grid.py</w:t>
      </w:r>
      <w:r>
        <w:t xml:space="preserve">. Both RMST and time-varying Cox comparators run on the same simulation outputs as KCOR evaluation; no additional random seeds or data generation are required.</w:t>
      </w:r>
    </w:p>
    <w:bookmarkEnd w:id="164"/>
    <w:bookmarkStart w:id="165" w:name="competing-interests"/>
    <w:p>
      <w:pPr>
        <w:pStyle w:val="Heading3"/>
      </w:pPr>
      <w:r>
        <w:t xml:space="preserve">Competing interests</w:t>
      </w:r>
    </w:p>
    <w:p>
      <w:pPr>
        <w:pStyle w:val="FirstParagraph"/>
      </w:pPr>
      <w:r>
        <w:t xml:space="preserve">The author is a board member of the Vaccine Safety Research Foundation.</w:t>
      </w:r>
    </w:p>
    <w:bookmarkEnd w:id="165"/>
    <w:bookmarkStart w:id="166" w:name="funding"/>
    <w:p>
      <w:pPr>
        <w:pStyle w:val="Heading3"/>
      </w:pPr>
      <w:r>
        <w:t xml:space="preserve">Funding</w:t>
      </w:r>
    </w:p>
    <w:p>
      <w:pPr>
        <w:pStyle w:val="FirstParagraph"/>
      </w:pPr>
      <w:r>
        <w:t xml:space="preserve">This research received no external funding.</w:t>
      </w:r>
    </w:p>
    <w:bookmarkEnd w:id="166"/>
    <w:bookmarkStart w:id="167"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67"/>
    <w:bookmarkStart w:id="168" w:name="acknowledgements"/>
    <w:p>
      <w:pPr>
        <w:pStyle w:val="Heading3"/>
      </w:pPr>
      <w:r>
        <w:t xml:space="preserve">Acknowledgements</w:t>
      </w:r>
    </w:p>
    <w:p>
      <w:pPr>
        <w:pStyle w:val="FirstParagraph"/>
      </w:pPr>
      <w:r>
        <w:t xml:space="preserve">The author thanks James Lyons-Weiler and Dr. Clare Craig for helpful discussions and methodological feedback during the development of this work. All errors remain the author’s responsibility.</w:t>
      </w:r>
    </w:p>
    <w:bookmarkEnd w:id="168"/>
    <w:bookmarkEnd w:id="169"/>
    <w:bookmarkStart w:id="194" w:name="references"/>
    <w:p>
      <w:pPr>
        <w:pStyle w:val="Heading2"/>
      </w:pPr>
      <w:r>
        <w:t xml:space="preserve">References</w:t>
      </w:r>
    </w:p>
    <w:bookmarkStart w:id="193" w:name="refs"/>
    <w:bookmarkStart w:id="171" w:name="ref-vaupel1979"/>
    <w:p>
      <w:pPr>
        <w:pStyle w:val="Bibliography"/>
      </w:pPr>
      <w:r>
        <w:t xml:space="preserve">1.</w:t>
      </w:r>
      <w:r>
        <w:t xml:space="preserve"> </w:t>
      </w:r>
      <w:r>
        <w:t xml:space="preserve">	</w:t>
      </w:r>
      <w:r>
        <w:t xml:space="preserve">Vaupel JW, Manton KG, Stallard E. The impact of heterogeneity in individual frailty on the dynamics of mortality.</w:t>
      </w:r>
      <w:r>
        <w:t xml:space="preserve"> </w:t>
      </w:r>
      <w:r>
        <w:rPr>
          <w:i/>
          <w:iCs/>
        </w:rPr>
        <w:t xml:space="preserve">Demography</w:t>
      </w:r>
      <w:r>
        <w:t xml:space="preserve">. 1979;16(3):439-454. doi:</w:t>
      </w:r>
      <w:hyperlink r:id="rId170">
        <w:r>
          <w:rPr>
            <w:rStyle w:val="Hyperlink"/>
          </w:rPr>
          <w:t xml:space="preserve">10.2307/2061224</w:t>
        </w:r>
      </w:hyperlink>
    </w:p>
    <w:bookmarkEnd w:id="171"/>
    <w:bookmarkStart w:id="173" w:name="ref-obel2024"/>
    <w:p>
      <w:pPr>
        <w:pStyle w:val="Bibliography"/>
      </w:pPr>
      <w:r>
        <w:t xml:space="preserve">2.</w:t>
      </w:r>
      <w:r>
        <w:t xml:space="preserve"> </w:t>
      </w:r>
      <w:r>
        <w:t xml:space="preserve">	</w:t>
      </w:r>
      <w:r>
        <w:t xml:space="preserve">Obel N, Fox M, Tetens M,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w:t>
      </w:r>
      <w:r>
        <w:t xml:space="preserve"> </w:t>
      </w:r>
      <w:r>
        <w:rPr>
          <w:i/>
          <w:iCs/>
        </w:rPr>
        <w:t xml:space="preserve">Clinical Epidemiology</w:t>
      </w:r>
      <w:r>
        <w:t xml:space="preserve">. 2024;Volume 16:501-512. doi:</w:t>
      </w:r>
      <w:hyperlink r:id="rId172">
        <w:r>
          <w:rPr>
            <w:rStyle w:val="Hyperlink"/>
          </w:rPr>
          <w:t xml:space="preserve">10.2147/CLEP.S468572</w:t>
        </w:r>
      </w:hyperlink>
    </w:p>
    <w:bookmarkEnd w:id="173"/>
    <w:bookmarkStart w:id="175" w:name="ref-chemaitelly2025"/>
    <w:p>
      <w:pPr>
        <w:pStyle w:val="Bibliography"/>
      </w:pPr>
      <w:r>
        <w:t xml:space="preserve">3.</w:t>
      </w:r>
      <w:r>
        <w:t xml:space="preserve"> </w:t>
      </w:r>
      <w:r>
        <w:t xml:space="preserve">	</w:t>
      </w:r>
      <w:r>
        <w:t xml:space="preserve">Chemaitelly H, Ayoub HH, Coyle P,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eds.</w:t>
      </w:r>
      <w:r>
        <w:t xml:space="preserve"> </w:t>
      </w:r>
      <w:r>
        <w:rPr>
          <w:i/>
          <w:iCs/>
        </w:rPr>
        <w:t xml:space="preserve">eLife</w:t>
      </w:r>
      <w:r>
        <w:t xml:space="preserve">. 2025;14:e103690. doi:</w:t>
      </w:r>
      <w:hyperlink r:id="rId174">
        <w:r>
          <w:rPr>
            <w:rStyle w:val="Hyperlink"/>
          </w:rPr>
          <w:t xml:space="preserve">10.7554/eLife.103690</w:t>
        </w:r>
      </w:hyperlink>
    </w:p>
    <w:bookmarkEnd w:id="175"/>
    <w:bookmarkStart w:id="177" w:name="ref-grambsch1994"/>
    <w:p>
      <w:pPr>
        <w:pStyle w:val="Bibliography"/>
      </w:pPr>
      <w:r>
        <w:t xml:space="preserve">4.</w:t>
      </w:r>
      <w:r>
        <w:t xml:space="preserve"> </w:t>
      </w:r>
      <w:r>
        <w:t xml:space="preserve">	</w:t>
      </w:r>
      <w:r>
        <w:t xml:space="preserve">Grambsch PM, Therneau TM. Proportional hazards tests and diagnostics based on weighted residuals.</w:t>
      </w:r>
      <w:r>
        <w:t xml:space="preserve"> </w:t>
      </w:r>
      <w:r>
        <w:rPr>
          <w:i/>
          <w:iCs/>
        </w:rPr>
        <w:t xml:space="preserve">Biometrika</w:t>
      </w:r>
      <w:r>
        <w:t xml:space="preserve">. 1994;81(3):515-526. doi:</w:t>
      </w:r>
      <w:hyperlink r:id="rId176">
        <w:r>
          <w:rPr>
            <w:rStyle w:val="Hyperlink"/>
          </w:rPr>
          <w:t xml:space="preserve">10.1093/biomet/81.3.515</w:t>
        </w:r>
      </w:hyperlink>
    </w:p>
    <w:bookmarkEnd w:id="177"/>
    <w:bookmarkStart w:id="179" w:name="ref-andersen1982"/>
    <w:p>
      <w:pPr>
        <w:pStyle w:val="Bibliography"/>
      </w:pPr>
      <w:r>
        <w:t xml:space="preserve">5.</w:t>
      </w:r>
      <w:r>
        <w:t xml:space="preserve"> </w:t>
      </w:r>
      <w:r>
        <w:t xml:space="preserve">	</w:t>
      </w:r>
      <w:r>
        <w:t xml:space="preserve">Andersen PK, Gill RD. Cox’s</w:t>
      </w:r>
      <w:r>
        <w:t xml:space="preserve"> </w:t>
      </w:r>
      <w:r>
        <w:t xml:space="preserve">Regression Model</w:t>
      </w:r>
      <w:r>
        <w:t xml:space="preserve"> </w:t>
      </w:r>
      <w:r>
        <w:t xml:space="preserve">for</w:t>
      </w:r>
      <w:r>
        <w:t xml:space="preserve"> </w:t>
      </w:r>
      <w:r>
        <w:t xml:space="preserve">Counting Processes</w:t>
      </w:r>
      <w:r>
        <w:t xml:space="preserve">:</w:t>
      </w:r>
      <w:r>
        <w:t xml:space="preserve"> </w:t>
      </w:r>
      <w:r>
        <w:t xml:space="preserve">A Large Sample Study</w:t>
      </w:r>
      <w:r>
        <w:t xml:space="preserve">.</w:t>
      </w:r>
      <w:r>
        <w:t xml:space="preserve"> </w:t>
      </w:r>
      <w:r>
        <w:rPr>
          <w:i/>
          <w:iCs/>
        </w:rPr>
        <w:t xml:space="preserve">The Annals of Statistics</w:t>
      </w:r>
      <w:r>
        <w:t xml:space="preserve">. 1982;10(4). doi:</w:t>
      </w:r>
      <w:hyperlink r:id="rId178">
        <w:r>
          <w:rPr>
            <w:rStyle w:val="Hyperlink"/>
          </w:rPr>
          <w:t xml:space="preserve">10.1214/aos/1176345976</w:t>
        </w:r>
      </w:hyperlink>
    </w:p>
    <w:bookmarkEnd w:id="179"/>
    <w:bookmarkStart w:id="181" w:name="ref-royston2002"/>
    <w:p>
      <w:pPr>
        <w:pStyle w:val="Bibliography"/>
      </w:pPr>
      <w:r>
        <w:t xml:space="preserve">6.</w:t>
      </w:r>
      <w:r>
        <w:t xml:space="preserve"> </w:t>
      </w:r>
      <w:r>
        <w:t xml:space="preserve">	</w:t>
      </w:r>
      <w:r>
        <w:t xml:space="preserve">Royston P, Parmar MKB. Flexible parametric proportional-hazards and proportional-odds models for censored survival data, with application to prognostic modelling and estimation of treatment effects.</w:t>
      </w:r>
      <w:r>
        <w:t xml:space="preserve"> </w:t>
      </w:r>
      <w:r>
        <w:rPr>
          <w:i/>
          <w:iCs/>
        </w:rPr>
        <w:t xml:space="preserve">Statistics in Medicine</w:t>
      </w:r>
      <w:r>
        <w:t xml:space="preserve">. 2002;21(15):2175-2197. doi:</w:t>
      </w:r>
      <w:hyperlink r:id="rId180">
        <w:r>
          <w:rPr>
            <w:rStyle w:val="Hyperlink"/>
          </w:rPr>
          <w:t xml:space="preserve">10.1002/sim.1203</w:t>
        </w:r>
      </w:hyperlink>
    </w:p>
    <w:bookmarkEnd w:id="181"/>
    <w:bookmarkStart w:id="183" w:name="ref-aalen1989"/>
    <w:p>
      <w:pPr>
        <w:pStyle w:val="Bibliography"/>
      </w:pPr>
      <w:r>
        <w:t xml:space="preserve">7.</w:t>
      </w:r>
      <w:r>
        <w:t xml:space="preserve"> </w:t>
      </w:r>
      <w:r>
        <w:t xml:space="preserve">	</w:t>
      </w:r>
      <w:r>
        <w:t xml:space="preserve">Aalen OO. A linear regression model for the analysis of life times.</w:t>
      </w:r>
      <w:r>
        <w:t xml:space="preserve"> </w:t>
      </w:r>
      <w:r>
        <w:rPr>
          <w:i/>
          <w:iCs/>
        </w:rPr>
        <w:t xml:space="preserve">Statistics in Medicine</w:t>
      </w:r>
      <w:r>
        <w:t xml:space="preserve">. 1989;8(8):907-925. doi:</w:t>
      </w:r>
      <w:hyperlink r:id="rId182">
        <w:r>
          <w:rPr>
            <w:rStyle w:val="Hyperlink"/>
          </w:rPr>
          <w:t xml:space="preserve">10.1002/sim.4780080803</w:t>
        </w:r>
      </w:hyperlink>
    </w:p>
    <w:bookmarkEnd w:id="183"/>
    <w:bookmarkStart w:id="185" w:name="ref-lin1994"/>
    <w:p>
      <w:pPr>
        <w:pStyle w:val="Bibliography"/>
      </w:pPr>
      <w:r>
        <w:t xml:space="preserve">8.</w:t>
      </w:r>
      <w:r>
        <w:t xml:space="preserve"> </w:t>
      </w:r>
      <w:r>
        <w:t xml:space="preserve">	</w:t>
      </w:r>
      <w:r>
        <w:t xml:space="preserve">Lin DY, Ying Z. Semiparametric analysis of the additive risk model.</w:t>
      </w:r>
      <w:r>
        <w:t xml:space="preserve"> </w:t>
      </w:r>
      <w:r>
        <w:rPr>
          <w:i/>
          <w:iCs/>
        </w:rPr>
        <w:t xml:space="preserve">Biometrika</w:t>
      </w:r>
      <w:r>
        <w:t xml:space="preserve">. 1994;81(1):61-71. doi:</w:t>
      </w:r>
      <w:hyperlink r:id="rId184">
        <w:r>
          <w:rPr>
            <w:rStyle w:val="Hyperlink"/>
          </w:rPr>
          <w:t xml:space="preserve">10.1093/biomet/81.1.61</w:t>
        </w:r>
      </w:hyperlink>
    </w:p>
    <w:bookmarkEnd w:id="185"/>
    <w:bookmarkStart w:id="187" w:name="ref-vanhouwelingen2007"/>
    <w:p>
      <w:pPr>
        <w:pStyle w:val="Bibliography"/>
      </w:pPr>
      <w:r>
        <w:t xml:space="preserve">9.</w:t>
      </w:r>
      <w:r>
        <w:t xml:space="preserve"> </w:t>
      </w:r>
      <w:r>
        <w:t xml:space="preserve">	</w:t>
      </w:r>
      <w:r>
        <w:t xml:space="preserve">Van Houwelingen HC. Dynamic</w:t>
      </w:r>
      <w:r>
        <w:t xml:space="preserve"> </w:t>
      </w:r>
      <w:r>
        <w:t xml:space="preserve">Prediction</w:t>
      </w:r>
      <w:r>
        <w:t xml:space="preserve"> </w:t>
      </w:r>
      <w:r>
        <w:t xml:space="preserve">by</w:t>
      </w:r>
      <w:r>
        <w:t xml:space="preserve"> </w:t>
      </w:r>
      <w:r>
        <w:t xml:space="preserve">Landmarking</w:t>
      </w:r>
      <w:r>
        <w:t xml:space="preserve"> </w:t>
      </w:r>
      <w:r>
        <w:t xml:space="preserve">in</w:t>
      </w:r>
      <w:r>
        <w:t xml:space="preserve"> </w:t>
      </w:r>
      <w:r>
        <w:t xml:space="preserve">Event History Analysis</w:t>
      </w:r>
      <w:r>
        <w:t xml:space="preserve">.</w:t>
      </w:r>
      <w:r>
        <w:t xml:space="preserve"> </w:t>
      </w:r>
      <w:r>
        <w:rPr>
          <w:i/>
          <w:iCs/>
        </w:rPr>
        <w:t xml:space="preserve">Scandinavian Journal of Statistics</w:t>
      </w:r>
      <w:r>
        <w:t xml:space="preserve">. 2007;34(1):70-85. doi:</w:t>
      </w:r>
      <w:hyperlink r:id="rId186">
        <w:r>
          <w:rPr>
            <w:rStyle w:val="Hyperlink"/>
          </w:rPr>
          <w:t xml:space="preserve">10.1111/j.1467-9469.2006.00529.x</w:t>
        </w:r>
      </w:hyperlink>
    </w:p>
    <w:bookmarkEnd w:id="187"/>
    <w:bookmarkStart w:id="189" w:name="ref-robins2000"/>
    <w:p>
      <w:pPr>
        <w:pStyle w:val="Bibliography"/>
      </w:pPr>
      <w:r>
        <w:t xml:space="preserve">10.</w:t>
      </w:r>
      <w:r>
        <w:t xml:space="preserve"> </w:t>
      </w:r>
      <w:r>
        <w:t xml:space="preserve">	</w:t>
      </w:r>
      <w:r>
        <w:t xml:space="preserve">Robins JM, Hernán MÁ, Brumback B. Marginal</w:t>
      </w:r>
      <w:r>
        <w:t xml:space="preserve"> </w:t>
      </w:r>
      <w:r>
        <w:t xml:space="preserve">Structural Models</w:t>
      </w:r>
      <w:r>
        <w:t xml:space="preserve"> </w:t>
      </w:r>
      <w:r>
        <w:t xml:space="preserve">and</w:t>
      </w:r>
      <w:r>
        <w:t xml:space="preserve"> </w:t>
      </w:r>
      <w:r>
        <w:t xml:space="preserve">Causal Inference</w:t>
      </w:r>
      <w:r>
        <w:t xml:space="preserve"> </w:t>
      </w:r>
      <w:r>
        <w:t xml:space="preserve">in</w:t>
      </w:r>
      <w:r>
        <w:t xml:space="preserve"> </w:t>
      </w:r>
      <w:r>
        <w:t xml:space="preserve">Epidemiology</w:t>
      </w:r>
      <w:r>
        <w:t xml:space="preserve">:</w:t>
      </w:r>
      <w:r>
        <w:t xml:space="preserve"> </w:t>
      </w:r>
      <w:r>
        <w:rPr>
          <w:i/>
          <w:iCs/>
        </w:rPr>
        <w:t xml:space="preserve">Epidemiology</w:t>
      </w:r>
      <w:r>
        <w:t xml:space="preserve">. 2000;11(5):550-560. doi:</w:t>
      </w:r>
      <w:hyperlink r:id="rId188">
        <w:r>
          <w:rPr>
            <w:rStyle w:val="Hyperlink"/>
          </w:rPr>
          <w:t xml:space="preserve">10.1097/00001648-200009000-00011</w:t>
        </w:r>
      </w:hyperlink>
    </w:p>
    <w:bookmarkEnd w:id="189"/>
    <w:bookmarkStart w:id="191" w:name="ref-cole2008"/>
    <w:p>
      <w:pPr>
        <w:pStyle w:val="Bibliography"/>
      </w:pPr>
      <w:r>
        <w:t xml:space="preserve">11.</w:t>
      </w:r>
      <w:r>
        <w:t xml:space="preserve"> </w:t>
      </w:r>
      <w:r>
        <w:t xml:space="preserve">	</w:t>
      </w:r>
      <w:r>
        <w:t xml:space="preserve">Cole SR, Hernan MA. Constructing</w:t>
      </w:r>
      <w:r>
        <w:t xml:space="preserve"> </w:t>
      </w:r>
      <w:r>
        <w:t xml:space="preserve">Inverse Probability Weights</w:t>
      </w:r>
      <w:r>
        <w:t xml:space="preserve"> </w:t>
      </w:r>
      <w:r>
        <w:t xml:space="preserve">for</w:t>
      </w:r>
      <w:r>
        <w:t xml:space="preserve"> </w:t>
      </w:r>
      <w:r>
        <w:t xml:space="preserve">Marginal Structural Models</w:t>
      </w:r>
      <w:r>
        <w:t xml:space="preserve">.</w:t>
      </w:r>
      <w:r>
        <w:t xml:space="preserve"> </w:t>
      </w:r>
      <w:r>
        <w:rPr>
          <w:i/>
          <w:iCs/>
        </w:rPr>
        <w:t xml:space="preserve">American Journal of Epidemiology</w:t>
      </w:r>
      <w:r>
        <w:t xml:space="preserve">. 2008;168(6):656-664. doi:</w:t>
      </w:r>
      <w:hyperlink r:id="rId190">
        <w:r>
          <w:rPr>
            <w:rStyle w:val="Hyperlink"/>
          </w:rPr>
          <w:t xml:space="preserve">10.1093/aje/kwn164</w:t>
        </w:r>
      </w:hyperlink>
    </w:p>
    <w:bookmarkEnd w:id="191"/>
    <w:bookmarkStart w:id="192" w:name="ref-sanca2024"/>
    <w:p>
      <w:pPr>
        <w:pStyle w:val="Bibliography"/>
      </w:pPr>
      <w:r>
        <w:t xml:space="preserve">12.</w:t>
      </w:r>
      <w:r>
        <w:t xml:space="preserve"> </w:t>
      </w:r>
      <w:r>
        <w:t xml:space="preserve">	</w:t>
      </w:r>
      <w:r>
        <w:t xml:space="preserve">Šanca O, Jarkovský J, Klimeš D,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w:t>
      </w:r>
      <w:r>
        <w:t xml:space="preserve"> </w:t>
      </w:r>
      <w:r>
        <w:rPr>
          <w:i/>
          <w:iCs/>
        </w:rPr>
        <w:t xml:space="preserve">National Health Information Portal</w:t>
      </w:r>
      <w:r>
        <w:t xml:space="preserve">. Published online 2024.</w:t>
      </w:r>
    </w:p>
    <w:bookmarkEnd w:id="192"/>
    <w:bookmarkEnd w:id="193"/>
    <w:bookmarkEnd w:id="194"/>
    <w:bookmarkStart w:id="251" w:name="supplementary-material"/>
    <w:p>
      <w:pPr>
        <w:pStyle w:val="Heading2"/>
      </w:pPr>
      <w:r>
        <w:t xml:space="preserve">Supplementary material</w:t>
      </w:r>
    </w:p>
    <w:p>
      <w:pPr>
        <w:pStyle w:val="FirstParagraph"/>
      </w:pPr>
      <w:r>
        <w:t xml:space="preserve">Supplementary appendices provide mathematical derivations and full control-test specifications.</w:t>
      </w:r>
    </w:p>
    <w:bookmarkStart w:id="200" w:name="appendix-a.-mathematical-derivations"/>
    <w:p>
      <w:pPr>
        <w:pStyle w:val="Heading3"/>
      </w:pPr>
      <w:r>
        <w:t xml:space="preserve">Appendix A. Mathematical derivations</w:t>
      </w:r>
    </w:p>
    <w:bookmarkStart w:id="195" w:name="X949c457b8ec3518d2fcc001fd53881dea62bb28"/>
    <w:p>
      <w:pPr>
        <w:pStyle w:val="Heading4"/>
      </w:pPr>
      <w:r>
        <w:t xml:space="preserve">A.1 Frailty mixing induces hazard curvature</w:t>
      </w:r>
    </w:p>
    <w:p>
      <w:pPr>
        <w:pStyle w:val="FirstParagraph"/>
      </w:pPr>
      <w:r>
        <w:t xml:space="preserve">Consider a cohort</w:t>
      </w:r>
      <w:r>
        <w:t xml:space="preserve"> </w:t>
      </w:r>
      <m:oMath>
        <m:r>
          <m:t>d</m:t>
        </m:r>
      </m:oMath>
      <w:r>
        <w:t xml:space="preserve"> </w:t>
      </w:r>
      <w:r>
        <w:t xml:space="preserve">where individual</w:t>
      </w:r>
      <w:r>
        <w:t xml:space="preserve"> </w:t>
      </w:r>
      <m:oMath>
        <m:r>
          <m:t>i</m:t>
        </m:r>
      </m:oMath>
      <w:r>
        <w:t xml:space="preserve"> </w:t>
      </w:r>
      <w:r>
        <w:t xml:space="preserve">has hazard</w:t>
      </w:r>
      <w:r>
        <w:t xml:space="preserve"> </w:t>
      </w: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rPr>
            <m:sty m:val="p"/>
          </m:rPr>
          <m:t>⋅</m:t>
        </m:r>
        <m:sSub>
          <m:e>
            <m:r>
              <m:t>h</m:t>
            </m:r>
          </m:e>
          <m:sub>
            <m:r>
              <m:t>0</m:t>
            </m:r>
            <m:r>
              <m:rPr>
                <m:sty m:val="p"/>
              </m:rPr>
              <m:t>,</m:t>
            </m:r>
            <m:r>
              <m:t>d</m:t>
            </m:r>
          </m:sub>
        </m:sSub>
        <m:r>
          <m:rPr>
            <m:sty m:val="p"/>
          </m:rPr>
          <m:t>(</m:t>
        </m:r>
        <m:r>
          <m:t>t</m:t>
        </m:r>
        <m:r>
          <m:rPr>
            <m:sty m:val="p"/>
          </m:rPr>
          <m:t>)</m:t>
        </m:r>
      </m:oMath>
      <w:r>
        <w:t xml:space="preserve">, with frailty</w:t>
      </w:r>
      <w:r>
        <w:t xml:space="preserve"> </w:t>
      </w:r>
      <m:oMath>
        <m:sSub>
          <m:e>
            <m:r>
              <m:t>z</m:t>
            </m:r>
          </m:e>
          <m:sub>
            <m:r>
              <m:t>i</m:t>
            </m:r>
            <m:r>
              <m:rPr>
                <m:sty m:val="p"/>
              </m:rPr>
              <m:t>,</m:t>
            </m:r>
            <m:r>
              <m:t>d</m:t>
            </m:r>
          </m:sub>
        </m:sSub>
      </m:oMath>
      <w:r>
        <w:t xml:space="preserve"> </w:t>
      </w:r>
      <w:r>
        <w:t xml:space="preserve">drawn from a distribution with mean 1 and variance</w:t>
      </w:r>
      <w:r>
        <w:t xml:space="preserve"> </w:t>
      </w:r>
      <m:oMath>
        <m:sSub>
          <m:e>
            <m:r>
              <m:t>θ</m:t>
            </m:r>
          </m:e>
          <m:sub>
            <m:r>
              <m:t>d</m:t>
            </m:r>
          </m:sub>
        </m:sSub>
        <m:r>
          <m:rPr>
            <m:sty m:val="p"/>
          </m:rPr>
          <m:t>&gt;</m:t>
        </m:r>
        <m:r>
          <m:t>0</m:t>
        </m:r>
      </m:oMath>
      <w:r>
        <w:t xml:space="preserve">. Let</w:t>
      </w:r>
      <w:r>
        <w:t xml:space="preserve"> </w:t>
      </w:r>
      <m:oMath>
        <m:sSub>
          <m:e>
            <m:r>
              <m:t>S</m:t>
            </m:r>
          </m:e>
          <m:sub>
            <m:r>
              <m:t>i</m:t>
            </m:r>
            <m:r>
              <m:rPr>
                <m:sty m:val="p"/>
              </m:rPr>
              <m:t>,</m:t>
            </m:r>
            <m:r>
              <m:t>d</m:t>
            </m:r>
          </m:sub>
        </m:sSub>
        <m:r>
          <m:rPr>
            <m:sty m:val="p"/>
          </m:rPr>
          <m:t>(</m:t>
        </m:r>
        <m:r>
          <m:t>t</m:t>
        </m:r>
        <m:r>
          <m:rPr>
            <m:sty m:val="p"/>
          </m:rPr>
          <m:t>)</m:t>
        </m:r>
        <m:r>
          <m:rPr>
            <m:sty m:val="p"/>
          </m:rPr>
          <m:t>=</m:t>
        </m:r>
        <m:r>
          <m:rPr>
            <m:sty m:val="p"/>
          </m:rPr>
          <m:t>exp</m:t>
        </m:r>
        <m:r>
          <m:t>​</m:t>
        </m:r>
        <m:d>
          <m:dPr>
            <m:begChr m:val="("/>
            <m:sepChr m:val=""/>
            <m:endChr m:val=")"/>
            <m:grow/>
          </m:dPr>
          <m:e>
            <m:r>
              <m:rPr>
                <m:sty m:val="p"/>
              </m:rPr>
              <m:t>−</m:t>
            </m:r>
            <m:sSub>
              <m:e>
                <m:r>
                  <m:t>z</m:t>
                </m:r>
              </m:e>
              <m:sub>
                <m:r>
                  <m:t>i</m:t>
                </m:r>
                <m:r>
                  <m:rPr>
                    <m:sty m:val="p"/>
                  </m:rPr>
                  <m:t>,</m:t>
                </m:r>
                <m:r>
                  <m:t>d</m:t>
                </m:r>
              </m:sub>
            </m:sSub>
            <m:sSub>
              <m:e>
                <m:r>
                  <m:t>H</m:t>
                </m:r>
              </m:e>
              <m:sub>
                <m:r>
                  <m:t>0</m:t>
                </m:r>
                <m:r>
                  <m:rPr>
                    <m:sty m:val="p"/>
                  </m:rPr>
                  <m:t>,</m:t>
                </m:r>
                <m:r>
                  <m:t>d</m:t>
                </m:r>
              </m:sub>
            </m:sSub>
            <m:r>
              <m:rPr>
                <m:sty m:val="p"/>
              </m:rPr>
              <m:t>(</m:t>
            </m:r>
            <m:r>
              <m:t>t</m:t>
            </m:r>
            <m:r>
              <m:rPr>
                <m:sty m:val="p"/>
              </m:rPr>
              <m:t>)</m:t>
            </m:r>
          </m:e>
        </m:d>
      </m:oMath>
      <w:r>
        <w:t xml:space="preserve"> </w:t>
      </w:r>
      <w:r>
        <w:t xml:space="preserve">be the individual survival function, where</w:t>
      </w:r>
      <w:r>
        <w:t xml:space="preserve"> </w:t>
      </w: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sSub>
            <m:e>
              <m:r>
                <m:t>E</m:t>
              </m:r>
            </m:e>
            <m:sub>
              <m:r>
                <m:t>z</m:t>
              </m:r>
            </m:sub>
          </m:sSub>
          <m:r>
            <m:rPr>
              <m:sty m:val="p"/>
            </m:rPr>
            <m:t>[</m:t>
          </m:r>
          <m:sSub>
            <m:e>
              <m:r>
                <m:t>S</m:t>
              </m:r>
            </m:e>
            <m:sub>
              <m:r>
                <m:t>i</m:t>
              </m:r>
              <m:r>
                <m:rPr>
                  <m:sty m:val="p"/>
                </m:rPr>
                <m:t>,</m:t>
              </m:r>
              <m:r>
                <m:t>d</m:t>
              </m:r>
            </m:sub>
          </m:sSub>
          <m:r>
            <m:rPr>
              <m:sty m:val="p"/>
            </m:rPr>
            <m:t>(</m:t>
          </m:r>
          <m:r>
            <m:t>t</m:t>
          </m:r>
          <m:r>
            <m:rPr>
              <m:sty m:val="p"/>
            </m:rPr>
            <m:t>)</m:t>
          </m:r>
          <m:r>
            <m:rPr>
              <m:sty m:val="p"/>
            </m:rPr>
            <m:t>]</m:t>
          </m:r>
          <m:r>
            <m:rPr>
              <m:sty m:val="p"/>
            </m:rPr>
            <m:t>=</m:t>
          </m:r>
          <m:sSub>
            <m:e>
              <m:r>
                <m:t>E</m:t>
              </m:r>
            </m:e>
            <m:sub>
              <m:r>
                <m:t>z</m:t>
              </m:r>
            </m:sub>
          </m:sSub>
          <m:r>
            <m:t>​</m:t>
          </m:r>
          <m:d>
            <m:dPr>
              <m:begChr m:val="["/>
              <m:sepChr m:val=""/>
              <m:endChr m:val="]"/>
              <m:grow/>
            </m:dPr>
            <m:e>
              <m:r>
                <m:rPr>
                  <m:sty m:val="p"/>
                </m:rPr>
                <m:t>exp</m:t>
              </m:r>
              <m:r>
                <m:t>​</m:t>
              </m:r>
              <m:d>
                <m:dPr>
                  <m:begChr m:val="("/>
                  <m:sepChr m:val=""/>
                  <m:endChr m:val=")"/>
                  <m:grow/>
                </m:dPr>
                <m:e>
                  <m:r>
                    <m:rPr>
                      <m:sty m:val="p"/>
                    </m:rPr>
                    <m:t>−</m:t>
                  </m:r>
                  <m:r>
                    <m:t>z</m:t>
                  </m:r>
                  <m:sSub>
                    <m:e>
                      <m:r>
                        <m:t>H</m:t>
                      </m:r>
                    </m:e>
                    <m:sub>
                      <m:r>
                        <m:t>0</m:t>
                      </m:r>
                      <m:r>
                        <m:rPr>
                          <m:sty m:val="p"/>
                        </m:rPr>
                        <m:t>,</m:t>
                      </m:r>
                      <m:r>
                        <m:t>d</m:t>
                      </m:r>
                    </m:sub>
                  </m:sSub>
                  <m:r>
                    <m:rPr>
                      <m:sty m:val="p"/>
                    </m:rPr>
                    <m:t>(</m:t>
                  </m:r>
                  <m:r>
                    <m:t>t</m:t>
                  </m:r>
                  <m:r>
                    <m:rPr>
                      <m:sty m:val="p"/>
                    </m:rPr>
                    <m:t>)</m:t>
                  </m:r>
                </m:e>
              </m:d>
            </m:e>
          </m:d>
          <m:r>
            <m:rPr>
              <m:sty m:val="p"/>
            </m:rPr>
            <m:t>=</m:t>
          </m:r>
          <m:sSub>
            <m:e>
              <m:r>
                <m:rPr>
                  <m:scr m:val="script"/>
                  <m:sty m:val="p"/>
                </m:rPr>
                <m:t>L</m:t>
              </m:r>
            </m:e>
            <m:sub>
              <m:r>
                <m:t>z</m:t>
              </m:r>
            </m:sub>
          </m:sSub>
          <m:r>
            <m:t>​</m:t>
          </m:r>
          <m:d>
            <m:dPr>
              <m:begChr m:val="("/>
              <m:sepChr m:val=""/>
              <m:endChr m:val=")"/>
              <m:grow/>
            </m:dPr>
            <m:e>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bSup>
            <m:e>
              <m:r>
                <m:t>h</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r>
            <m:rPr>
              <m:sty m:val="p"/>
            </m:rPr>
            <m:t>−</m:t>
          </m:r>
          <m:f>
            <m:fPr>
              <m:type m:val="bar"/>
            </m:fPr>
            <m:num>
              <m:r>
                <m:t>d</m:t>
              </m:r>
            </m:num>
            <m:den>
              <m:r>
                <m:t>d</m:t>
              </m:r>
              <m:r>
                <m:t>t</m:t>
              </m:r>
            </m:den>
          </m:f>
          <m:r>
            <m:rPr>
              <m:sty m:val="p"/>
            </m:rPr>
            <m:t>log</m:t>
          </m:r>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oMath>
      <w:r>
        <w:t xml:space="preserve"> </w:t>
      </w:r>
      <w:r>
        <w:t xml:space="preserve">is constant (so</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t>t</m:t>
        </m:r>
      </m:oMath>
      <w:r>
        <w:t xml:space="preserve">), the cohort hazard</w:t>
      </w:r>
      <w:r>
        <w:t xml:space="preserve"> </w:t>
      </w:r>
      <m:oMath>
        <m:sSubSup>
          <m:e>
            <m:r>
              <m:t>h</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95"/>
    <w:bookmarkStart w:id="196"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sSub>
          <m:e>
            <m:r>
              <m:t>θ</m:t>
            </m:r>
          </m:e>
          <m:sub>
            <m:r>
              <m:t>d</m:t>
            </m:r>
          </m:sub>
        </m:sSub>
        <m:r>
          <m:rPr>
            <m:sty m:val="p"/>
          </m:rPr>
          <m:t>,</m:t>
        </m:r>
        <m:r>
          <m:t>β</m:t>
        </m:r>
        <m:r>
          <m:rPr>
            <m:sty m:val="p"/>
          </m:rPr>
          <m:t>=</m:t>
        </m:r>
        <m:r>
          <m:t>1</m:t>
        </m:r>
        <m:r>
          <m:rPr>
            <m:sty m:val="p"/>
          </m:rPr>
          <m:t>/</m:t>
        </m:r>
        <m:sSub>
          <m:e>
            <m:r>
              <m:t>θ</m:t>
            </m:r>
          </m:e>
          <m:sub>
            <m:r>
              <m:t>d</m:t>
            </m:r>
          </m:sub>
        </m:sSub>
        <m:r>
          <m:rPr>
            <m:sty m:val="p"/>
          </m:rPr>
          <m:t>)</m:t>
        </m:r>
      </m:oMath>
      <w:r>
        <w:t xml:space="preserve"> </w:t>
      </w:r>
      <w:r>
        <w:t xml:space="preserve">with mean 1 and variance</w:t>
      </w:r>
      <w:r>
        <w:t xml:space="preserve"> </w:t>
      </w:r>
      <m:oMath>
        <m:sSub>
          <m:e>
            <m:r>
              <m:t>θ</m:t>
            </m:r>
          </m:e>
          <m:sub>
            <m:r>
              <m:t>d</m:t>
            </m:r>
          </m:sub>
        </m:sSub>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sSub>
                    <m:e>
                      <m:r>
                        <m:t>θ</m:t>
                      </m:r>
                    </m:e>
                    <m:sub>
                      <m:r>
                        <m:t>d</m:t>
                      </m:r>
                    </m:sub>
                  </m:sSub>
                  <m:r>
                    <m:t>s</m:t>
                  </m:r>
                </m:e>
              </m:d>
            </m:e>
            <m:sup>
              <m:r>
                <m:rPr>
                  <m:sty m:val="p"/>
                </m:rPr>
                <m:t>−</m:t>
              </m:r>
              <m:r>
                <m:t>1</m:t>
              </m:r>
              <m:r>
                <m:rPr>
                  <m:sty m:val="p"/>
                </m:rPr>
                <m:t>/</m:t>
              </m:r>
              <m:sSub>
                <m:e>
                  <m:r>
                    <m:t>θ</m:t>
                  </m:r>
                </m:e>
                <m:sub>
                  <m:r>
                    <m:t>d</m:t>
                  </m:r>
                </m:sub>
              </m:sSub>
            </m:sup>
          </m:sSup>
          <m:r>
            <m:rPr>
              <m:sty m:val="p"/>
            </m:rPr>
            <m:t>.</m:t>
          </m:r>
        </m:oMath>
      </m:oMathPara>
    </w:p>
    <w:p>
      <w:pPr>
        <w:pStyle w:val="FirstParagraph"/>
      </w:pPr>
      <w:r>
        <w:t xml:space="preserve">The cohort survival function becomes:</w:t>
      </w:r>
    </w:p>
    <w:p>
      <w:pPr>
        <w:pStyle w:val="BodyText"/>
      </w:pPr>
      <m:oMathPara>
        <m:oMathParaPr>
          <m:jc m:val="center"/>
        </m:oMathParaPr>
        <m:oMath>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sSup>
            <m:e>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e>
            <m:sup>
              <m:r>
                <m:rPr>
                  <m:sty m:val="p"/>
                </m:rPr>
                <m:t>−</m:t>
              </m:r>
              <m:r>
                <m:t>1</m:t>
              </m:r>
              <m:r>
                <m:rPr>
                  <m:sty m:val="p"/>
                </m:rPr>
                <m:t>/</m:t>
              </m:r>
              <m:sSub>
                <m:e>
                  <m:r>
                    <m:t>θ</m:t>
                  </m:r>
                </m:e>
                <m:sub>
                  <m:r>
                    <m:t>d</m:t>
                  </m:r>
                </m:sub>
              </m:sSub>
            </m:sup>
          </m:sSup>
          <m:r>
            <m:rPr>
              <m:sty m:val="p"/>
            </m:rPr>
            <m:t>.</m:t>
          </m:r>
        </m:oMath>
      </m:oMathPara>
    </w:p>
    <w:p>
      <w:pPr>
        <w:pStyle w:val="FirstParagraph"/>
      </w:pPr>
      <w:r>
        <w:t xml:space="preserve">The observed cumulative hazard is defined as:</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log</m:t>
          </m:r>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oMath>
      </m:oMathPara>
    </w:p>
    <w:p>
      <w:pPr>
        <w:pStyle w:val="FirstParagraph"/>
      </w:pPr>
      <w:r>
        <w:t xml:space="preserve">Substituting the gamma Laplace transform yields the canonical gamma-frailty identity:</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This is the gamma-frailty identity (see Equation (5) in the main text).</w:t>
      </w:r>
    </w:p>
    <w:bookmarkEnd w:id="196"/>
    <w:bookmarkStart w:id="197" w:name="a.3-inversion-formula"/>
    <w:p>
      <w:pPr>
        <w:pStyle w:val="Heading4"/>
      </w:pPr>
      <w:r>
        <w:t xml:space="preserve">A.3 Inversion formula</w:t>
      </w:r>
    </w:p>
    <w:p>
      <w:pPr>
        <w:pStyle w:val="FirstParagraph"/>
      </w:pPr>
      <w:r>
        <w:t xml:space="preserve">Solving for</w:t>
      </w:r>
      <w:r>
        <w:t xml:space="preserve"> </w:t>
      </w:r>
      <m:oMath>
        <m:sSub>
          <m:e>
            <m:r>
              <m:t>H</m:t>
            </m:r>
          </m:e>
          <m:sub>
            <m:r>
              <m:t>0</m:t>
            </m:r>
            <m:r>
              <m:rPr>
                <m:sty m:val="p"/>
              </m:rPr>
              <m:t>,</m:t>
            </m:r>
            <m:r>
              <m:t>d</m:t>
            </m:r>
          </m:sub>
        </m:sSub>
        <m:r>
          <m:rPr>
            <m:sty m:val="p"/>
          </m:rPr>
          <m:t>(</m:t>
        </m:r>
        <m:r>
          <m:t>t</m:t>
        </m:r>
        <m:r>
          <m:rPr>
            <m:sty m:val="p"/>
          </m:rPr>
          <m:t>)</m:t>
        </m:r>
      </m:oMath>
      <w:r>
        <w:t xml:space="preserve"> </w:t>
      </w:r>
      <w:r>
        <w:t xml:space="preserve">from the gamma-frailty identity gives the canonical inversion:</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sSub>
          <m:e>
            <m:r>
              <m:t>θ</m:t>
            </m:r>
          </m:e>
          <m:sub>
            <m:r>
              <m:t>d</m:t>
            </m:r>
          </m:sub>
        </m:sSub>
      </m:oMath>
      <w:r>
        <w:t xml:space="preserve">.</w:t>
      </w:r>
    </w:p>
    <w:bookmarkEnd w:id="197"/>
    <w:bookmarkStart w:id="198" w:name="Xe62053e88c74ce3ce1f921b859f3d7be836aade"/>
    <w:p>
      <w:pPr>
        <w:pStyle w:val="Heading4"/>
      </w:pPr>
      <w:r>
        <w:t xml:space="preserve">A.3a Relationship to the Vaupel–Manton–Stallard gamma frailty framework</w:t>
      </w:r>
    </w:p>
    <w:p>
      <w:pPr>
        <w:pStyle w:val="FirstParagraph"/>
      </w:pPr>
      <w:r>
        <w:t xml:space="preserve">KCOR’s normalization step is grounded in the classical demographic frailty framework (e.g., Vaupel–Manton–Stallard), in which individual hazards are multiplicatively scaled by latent frailty and cohort-level hazards decelerate due to depletion of susceptibles. Under gamma frailty, the Laplace-transform identity yields a closed-form relationship between observed cohort cumulative hazard and baseline cumulative hazard, and the inversion in §A.3 recovers the baseline cumulative hazard from observed cumulative hazards given</w:t>
      </w:r>
      <w:r>
        <w:t xml:space="preserve"> </w:t>
      </w:r>
      <m:oMath>
        <m:sSub>
          <m:e>
            <m:r>
              <m:t>θ</m:t>
            </m:r>
          </m:e>
          <m:sub>
            <m:r>
              <m:t>d</m:t>
            </m:r>
          </m:sub>
        </m:sSub>
      </m:oMath>
      <w:r>
        <w:t xml:space="preserve">.</w:t>
      </w:r>
    </w:p>
    <w:p>
      <w:pPr>
        <w:pStyle w:val="BodyText"/>
      </w:pPr>
      <w:r>
        <w:t xml:space="preserve">The distinction in KCOR is not the frailty identity itself, but the</w:t>
      </w:r>
      <w:r>
        <w:t xml:space="preserve"> </w:t>
      </w:r>
      <w:r>
        <w:rPr>
          <w:b/>
          <w:bCs/>
        </w:rPr>
        <w:t xml:space="preserve">direction of inference</w:t>
      </w:r>
      <w:r>
        <w:t xml:space="preserve"> </w:t>
      </w:r>
      <w:r>
        <w:t xml:space="preserve">and the</w:t>
      </w:r>
      <w:r>
        <w:t xml:space="preserve"> </w:t>
      </w:r>
      <w:r>
        <w:rPr>
          <w:b/>
          <w:bCs/>
        </w:rPr>
        <w:t xml:space="preserve">estimand</w:t>
      </w:r>
      <w:r>
        <w:t xml:space="preserve">. Frailty-augmented Cox and related regression approaches embed gamma frailty within a regression model to estimate covariate effects (hazard ratios). KCOR instead uses quiet-window curvature to estimate cohort-specific frailty parameters and then inverts the frailty identity to obtain depletion-neutralized baseline cumulative hazards, defining KCOR as a ratio of these cumulative quantities. Thus, KCOR solves an inverse normalization problem and targets cumulative comparisons under selection-induced non-proportional hazards rather than instantaneous hazard-ratio regression parameters.</w:t>
      </w:r>
    </w:p>
    <w:bookmarkEnd w:id="198"/>
    <w:bookmarkStart w:id="199" w:name="a.4-variance-propagation-sketch"/>
    <w:p>
      <w:pPr>
        <w:pStyle w:val="Heading4"/>
      </w:pPr>
      <w:r>
        <w:t xml:space="preserve">A.4 Variance propagation (sketch)</w:t>
      </w:r>
    </w:p>
    <w:p>
      <w:pPr>
        <w:pStyle w:val="FirstParagraph"/>
      </w:pPr>
      <w:r>
        <w:t xml:space="preserve">For uncertainty quantification, variance in KCOR</w:t>
      </w:r>
      <m:oMath>
        <m:r>
          <m:rPr>
            <m:sty m:val="p"/>
          </m:rPr>
          <m:t>(</m:t>
        </m:r>
        <m:r>
          <m:t>t</m:t>
        </m:r>
        <m:r>
          <m:rPr>
            <m:sty m:val="p"/>
          </m:rPr>
          <m:t>)</m:t>
        </m:r>
      </m:oMath>
      <w:r>
        <w:t xml:space="preserve"> </w:t>
      </w:r>
      <w:r>
        <w:t xml:space="preserve">can be approximated via the delta method. Define:</w:t>
      </w:r>
    </w:p>
    <w:p>
      <w:pPr>
        <w:pStyle w:val="BodyText"/>
      </w:pPr>
      <m:oMathPara>
        <m:oMathParaPr>
          <m:jc m:val="center"/>
        </m:oMathParaPr>
        <m:oMath>
          <m:r>
            <m:t>K</m:t>
          </m:r>
          <m:r>
            <m:t>C</m:t>
          </m:r>
          <m:r>
            <m:t>O</m:t>
          </m:r>
          <m: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m:oMathPara>
    </w:p>
    <w:p>
      <w:pPr>
        <w:pStyle w:val="FirstParagraph"/>
      </w:pPr>
      <w:r>
        <w:t xml:space="preserve">If the variance of the depletion-neutralized cumulative hazard 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t>​</m:t>
          </m:r>
          <m:d>
            <m:dPr>
              <m:begChr m:val="("/>
              <m:sepChr m:val=""/>
              <m:endChr m:val=")"/>
              <m:grow/>
            </m:dPr>
            <m:e>
              <m:r>
                <m:t>K</m:t>
              </m:r>
              <m:r>
                <m:t>C</m:t>
              </m:r>
              <m:r>
                <m:t>O</m:t>
              </m:r>
              <m:r>
                <m:t>R</m:t>
              </m:r>
              <m:r>
                <m:rPr>
                  <m:sty m:val="p"/>
                </m:rPr>
                <m:t>(</m:t>
              </m:r>
              <m:r>
                <m:t>t</m:t>
              </m:r>
              <m:r>
                <m:rPr>
                  <m:sty m:val="p"/>
                </m:rPr>
                <m:t>)</m:t>
              </m:r>
            </m:e>
          </m:d>
          <m:r>
            <m:rPr>
              <m:sty m:val="p"/>
            </m:rPr>
            <m:t>≈</m:t>
          </m:r>
          <m:r>
            <m:t>K</m:t>
          </m:r>
          <m:r>
            <m:t>C</m:t>
          </m:r>
          <m:r>
            <m:t>O</m:t>
          </m:r>
          <m:r>
            <m:t>R</m:t>
          </m:r>
          <m:r>
            <m:rPr>
              <m:sty m:val="p"/>
            </m:rPr>
            <m:t>(</m:t>
          </m:r>
          <m:r>
            <m:t>t</m:t>
          </m:r>
          <m:sSup>
            <m:e>
              <m:r>
                <m:rPr>
                  <m:sty m:val="p"/>
                </m:rPr>
                <m:t>)</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sSup>
                    <m:e>
                      <m:r>
                        <m:rPr>
                          <m:sty m:val="p"/>
                        </m:rPr>
                        <m:t>)</m:t>
                      </m:r>
                    </m:e>
                    <m:sup>
                      <m:r>
                        <m:t>2</m:t>
                      </m:r>
                    </m:sup>
                  </m:s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B</m:t>
                      </m:r>
                    </m:sub>
                  </m:sSub>
                  <m:r>
                    <m:rPr>
                      <m:sty m:val="p"/>
                    </m:rPr>
                    <m:t>(</m:t>
                  </m:r>
                  <m:r>
                    <m:t>t</m:t>
                  </m:r>
                  <m:sSup>
                    <m:e>
                      <m:r>
                        <m:rPr>
                          <m:sty m:val="p"/>
                        </m:rPr>
                        <m:t>)</m:t>
                      </m:r>
                    </m:e>
                    <m:sup>
                      <m:r>
                        <m:t>2</m:t>
                      </m:r>
                    </m:sup>
                  </m:s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r>
                    <m:rPr>
                      <m:sty m:val="p"/>
                    </m:rPr>
                    <m:t>)</m:t>
                  </m:r>
                  <m:sSub>
                    <m:e>
                      <m:acc>
                        <m:accPr>
                          <m:chr m:val="̃"/>
                        </m:accPr>
                        <m:e>
                          <m:r>
                            <m:t>H</m:t>
                          </m:r>
                        </m:e>
                      </m:acc>
                    </m:e>
                    <m:sub>
                      <m:r>
                        <m:t>0</m:t>
                      </m:r>
                      <m:r>
                        <m:rPr>
                          <m:sty m:val="p"/>
                        </m:rPr>
                        <m:t>,</m:t>
                      </m:r>
                      <m:r>
                        <m:t>B</m:t>
                      </m:r>
                    </m:sub>
                  </m:sSub>
                  <m:r>
                    <m:rPr>
                      <m:sty m:val="p"/>
                    </m:rPr>
                    <m:t>(</m:t>
                  </m:r>
                  <m:r>
                    <m:t>t</m:t>
                  </m:r>
                  <m:r>
                    <m:rPr>
                      <m:sty m:val="p"/>
                    </m:rPr>
                    <m:t>)</m:t>
                  </m:r>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99"/>
    <w:bookmarkEnd w:id="200"/>
    <w:bookmarkStart w:id="213" w:name="appendix-b.-control-test-specifications"/>
    <w:p>
      <w:pPr>
        <w:pStyle w:val="Heading3"/>
      </w:pPr>
      <w:r>
        <w:t xml:space="preserve">Appendix B. Control-test specifications</w:t>
      </w:r>
    </w:p>
    <w:bookmarkStart w:id="201" w:name="X2180becb792c7366d1a2d9abe674c7e8eb8a3b6"/>
    <w:p>
      <w:pPr>
        <w:pStyle w:val="Heading4"/>
      </w:pPr>
      <w:r>
        <w:t xml:space="preserve">B.1 Negative control: synthetic gamma-frailty null</w:t>
      </w:r>
    </w:p>
    <w:p>
      <w:pPr>
        <w:pStyle w:val="FirstParagraph"/>
      </w:pPr>
      <w:r>
        <w:t xml:space="preserve">The synthetic negative control (Figure 5) is generated using:</w:t>
      </w:r>
    </w:p>
    <w:p>
      <w:pPr>
        <w:pStyle w:val="Compact"/>
        <w:numPr>
          <w:ilvl w:val="0"/>
          <w:numId w:val="1031"/>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31"/>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31"/>
        </w:numPr>
      </w:pPr>
      <w:r>
        <w:rPr>
          <w:b/>
          <w:bCs/>
        </w:rPr>
        <w:t xml:space="preserve">Cohort A weights</w:t>
      </w:r>
      <w:r>
        <w:t xml:space="preserve">: Equal weights across 5 frailty groups (0.2 each)</w:t>
      </w:r>
    </w:p>
    <w:p>
      <w:pPr>
        <w:pStyle w:val="Compact"/>
        <w:numPr>
          <w:ilvl w:val="0"/>
          <w:numId w:val="1031"/>
        </w:numPr>
      </w:pPr>
      <w:r>
        <w:rPr>
          <w:b/>
          <w:bCs/>
        </w:rPr>
        <w:t xml:space="preserve">Cohort B weights</w:t>
      </w:r>
      <w:r>
        <w:t xml:space="preserve">: Shifted weights [0.30, 0.20, 0.20, 0.20, 0.10]</w:t>
      </w:r>
    </w:p>
    <w:p>
      <w:pPr>
        <w:pStyle w:val="Compact"/>
        <w:numPr>
          <w:ilvl w:val="0"/>
          <w:numId w:val="1031"/>
        </w:numPr>
      </w:pPr>
      <w:r>
        <w:rPr>
          <w:b/>
          <w:bCs/>
        </w:rPr>
        <w:t xml:space="preserve">Frailty values</w:t>
      </w:r>
      <w:r>
        <w:t xml:space="preserve">: [1, 2, 4, 6, 10] (relative frailty multipliers)</w:t>
      </w:r>
    </w:p>
    <w:p>
      <w:pPr>
        <w:pStyle w:val="Compact"/>
        <w:numPr>
          <w:ilvl w:val="0"/>
          <w:numId w:val="1031"/>
        </w:numPr>
      </w:pPr>
      <w:r>
        <w:rPr>
          <w:b/>
          <w:bCs/>
        </w:rPr>
        <w:t xml:space="preserve">Base weekly probability</w:t>
      </w:r>
      <w:r>
        <w:t xml:space="preserve">: 0.01</w:t>
      </w:r>
    </w:p>
    <w:p>
      <w:pPr>
        <w:pStyle w:val="Compact"/>
        <w:numPr>
          <w:ilvl w:val="0"/>
          <w:numId w:val="1031"/>
        </w:numPr>
      </w:pPr>
      <w:r>
        <w:rPr>
          <w:b/>
          <w:bCs/>
        </w:rPr>
        <w:t xml:space="preserve">Weekly log-slope</w:t>
      </w:r>
      <w:r>
        <w:t xml:space="preserve">: 0.0 (constant baseline during quiet periods)</w:t>
      </w:r>
    </w:p>
    <w:p>
      <w:pPr>
        <w:pStyle w:val="Compact"/>
        <w:numPr>
          <w:ilvl w:val="0"/>
          <w:numId w:val="1031"/>
        </w:numPr>
      </w:pPr>
      <w:r>
        <w:rPr>
          <w:b/>
          <w:bCs/>
        </w:rPr>
        <w:t xml:space="preserve">Skip weeks</w:t>
      </w:r>
      <w:r>
        <w:t xml:space="preserve">: 2</w:t>
      </w:r>
    </w:p>
    <w:p>
      <w:pPr>
        <w:pStyle w:val="Compact"/>
        <w:numPr>
          <w:ilvl w:val="0"/>
          <w:numId w:val="1031"/>
        </w:numPr>
      </w:pPr>
      <w:r>
        <w:rPr>
          <w:b/>
          <w:bCs/>
        </w:rPr>
        <w:t xml:space="preserve">Normalization weeks</w:t>
      </w:r>
      <w:r>
        <w:t xml:space="preserve">: 4</w:t>
      </w:r>
    </w:p>
    <w:p>
      <w:pPr>
        <w:pStyle w:val="Compact"/>
        <w:numPr>
          <w:ilvl w:val="0"/>
          <w:numId w:val="1031"/>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201"/>
    <w:bookmarkStart w:id="202" w:name="X6ca5a97e85e9ee460a15280db933ceb5c1ed112"/>
    <w:p>
      <w:pPr>
        <w:pStyle w:val="Heading4"/>
      </w:pPr>
      <w:r>
        <w:t xml:space="preserve">B.2 Negative control: empirical age-shift construction</w:t>
      </w:r>
    </w:p>
    <w:p>
      <w:pPr>
        <w:pStyle w:val="FirstParagraph"/>
      </w:pPr>
      <w:r>
        <w:t xml:space="preserve">The empirical negative control (Figures 6 and 7) is generated using:</w:t>
      </w:r>
    </w:p>
    <w:p>
      <w:pPr>
        <w:pStyle w:val="Compact"/>
        <w:numPr>
          <w:ilvl w:val="0"/>
          <w:numId w:val="1032"/>
        </w:numPr>
      </w:pPr>
      <w:r>
        <w:rPr>
          <w:b/>
          <w:bCs/>
        </w:rPr>
        <w:t xml:space="preserve">Data source</w:t>
      </w:r>
      <w:r>
        <w:t xml:space="preserve">: Czech Republic administrative mortality and vaccination data, aggregated into KCOR_CMR format</w:t>
      </w:r>
    </w:p>
    <w:p>
      <w:pPr>
        <w:pStyle w:val="Compact"/>
        <w:numPr>
          <w:ilvl w:val="0"/>
          <w:numId w:val="1032"/>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32"/>
        </w:numPr>
      </w:pPr>
      <w:r>
        <w:rPr>
          <w:b/>
          <w:bCs/>
        </w:rPr>
        <w:t xml:space="preserve">Construction</w:t>
      </w:r>
      <w:r>
        <w:t xml:space="preserve">: Age strata remapped to pseudo-doses within same vaccination category</w:t>
      </w:r>
    </w:p>
    <w:p>
      <w:pPr>
        <w:pStyle w:val="Compact"/>
        <w:numPr>
          <w:ilvl w:val="0"/>
          <w:numId w:val="1032"/>
        </w:numPr>
      </w:pPr>
      <w:r>
        <w:rPr>
          <w:b/>
          <w:bCs/>
        </w:rPr>
        <w:t xml:space="preserve">Age mapping</w:t>
      </w:r>
      <w:r>
        <w:t xml:space="preserve">:</w:t>
      </w:r>
    </w:p>
    <w:p>
      <w:pPr>
        <w:pStyle w:val="Compact"/>
        <w:numPr>
          <w:ilvl w:val="1"/>
          <w:numId w:val="1033"/>
        </w:numPr>
      </w:pPr>
      <w:r>
        <w:t xml:space="preserve">Dose 0 → YoB {1930, 1935}</w:t>
      </w:r>
    </w:p>
    <w:p>
      <w:pPr>
        <w:pStyle w:val="Compact"/>
        <w:numPr>
          <w:ilvl w:val="1"/>
          <w:numId w:val="1033"/>
        </w:numPr>
      </w:pPr>
      <w:r>
        <w:t xml:space="preserve">Dose 1 → YoB {1940, 1945}</w:t>
      </w:r>
    </w:p>
    <w:p>
      <w:pPr>
        <w:pStyle w:val="Compact"/>
        <w:numPr>
          <w:ilvl w:val="1"/>
          <w:numId w:val="1033"/>
        </w:numPr>
      </w:pPr>
      <w:r>
        <w:t xml:space="preserve">Dose 2 → YoB {1950, 1955}</w:t>
      </w:r>
    </w:p>
    <w:p>
      <w:pPr>
        <w:pStyle w:val="Compact"/>
        <w:numPr>
          <w:ilvl w:val="0"/>
          <w:numId w:val="1032"/>
        </w:numPr>
      </w:pPr>
      <w:r>
        <w:rPr>
          <w:b/>
          <w:bCs/>
        </w:rPr>
        <w:t xml:space="preserve">Output YoB</w:t>
      </w:r>
      <w:r>
        <w:t xml:space="preserve">: Fixed at 1950 (unvax cohort) or 1940 (vax cohort)</w:t>
      </w:r>
    </w:p>
    <w:p>
      <w:pPr>
        <w:pStyle w:val="Compact"/>
        <w:numPr>
          <w:ilvl w:val="0"/>
          <w:numId w:val="1032"/>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202"/>
    <w:bookmarkStart w:id="203" w:name="b.3-positive-control-injected-effect"/>
    <w:p>
      <w:pPr>
        <w:pStyle w:val="Heading4"/>
      </w:pPr>
      <w:r>
        <w:t xml:space="preserve">B.3 Positive control: injected effect</w:t>
      </w:r>
    </w:p>
    <w:p>
      <w:pPr>
        <w:pStyle w:val="FirstParagraph"/>
      </w:pPr>
      <w:r>
        <w:t xml:space="preserve">The positive control (Figure 8 and Table 8) is generated using:</w:t>
      </w:r>
    </w:p>
    <w:p>
      <w:pPr>
        <w:pStyle w:val="Compact"/>
        <w:numPr>
          <w:ilvl w:val="0"/>
          <w:numId w:val="1034"/>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34"/>
        </w:numPr>
      </w:pPr>
      <w:r>
        <w:rPr>
          <w:b/>
          <w:bCs/>
        </w:rPr>
        <w:t xml:space="preserve">Initial cohort size</w:t>
      </w:r>
      <w:r>
        <w:t xml:space="preserve">: 100,000 per cohort</w:t>
      </w:r>
    </w:p>
    <w:p>
      <w:pPr>
        <w:pStyle w:val="Compact"/>
        <w:numPr>
          <w:ilvl w:val="0"/>
          <w:numId w:val="1034"/>
        </w:numPr>
      </w:pPr>
      <w:r>
        <w:rPr>
          <w:b/>
          <w:bCs/>
        </w:rPr>
        <w:t xml:space="preserve">Baseline hazard</w:t>
      </w:r>
      <w:r>
        <w:t xml:space="preserve">: 0.002 per week</w:t>
      </w:r>
    </w:p>
    <w:p>
      <w:pPr>
        <w:pStyle w:val="Compact"/>
        <w:numPr>
          <w:ilvl w:val="0"/>
          <w:numId w:val="1034"/>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34"/>
        </w:numPr>
      </w:pPr>
      <w:r>
        <w:rPr>
          <w:b/>
          <w:bCs/>
        </w:rPr>
        <w:t xml:space="preserve">Effect window</w:t>
      </w:r>
      <w:r>
        <w:t xml:space="preserve">: weeks 20–80</w:t>
      </w:r>
    </w:p>
    <w:p>
      <w:pPr>
        <w:pStyle w:val="Compact"/>
        <w:numPr>
          <w:ilvl w:val="0"/>
          <w:numId w:val="1034"/>
        </w:numPr>
      </w:pPr>
      <w:r>
        <w:rPr>
          <w:b/>
          <w:bCs/>
        </w:rPr>
        <w:t xml:space="preserve">Hazard multipliers</w:t>
      </w:r>
      <w:r>
        <w:t xml:space="preserve">:</w:t>
      </w:r>
    </w:p>
    <w:p>
      <w:pPr>
        <w:pStyle w:val="Compact"/>
        <w:numPr>
          <w:ilvl w:val="1"/>
          <w:numId w:val="1035"/>
        </w:numPr>
      </w:pPr>
      <w:r>
        <w:t xml:space="preserve">Harm scenario:</w:t>
      </w:r>
      <w:r>
        <w:t xml:space="preserve"> </w:t>
      </w:r>
      <m:oMath>
        <m:r>
          <m:t>r</m:t>
        </m:r>
        <m:r>
          <m:rPr>
            <m:sty m:val="p"/>
          </m:rPr>
          <m:t>=</m:t>
        </m:r>
        <m:r>
          <m:t>1.2</m:t>
        </m:r>
      </m:oMath>
    </w:p>
    <w:p>
      <w:pPr>
        <w:pStyle w:val="Compact"/>
        <w:numPr>
          <w:ilvl w:val="1"/>
          <w:numId w:val="1035"/>
        </w:numPr>
      </w:pPr>
      <w:r>
        <w:t xml:space="preserve">Benefit scenario:</w:t>
      </w:r>
      <w:r>
        <w:t xml:space="preserve"> </w:t>
      </w:r>
      <m:oMath>
        <m:r>
          <m:t>r</m:t>
        </m:r>
        <m:r>
          <m:rPr>
            <m:sty m:val="p"/>
          </m:rPr>
          <m:t>=</m:t>
        </m:r>
        <m:r>
          <m:t>0.8</m:t>
        </m:r>
      </m:oMath>
    </w:p>
    <w:p>
      <w:pPr>
        <w:pStyle w:val="Compact"/>
        <w:numPr>
          <w:ilvl w:val="0"/>
          <w:numId w:val="1034"/>
        </w:numPr>
      </w:pPr>
      <w:r>
        <w:rPr>
          <w:b/>
          <w:bCs/>
        </w:rPr>
        <w:t xml:space="preserve">Random seed</w:t>
      </w:r>
      <w:r>
        <w:t xml:space="preserve">: 42</w:t>
      </w:r>
    </w:p>
    <w:p>
      <w:pPr>
        <w:pStyle w:val="Compact"/>
        <w:numPr>
          <w:ilvl w:val="0"/>
          <w:numId w:val="1034"/>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203"/>
    <w:bookmarkStart w:id="204" w:name="b.4-sensitivity-analysis-parameters"/>
    <w:p>
      <w:pPr>
        <w:pStyle w:val="Heading4"/>
      </w:pPr>
      <w:r>
        <w:t xml:space="preserve">B.4 Sensitivity analysis parameters</w:t>
      </w:r>
    </w:p>
    <w:p>
      <w:pPr>
        <w:pStyle w:val="FirstParagraph"/>
      </w:pPr>
      <w:r>
        <w:t xml:space="preserve">The sensitivity analysis (Figure 9) varies:</w:t>
      </w:r>
    </w:p>
    <w:p>
      <w:pPr>
        <w:pStyle w:val="Compact"/>
        <w:numPr>
          <w:ilvl w:val="0"/>
          <w:numId w:val="1036"/>
        </w:numPr>
      </w:pPr>
      <w:r>
        <w:rPr>
          <w:b/>
          <w:bCs/>
        </w:rPr>
        <w:t xml:space="preserve">Baseline weeks</w:t>
      </w:r>
      <w:r>
        <w:t xml:space="preserve">: [2, 3, 4, 5, 6, 7, 8]</w:t>
      </w:r>
    </w:p>
    <w:p>
      <w:pPr>
        <w:pStyle w:val="Compact"/>
        <w:numPr>
          <w:ilvl w:val="0"/>
          <w:numId w:val="1036"/>
        </w:numPr>
      </w:pPr>
      <w:r>
        <w:rPr>
          <w:b/>
          <w:bCs/>
        </w:rPr>
        <w:t xml:space="preserve">Quiet-start offsets</w:t>
      </w:r>
      <w:r>
        <w:t xml:space="preserve">: [-12, -8, -4, 0, +4, +8, +12] weeks from 2022-24</w:t>
      </w:r>
    </w:p>
    <w:p>
      <w:pPr>
        <w:pStyle w:val="Compact"/>
        <w:numPr>
          <w:ilvl w:val="0"/>
          <w:numId w:val="1036"/>
        </w:numPr>
      </w:pPr>
      <w:r>
        <w:rPr>
          <w:b/>
          <w:bCs/>
        </w:rPr>
        <w:t xml:space="preserve">Quiet-window end</w:t>
      </w:r>
      <w:r>
        <w:t xml:space="preserve">: Fixed at 2024-16</w:t>
      </w:r>
    </w:p>
    <w:p>
      <w:pPr>
        <w:pStyle w:val="Compact"/>
        <w:numPr>
          <w:ilvl w:val="0"/>
          <w:numId w:val="1036"/>
        </w:numPr>
      </w:pPr>
      <w:r>
        <w:rPr>
          <w:b/>
          <w:bCs/>
        </w:rPr>
        <w:t xml:space="preserve">Dose pairs</w:t>
      </w:r>
      <w:r>
        <w:t xml:space="preserve">: 1 vs 0, 2 vs 0, 2 vs 1</w:t>
      </w:r>
    </w:p>
    <w:p>
      <w:pPr>
        <w:pStyle w:val="Compact"/>
        <w:numPr>
          <w:ilvl w:val="0"/>
          <w:numId w:val="1036"/>
        </w:numPr>
      </w:pPr>
      <w:r>
        <w:rPr>
          <w:b/>
          <w:bCs/>
        </w:rPr>
        <w:t xml:space="preserve">Cohorts</w:t>
      </w:r>
      <w:r>
        <w:t xml:space="preserve">: 2021_24</w:t>
      </w:r>
    </w:p>
    <w:p>
      <w:pPr>
        <w:pStyle w:val="FirstParagraph"/>
      </w:pPr>
      <w:r>
        <w:t xml:space="preserve">Output grids show KCOR(t) values for each parameter combination.</w:t>
      </w:r>
    </w:p>
    <w:bookmarkEnd w:id="204"/>
    <w:bookmarkStart w:id="205" w:name="Xbd1462ff0bc513130e3b940479c9db4fb357ab5"/>
    <w:p>
      <w:pPr>
        <w:pStyle w:val="Heading4"/>
      </w:pPr>
      <w:r>
        <w:t xml:space="preserve">B.5 Tail-sampling / bimodal selection (adversarial selection geometry)</w:t>
      </w:r>
    </w:p>
    <w:p>
      <w:pPr>
        <w:pStyle w:val="FirstParagraph"/>
      </w:pPr>
      <w:r>
        <w:t xml:space="preserve">We generate a base frailty population distribution with mean 1. Cohort construction differs by selection rule:</w:t>
      </w:r>
    </w:p>
    <w:p>
      <w:pPr>
        <w:pStyle w:val="Compact"/>
        <w:numPr>
          <w:ilvl w:val="0"/>
          <w:numId w:val="1037"/>
        </w:numPr>
      </w:pPr>
      <w:r>
        <w:rPr>
          <w:b/>
          <w:bCs/>
        </w:rPr>
        <w:t xml:space="preserve">Mid-sampled cohort</w:t>
      </w:r>
      <w:r>
        <w:t xml:space="preserve">: frailty restricted to central quantiles (e.g., 25th–75th percentile) and renormalized to mean 1.</w:t>
      </w:r>
    </w:p>
    <w:p>
      <w:pPr>
        <w:pStyle w:val="Compact"/>
        <w:numPr>
          <w:ilvl w:val="0"/>
          <w:numId w:val="1037"/>
        </w:numPr>
      </w:pPr>
      <w:r>
        <w:rPr>
          <w:b/>
          <w:bCs/>
        </w:rPr>
        <w:t xml:space="preserve">Tail-sampled cohort</w:t>
      </w:r>
      <w:r>
        <w:t xml:space="preserve">: mixture of low and high tails (e.g., 0–15th and 85th–100th percentiles) with mixture weights chosen to yield mean 1.</w:t>
      </w:r>
    </w:p>
    <w:p>
      <w:pPr>
        <w:pStyle w:val="FirstParagraph"/>
      </w:pPr>
      <w:r>
        <w:t xml:space="preserve">Both cohorts share the same baseline hazard</w:t>
      </w:r>
      <w:r>
        <w:t xml:space="preserve"> </w:t>
      </w:r>
      <m:oMath>
        <m:sSub>
          <m:e>
            <m:r>
              <m:t>h</m:t>
            </m:r>
          </m:e>
          <m:sub>
            <m:r>
              <m:t>0</m:t>
            </m:r>
          </m:sub>
        </m:sSub>
        <m:r>
          <m:rPr>
            <m:sty m:val="p"/>
          </m:rPr>
          <m:t>(</m:t>
        </m:r>
        <m:r>
          <m:t>t</m:t>
        </m:r>
        <m:r>
          <m:rPr>
            <m:sty m:val="p"/>
          </m:rPr>
          <m:t>)</m:t>
        </m:r>
      </m:oMath>
      <w:r>
        <w:t xml:space="preserve"> </w:t>
      </w:r>
      <w:r>
        <w:t xml:space="preserve">and no treatment effect (negative-control version). We also generate positive-control versions by applying a known hazard multiplier in a prespecified window. We evaluate (i) KCOR drift, (ii) quiet-window fit RMSE, (iii) post-normalization linearity, and (iv) parameter stability under window perturbation.</w:t>
      </w:r>
    </w:p>
    <w:p>
      <w:pPr>
        <w:pStyle w:val="Compact"/>
        <w:numPr>
          <w:ilvl w:val="0"/>
          <w:numId w:val="1038"/>
        </w:numPr>
      </w:pPr>
      <w:r>
        <w:rPr>
          <w:b/>
          <w:bCs/>
        </w:rPr>
        <w:t xml:space="preserve">Generation script</w:t>
      </w:r>
      <w:r>
        <w:t xml:space="preserve">:</w:t>
      </w:r>
      <w:r>
        <w:t xml:space="preserve"> </w:t>
      </w:r>
      <w:r>
        <w:rPr>
          <w:rStyle w:val="VerbatimChar"/>
        </w:rPr>
        <w:t xml:space="preserve">test/sim_grid/code/generate_tail_sampling_sim.py</w:t>
      </w:r>
    </w:p>
    <w:p>
      <w:pPr>
        <w:pStyle w:val="Compact"/>
        <w:numPr>
          <w:ilvl w:val="0"/>
          <w:numId w:val="1038"/>
        </w:numPr>
      </w:pPr>
      <w:r>
        <w:rPr>
          <w:b/>
          <w:bCs/>
        </w:rPr>
        <w:t xml:space="preserve">Base frailty distribution</w:t>
      </w:r>
      <w:r>
        <w:t xml:space="preserve">: Log-normal with mean 1, variance 0.5</w:t>
      </w:r>
    </w:p>
    <w:p>
      <w:pPr>
        <w:pStyle w:val="Compact"/>
        <w:numPr>
          <w:ilvl w:val="0"/>
          <w:numId w:val="1038"/>
        </w:numPr>
      </w:pPr>
      <w:r>
        <w:rPr>
          <w:b/>
          <w:bCs/>
        </w:rPr>
        <w:t xml:space="preserve">Mid-quantile cohort</w:t>
      </w:r>
      <w:r>
        <w:t xml:space="preserve">: 25th–75th percentile</w:t>
      </w:r>
    </w:p>
    <w:p>
      <w:pPr>
        <w:pStyle w:val="Compact"/>
        <w:numPr>
          <w:ilvl w:val="0"/>
          <w:numId w:val="1038"/>
        </w:numPr>
      </w:pPr>
      <w:r>
        <w:rPr>
          <w:b/>
          <w:bCs/>
        </w:rPr>
        <w:t xml:space="preserve">Tail-mixture cohort</w:t>
      </w:r>
      <w:r>
        <w:t xml:space="preserve">: [0–15th] + [85th–100th] percentiles, equal weights</w:t>
      </w:r>
    </w:p>
    <w:p>
      <w:pPr>
        <w:pStyle w:val="Compact"/>
        <w:numPr>
          <w:ilvl w:val="0"/>
          <w:numId w:val="1038"/>
        </w:numPr>
      </w:pPr>
      <w:r>
        <w:rPr>
          <w:b/>
          <w:bCs/>
        </w:rPr>
        <w:t xml:space="preserve">Baseline hazard</w:t>
      </w:r>
      <w:r>
        <w:t xml:space="preserve">: 0.002 per week (constant)</w:t>
      </w:r>
    </w:p>
    <w:p>
      <w:pPr>
        <w:pStyle w:val="Compact"/>
        <w:numPr>
          <w:ilvl w:val="0"/>
          <w:numId w:val="1038"/>
        </w:numPr>
      </w:pPr>
      <w:r>
        <w:rPr>
          <w:b/>
          <w:bCs/>
        </w:rPr>
        <w:t xml:space="preserve">Positive-control hazard multiplier</w:t>
      </w:r>
      <w:r>
        <w:t xml:space="preserve">:</w:t>
      </w:r>
      <w:r>
        <w:t xml:space="preserve"> </w:t>
      </w:r>
      <m:oMath>
        <m:r>
          <m:t>r</m:t>
        </m:r>
        <m:r>
          <m:rPr>
            <m:sty m:val="p"/>
          </m:rPr>
          <m:t>=</m:t>
        </m:r>
        <m:r>
          <m:t>1.2</m:t>
        </m:r>
      </m:oMath>
      <w:r>
        <w:t xml:space="preserve"> </w:t>
      </w:r>
      <w:r>
        <w:t xml:space="preserve">(harm) or</w:t>
      </w:r>
      <w:r>
        <w:t xml:space="preserve"> </w:t>
      </w:r>
      <m:oMath>
        <m:r>
          <m:t>r</m:t>
        </m:r>
        <m:r>
          <m:rPr>
            <m:sty m:val="p"/>
          </m:rPr>
          <m:t>=</m:t>
        </m:r>
        <m:r>
          <m:t>0.8</m:t>
        </m:r>
      </m:oMath>
      <w:r>
        <w:t xml:space="preserve"> </w:t>
      </w:r>
      <w:r>
        <w:t xml:space="preserve">(benefit)</w:t>
      </w:r>
    </w:p>
    <w:p>
      <w:pPr>
        <w:pStyle w:val="Compact"/>
        <w:numPr>
          <w:ilvl w:val="0"/>
          <w:numId w:val="1038"/>
        </w:numPr>
      </w:pPr>
      <w:r>
        <w:rPr>
          <w:b/>
          <w:bCs/>
        </w:rPr>
        <w:t xml:space="preserve">Effect window</w:t>
      </w:r>
      <w:r>
        <w:t xml:space="preserve">: weeks 20–80</w:t>
      </w:r>
    </w:p>
    <w:p>
      <w:pPr>
        <w:pStyle w:val="Compact"/>
        <w:numPr>
          <w:ilvl w:val="0"/>
          <w:numId w:val="1038"/>
        </w:numPr>
      </w:pPr>
      <w:r>
        <w:rPr>
          <w:b/>
          <w:bCs/>
        </w:rPr>
        <w:t xml:space="preserve">Random seed</w:t>
      </w:r>
      <w:r>
        <w:t xml:space="preserve">: 42</w:t>
      </w:r>
    </w:p>
    <w:bookmarkEnd w:id="205"/>
    <w:bookmarkStart w:id="212" w:name="X3015f8ef00f2c60a61b881605023dd43c1dd17f"/>
    <w:p>
      <w:pPr>
        <w:pStyle w:val="Heading4"/>
      </w:pPr>
      <w:r>
        <w:t xml:space="preserve">B.6 Joint frailty and treatment-effect simulation (S7)</w:t>
      </w:r>
    </w:p>
    <w:p>
      <w:pPr>
        <w:pStyle w:val="FirstParagraph"/>
      </w:pPr>
      <w:r>
        <w:t xml:space="preserve">This simulation evaluates KCOR under conditions in which</w:t>
      </w:r>
      <w:r>
        <w:t xml:space="preserve"> </w:t>
      </w:r>
      <w:r>
        <w:rPr>
          <w:b/>
          <w:bCs/>
        </w:rPr>
        <w:t xml:space="preserve">both selection-induced depletion (frailty heterogeneity)</w:t>
      </w:r>
      <w:r>
        <w:t xml:space="preserve"> </w:t>
      </w:r>
      <w:r>
        <w:t xml:space="preserve">and a</w:t>
      </w:r>
      <w:r>
        <w:t xml:space="preserve"> </w:t>
      </w:r>
      <w:r>
        <w:rPr>
          <w:b/>
          <w:bCs/>
        </w:rPr>
        <w:t xml:space="preserve">true treatment effect (harm or benefit)</w:t>
      </w:r>
      <w:r>
        <w:t xml:space="preserve"> </w:t>
      </w:r>
      <w:r>
        <w:t xml:space="preserve">are present simultaneously. The purpose is to assess whether KCOR can (i) correctly identify and neutralize frailty-driven curvature using a quiet period and (ii) detect a true treatment effect outside that period without confounding the two mechanisms.</w:t>
      </w:r>
    </w:p>
    <w:bookmarkStart w:id="206" w:name="design"/>
    <w:p>
      <w:pPr>
        <w:pStyle w:val="Heading5"/>
      </w:pPr>
      <w:r>
        <w:t xml:space="preserve">Design</w:t>
      </w:r>
    </w:p>
    <w:p>
      <w:pPr>
        <w:pStyle w:val="FirstParagraph"/>
      </w:pPr>
      <w:r>
        <w:t xml:space="preserve">Two fixed cohorts are generated with identical baseline hazards but differing frailty variance. Individual hazards are multiplicatively scaled by a latent frailty term drawn from a gamma distribution with unit mean and cohort-specific variance. A treatment effect is then injected over a prespecified time window that does not overlap the quiet period used for frailty estimation.</w:t>
      </w:r>
    </w:p>
    <w:p>
      <w:pPr>
        <w:pStyle w:val="BodyText"/>
      </w:pPr>
      <w:r>
        <w:t xml:space="preserve">Formally, individual hazards are generated as</w:t>
      </w:r>
    </w:p>
    <w:p>
      <w:pPr>
        <w:pStyle w:val="BodyText"/>
      </w:pPr>
      <m:oMathPara>
        <m:oMathParaPr>
          <m:jc m:val="center"/>
        </m:oMathParaP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r>
            <m:rPr>
              <m:sty m:val="p"/>
            </m:rPr>
            <m:t>⋅</m:t>
          </m:r>
          <m:r>
            <m:t>r</m:t>
          </m:r>
          <m:r>
            <m:rPr>
              <m:sty m:val="p"/>
            </m:rPr>
            <m:t>(</m:t>
          </m:r>
          <m:r>
            <m:t>t</m:t>
          </m:r>
          <m:r>
            <m:rPr>
              <m:sty m:val="p"/>
            </m:rPr>
            <m:t>)</m:t>
          </m:r>
          <m:r>
            <m:rPr>
              <m:sty m:val="p"/>
            </m:rPr>
            <m:t>,</m:t>
          </m:r>
        </m:oMath>
      </m:oMathPara>
    </w:p>
    <w:p>
      <w:pPr>
        <w:pStyle w:val="FirstParagraph"/>
      </w:pPr>
      <w:r>
        <w:t xml:space="preserve">where</w:t>
      </w:r>
      <w:r>
        <w:t xml:space="preserve"> </w:t>
      </w:r>
      <m:oMath>
        <m:sSub>
          <m:e>
            <m:r>
              <m:t>z</m:t>
            </m:r>
          </m:e>
          <m:sub>
            <m:r>
              <m:t>i</m:t>
            </m:r>
          </m:sub>
        </m:sSub>
      </m:oMath>
      <w:r>
        <w:t xml:space="preserve"> </w:t>
      </w:r>
      <w:r>
        <w:t xml:space="preserve">is individual frailty,</w:t>
      </w:r>
      <w:r>
        <w:t xml:space="preserve"> </w:t>
      </w:r>
      <m:oMath>
        <m:sSub>
          <m:e>
            <m:r>
              <m:t>h</m:t>
            </m:r>
          </m:e>
          <m:sub>
            <m:r>
              <m:t>0</m:t>
            </m:r>
          </m:sub>
        </m:sSub>
        <m:r>
          <m:rPr>
            <m:sty m:val="p"/>
          </m:rPr>
          <m:t>(</m:t>
        </m:r>
        <m:r>
          <m:t>t</m:t>
        </m:r>
        <m:r>
          <m:rPr>
            <m:sty m:val="p"/>
          </m:rPr>
          <m:t>)</m:t>
        </m:r>
      </m:oMath>
      <w:r>
        <w:t xml:space="preserve"> </w:t>
      </w:r>
      <w:r>
        <w:t xml:space="preserve">is a shared baseline hazard, and</w:t>
      </w:r>
      <w:r>
        <w:t xml:space="preserve"> </w:t>
      </w:r>
      <m:oMath>
        <m:r>
          <m:t>r</m:t>
        </m:r>
        <m:r>
          <m:rPr>
            <m:sty m:val="p"/>
          </m:rPr>
          <m:t>(</m:t>
        </m:r>
        <m:r>
          <m:t>t</m:t>
        </m:r>
        <m:r>
          <m:rPr>
            <m:sty m:val="p"/>
          </m:rPr>
          <m:t>)</m:t>
        </m:r>
      </m:oMath>
      <w:r>
        <w:t xml:space="preserve"> </w:t>
      </w:r>
      <w:r>
        <w:t xml:space="preserve">is a time-localized multiplicative treatment effect applied to one cohort only.</w:t>
      </w:r>
    </w:p>
    <w:bookmarkEnd w:id="206"/>
    <w:bookmarkStart w:id="207" w:name="frailty-structure"/>
    <w:p>
      <w:pPr>
        <w:pStyle w:val="Heading5"/>
      </w:pPr>
      <w:r>
        <w:t xml:space="preserve">Frailty structure</w:t>
      </w:r>
    </w:p>
    <w:p>
      <w:pPr>
        <w:pStyle w:val="Compact"/>
        <w:numPr>
          <w:ilvl w:val="0"/>
          <w:numId w:val="1039"/>
        </w:numPr>
      </w:pPr>
      <w:r>
        <w:t xml:space="preserve">Cohort 0:</w:t>
      </w:r>
      <w:r>
        <w:t xml:space="preserve"> </w:t>
      </w:r>
      <m:oMath>
        <m:r>
          <m:t>z</m:t>
        </m:r>
        <m:r>
          <m:rPr>
            <m:sty m:val="p"/>
          </m:rPr>
          <m:t>∼</m:t>
        </m:r>
        <m:r>
          <m:rPr>
            <m:nor/>
            <m:sty m:val="p"/>
          </m:rPr>
          <m:t>Gamma</m:t>
        </m:r>
        <m:r>
          <m:rPr>
            <m:sty m:val="p"/>
          </m:rPr>
          <m:t>(</m:t>
        </m:r>
        <m:sSub>
          <m:e>
            <m:r>
              <m:t>θ</m:t>
            </m:r>
          </m:e>
          <m:sub>
            <m:r>
              <m:t>0</m:t>
            </m:r>
          </m:sub>
        </m:sSub>
        <m:r>
          <m:rPr>
            <m:sty m:val="p"/>
          </m:rPr>
          <m:t>)</m:t>
        </m:r>
      </m:oMath>
    </w:p>
    <w:p>
      <w:pPr>
        <w:pStyle w:val="Compact"/>
        <w:numPr>
          <w:ilvl w:val="0"/>
          <w:numId w:val="1039"/>
        </w:numPr>
      </w:pPr>
      <w:r>
        <w:t xml:space="preserve">Cohort 1:</w:t>
      </w:r>
      <w:r>
        <w:t xml:space="preserve"> </w:t>
      </w:r>
      <m:oMath>
        <m:r>
          <m:t>z</m:t>
        </m:r>
        <m:r>
          <m:rPr>
            <m:sty m:val="p"/>
          </m:rPr>
          <m:t>∼</m:t>
        </m:r>
        <m:r>
          <m:rPr>
            <m:nor/>
            <m:sty m:val="p"/>
          </m:rPr>
          <m:t>Gamma</m:t>
        </m:r>
        <m:r>
          <m:rPr>
            <m:sty m:val="p"/>
          </m:rPr>
          <m:t>(</m:t>
        </m:r>
        <m:sSub>
          <m:e>
            <m:r>
              <m:t>θ</m:t>
            </m:r>
          </m:e>
          <m:sub>
            <m:r>
              <m:t>1</m:t>
            </m:r>
          </m:sub>
        </m:sSub>
        <m:r>
          <m:rPr>
            <m:sty m:val="p"/>
          </m:rPr>
          <m:t>)</m:t>
        </m:r>
      </m:oMath>
      <w:r>
        <w:t xml:space="preserve">, with</w:t>
      </w:r>
      <w:r>
        <w:t xml:space="preserve"> </w:t>
      </w:r>
      <m:oMath>
        <m:sSub>
          <m:e>
            <m:r>
              <m:t>θ</m:t>
            </m:r>
          </m:e>
          <m:sub>
            <m:r>
              <m:t>1</m:t>
            </m:r>
          </m:sub>
        </m:sSub>
        <m:r>
          <m:rPr>
            <m:sty m:val="p"/>
          </m:rPr>
          <m:t>≠</m:t>
        </m:r>
        <m:sSub>
          <m:e>
            <m:r>
              <m:t>θ</m:t>
            </m:r>
          </m:e>
          <m:sub>
            <m:r>
              <m:t>0</m:t>
            </m:r>
          </m:sub>
        </m:sSub>
      </m:oMath>
    </w:p>
    <w:p>
      <w:pPr>
        <w:pStyle w:val="FirstParagraph"/>
      </w:pPr>
      <w:r>
        <w:t xml:space="preserve">Frailty distributions are normalized to unit mean, differing only in variance, thereby inducing different depletion dynamics and cumulative-hazard curvature across cohorts in the absence of any treatment effect.</w:t>
      </w:r>
    </w:p>
    <w:bookmarkEnd w:id="207"/>
    <w:bookmarkStart w:id="208" w:name="treatment-effect"/>
    <w:p>
      <w:pPr>
        <w:pStyle w:val="Heading5"/>
      </w:pPr>
      <w:r>
        <w:t xml:space="preserve">Treatment effect</w:t>
      </w:r>
    </w:p>
    <w:p>
      <w:pPr>
        <w:pStyle w:val="FirstParagraph"/>
      </w:pPr>
      <w:r>
        <w:t xml:space="preserve">A known treatment effect is applied to Cohort 1 during a finite window</w:t>
      </w:r>
      <w:r>
        <w:t xml:space="preserve"> </w:t>
      </w:r>
      <m:oMath>
        <m:r>
          <m:rPr>
            <m:sty m:val="p"/>
          </m:rPr>
          <m:t>[</m:t>
        </m:r>
        <m:sSub>
          <m:e>
            <m:r>
              <m:t>t</m:t>
            </m:r>
          </m:e>
          <m:sub>
            <m:r>
              <m:rPr>
                <m:nor/>
                <m:sty m:val="p"/>
              </m:rPr>
              <m:t>on</m:t>
            </m:r>
          </m:sub>
        </m:sSub>
        <m:r>
          <m:rPr>
            <m:sty m:val="p"/>
          </m:rPr>
          <m:t>,</m:t>
        </m:r>
        <m:sSub>
          <m:e>
            <m:r>
              <m:t>t</m:t>
            </m:r>
          </m:e>
          <m:sub>
            <m:r>
              <m:rPr>
                <m:nor/>
                <m:sty m:val="p"/>
              </m:rPr>
              <m:t>off</m:t>
            </m:r>
          </m:sub>
        </m:sSub>
        <m:r>
          <m:rPr>
            <m:sty m:val="p"/>
          </m:rPr>
          <m:t>]</m:t>
        </m:r>
      </m:oMath>
      <w:r>
        <w:t xml:space="preserve">. Three effect shapes are considered:</w:t>
      </w:r>
    </w:p>
    <w:p>
      <w:pPr>
        <w:pStyle w:val="Compact"/>
        <w:numPr>
          <w:ilvl w:val="0"/>
          <w:numId w:val="1040"/>
        </w:numPr>
      </w:pPr>
      <w:r>
        <w:t xml:space="preserve">Step change (constant multiplicative factor),</w:t>
      </w:r>
    </w:p>
    <w:p>
      <w:pPr>
        <w:pStyle w:val="Compact"/>
        <w:numPr>
          <w:ilvl w:val="0"/>
          <w:numId w:val="1040"/>
        </w:numPr>
      </w:pPr>
      <w:r>
        <w:t xml:space="preserve">Linear ramp,</w:t>
      </w:r>
    </w:p>
    <w:p>
      <w:pPr>
        <w:pStyle w:val="Compact"/>
        <w:numPr>
          <w:ilvl w:val="0"/>
          <w:numId w:val="1040"/>
        </w:numPr>
      </w:pPr>
      <w:r>
        <w:t xml:space="preserve">Smooth pulse (</w:t>
      </w:r>
      <w:r>
        <w:t xml:space="preserve">“bump”</w:t>
      </w:r>
      <w:r>
        <w:t xml:space="preserve">).</w:t>
      </w:r>
    </w:p>
    <w:p>
      <w:pPr>
        <w:pStyle w:val="FirstParagraph"/>
      </w:pPr>
      <w:r>
        <w:t xml:space="preserve">Both harmful (</w:t>
      </w:r>
      <m:oMath>
        <m:r>
          <m:t>r</m:t>
        </m:r>
        <m:r>
          <m:rPr>
            <m:sty m:val="p"/>
          </m:rPr>
          <m:t>(</m:t>
        </m:r>
        <m:r>
          <m:t>t</m:t>
        </m:r>
        <m:r>
          <m:rPr>
            <m:sty m:val="p"/>
          </m:rPr>
          <m:t>)</m:t>
        </m:r>
        <m:r>
          <m:rPr>
            <m:sty m:val="p"/>
          </m:rPr>
          <m:t>&gt;</m:t>
        </m:r>
        <m:r>
          <m:t>1</m:t>
        </m:r>
      </m:oMath>
      <w:r>
        <w:t xml:space="preserve">) and protective (</w:t>
      </w:r>
      <m:oMath>
        <m:r>
          <m:t>r</m:t>
        </m:r>
        <m:r>
          <m:rPr>
            <m:sty m:val="p"/>
          </m:rPr>
          <m:t>(</m:t>
        </m:r>
        <m:r>
          <m:t>t</m:t>
        </m:r>
        <m:r>
          <m:rPr>
            <m:sty m:val="p"/>
          </m:rPr>
          <m:t>)</m:t>
        </m:r>
        <m:r>
          <m:rPr>
            <m:sty m:val="p"/>
          </m:rPr>
          <m:t>&lt;</m:t>
        </m:r>
        <m:r>
          <m:t>1</m:t>
        </m:r>
      </m:oMath>
      <w:r>
        <w:t xml:space="preserve">) effects are evaluated. The treatment window is chosen to lie strictly outside the quiet period used for frailty estimation.</w:t>
      </w:r>
    </w:p>
    <w:bookmarkEnd w:id="208"/>
    <w:bookmarkStart w:id="209" w:name="quiet-period-and-estimation"/>
    <w:p>
      <w:pPr>
        <w:pStyle w:val="Heading5"/>
      </w:pPr>
      <w:r>
        <w:t xml:space="preserve">Quiet period and estimation</w:t>
      </w:r>
    </w:p>
    <w:p>
      <w:pPr>
        <w:pStyle w:val="FirstParagraph"/>
      </w:pPr>
      <w:r>
        <w:t xml:space="preserve">Frailty parameters are estimated independently for each cohort using observed cumulative hazards over a prespecified quiet window</w:t>
      </w:r>
      <w:r>
        <w:t xml:space="preserve"> </w:t>
      </w:r>
      <m:oMath>
        <m:r>
          <m:rPr>
            <m:sty m:val="p"/>
          </m:rPr>
          <m:t>[</m:t>
        </m:r>
        <m:sSubSup>
          <m:e>
            <m:r>
              <m:t>t</m:t>
            </m:r>
          </m:e>
          <m:sub>
            <m:r>
              <m:t>q</m:t>
            </m:r>
          </m:sub>
          <m:sup>
            <m:r>
              <m:rPr>
                <m:nor/>
                <m:sty m:val="p"/>
              </m:rPr>
              <m:t>start</m:t>
            </m:r>
          </m:sup>
        </m:sSubSup>
        <m:r>
          <m:rPr>
            <m:sty m:val="p"/>
          </m:rPr>
          <m:t>,</m:t>
        </m:r>
        <m:sSubSup>
          <m:e>
            <m:r>
              <m:t>t</m:t>
            </m:r>
          </m:e>
          <m:sub>
            <m:r>
              <m:t>q</m:t>
            </m:r>
          </m:sub>
          <m:sup>
            <m:r>
              <m:rPr>
                <m:nor/>
                <m:sty m:val="p"/>
              </m:rPr>
              <m:t>end</m:t>
            </m:r>
          </m:sup>
        </m:sSubSup>
        <m:r>
          <m:rPr>
            <m:sty m:val="p"/>
          </m:rPr>
          <m:t>]</m:t>
        </m:r>
      </m:oMath>
      <w:r>
        <w:t xml:space="preserve"> </w:t>
      </w:r>
      <w:r>
        <w:t xml:space="preserve">during which</w:t>
      </w:r>
      <w:r>
        <w:t xml:space="preserve"> </w:t>
      </w:r>
      <m:oMath>
        <m:r>
          <m:t>r</m:t>
        </m:r>
        <m:r>
          <m:rPr>
            <m:sty m:val="p"/>
          </m:rPr>
          <m:t>(</m:t>
        </m:r>
        <m:r>
          <m:t>t</m:t>
        </m:r>
        <m:r>
          <m:rPr>
            <m:sty m:val="p"/>
          </m:rPr>
          <m:t>)</m:t>
        </m:r>
        <m:r>
          <m:rPr>
            <m:sty m:val="p"/>
          </m:rPr>
          <m:t>=</m:t>
        </m:r>
        <m:r>
          <m:t>1</m:t>
        </m:r>
      </m:oMath>
      <w:r>
        <w:t xml:space="preserve"> </w:t>
      </w:r>
      <w:r>
        <w:t xml:space="preserve">by construction. KCOR normalization is then applied to the full time horizon using these estimated parameters.</w:t>
      </w:r>
    </w:p>
    <w:p>
      <w:pPr>
        <w:pStyle w:val="BodyText"/>
      </w:pPr>
      <w:r>
        <w:t xml:space="preserve">This design enforces</w:t>
      </w:r>
      <w:r>
        <w:t xml:space="preserve"> </w:t>
      </w:r>
      <w:r>
        <w:rPr>
          <w:b/>
          <w:bCs/>
        </w:rPr>
        <w:t xml:space="preserve">temporal separability</w:t>
      </w:r>
      <w:r>
        <w:t xml:space="preserve"> </w:t>
      </w:r>
      <w:r>
        <w:t xml:space="preserve">between selection-induced depletion and treatment effects.</w:t>
      </w:r>
    </w:p>
    <w:bookmarkEnd w:id="209"/>
    <w:bookmarkStart w:id="210" w:name="evaluation-criteria"/>
    <w:p>
      <w:pPr>
        <w:pStyle w:val="Heading5"/>
      </w:pPr>
      <w:r>
        <w:t xml:space="preserve">Evaluation criteria</w:t>
      </w:r>
    </w:p>
    <w:p>
      <w:pPr>
        <w:pStyle w:val="FirstParagraph"/>
      </w:pPr>
      <w:r>
        <w:t xml:space="preserve">The simulation is considered successful if:</w:t>
      </w:r>
    </w:p>
    <w:p>
      <w:pPr>
        <w:pStyle w:val="Compact"/>
        <w:numPr>
          <w:ilvl w:val="0"/>
          <w:numId w:val="1041"/>
        </w:numPr>
      </w:pPr>
      <w:r>
        <w:t xml:space="preserve">KCOR(t) remains approximately flat and near unity during the quiet window,</w:t>
      </w:r>
    </w:p>
    <w:p>
      <w:pPr>
        <w:pStyle w:val="Compact"/>
        <w:numPr>
          <w:ilvl w:val="0"/>
          <w:numId w:val="1041"/>
        </w:numPr>
      </w:pPr>
      <w:r>
        <w:t xml:space="preserve">KCOR(t) deviates in the correct direction and magnitude during the treatment window,</w:t>
      </w:r>
    </w:p>
    <w:p>
      <w:pPr>
        <w:pStyle w:val="Compact"/>
        <w:numPr>
          <w:ilvl w:val="0"/>
          <w:numId w:val="1041"/>
        </w:numPr>
      </w:pPr>
      <w:r>
        <w:t xml:space="preserve">Fit diagnostics (e.g., residual curvature, post-normalization linearity) remain stable outside intentionally violated scenarios.</w:t>
      </w:r>
    </w:p>
    <w:p>
      <w:pPr>
        <w:pStyle w:val="FirstParagraph"/>
      </w:pPr>
      <w:r>
        <w:t xml:space="preserve">An additional stress-test variant intentionally overlaps the treatment window with the quiet period. In this case, KCOR diagnostics degrade and normalized trajectories fail to stabilize, correctly signaling violation of the identifiability assumptions rather than producing spurious treatment effects.</w:t>
      </w:r>
    </w:p>
    <w:bookmarkEnd w:id="210"/>
    <w:bookmarkStart w:id="211" w:name="interpretation"/>
    <w:p>
      <w:pPr>
        <w:pStyle w:val="Heading5"/>
      </w:pPr>
      <w:r>
        <w:t xml:space="preserve">Interpretation</w:t>
      </w:r>
    </w:p>
    <w:p>
      <w:pPr>
        <w:pStyle w:val="FirstParagraph"/>
      </w:pPr>
      <w:r>
        <w:t xml:space="preserve">This simulation demonstrates that when selection-induced depletion and treatment effects are temporally separable, KCOR can disentangle the two mechanisms: frailty parameters are identified from quiet-period curvature, and true treatment effects manifest as deviations from unity outside that window. When separability is violated, KCOR does not silently misattribute effects; instead, diagnostics flag reduced interpretability.</w:t>
      </w:r>
    </w:p>
    <w:bookmarkEnd w:id="211"/>
    <w:bookmarkEnd w:id="212"/>
    <w:bookmarkEnd w:id="213"/>
    <w:bookmarkStart w:id="231" w:name="X3fb27f9d14d988b0afc4c757bd6d2a45d2ae0b5"/>
    <w:p>
      <w:pPr>
        <w:pStyle w:val="Heading3"/>
      </w:pPr>
      <w:r>
        <w:t xml:space="preserve">Appendix C. Additional figures and diagnostics</w:t>
      </w:r>
    </w:p>
    <w:bookmarkStart w:id="214"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42"/>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42"/>
        </w:numPr>
      </w:pPr>
      <w:r>
        <w:rPr>
          <w:b/>
          <w:bCs/>
        </w:rPr>
        <w:t xml:space="preserve">Fitted parameters</w:t>
      </w:r>
      <w:r>
        <w:t xml:space="preserve">: baseline hazard level and frailty variance. Very small frailty variance (&lt; 0.01) indicates minimal detected depletion; very large values (&gt; 5) may indicate model stress.</w:t>
      </w:r>
    </w:p>
    <w:p>
      <w:pPr>
        <w:pStyle w:val="Compact"/>
        <w:numPr>
          <w:ilvl w:val="0"/>
          <w:numId w:val="1042"/>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KCOR_FIT,EnrollmentDate=2021_24,YoB=1950,Dose=0,</w:t>
      </w:r>
      <w:r>
        <w:br/>
      </w:r>
      <w:r>
        <w:rPr>
          <w:rStyle w:val="VerbatimChar"/>
        </w:rPr>
        <w:t xml:space="preserve">  k_hat=4.29e-03,theta_hat=8.02e-01,</w:t>
      </w:r>
      <w:r>
        <w:br/>
      </w:r>
      <w:r>
        <w:rPr>
          <w:rStyle w:val="VerbatimChar"/>
        </w:rPr>
        <w:t xml:space="preserve">  RMSE_Hobs=3.37e-03,n_obs=97,success=1</w:t>
      </w:r>
    </w:p>
    <w:bookmarkEnd w:id="214"/>
    <w:bookmarkStart w:id="215" w:name="c.2-residual-analysis"/>
    <w:p>
      <w:pPr>
        <w:pStyle w:val="Heading4"/>
      </w:pPr>
      <w:r>
        <w:t xml:space="preserve">C.2 Residual analysis</w:t>
      </w:r>
    </w:p>
    <w:p>
      <w:pPr>
        <w:pStyle w:val="FirstParagraph"/>
      </w:pPr>
      <w:r>
        <w:t xml:space="preserve">Fit residuals should be examined for. Define residuals:</w:t>
      </w:r>
    </w:p>
    <w:p>
      <w:pPr>
        <w:pStyle w:val="BodyText"/>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oMath>
      </m:oMathPara>
    </w:p>
    <w:p>
      <w:pPr>
        <w:pStyle w:val="Compact"/>
        <w:numPr>
          <w:ilvl w:val="0"/>
          <w:numId w:val="1043"/>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43"/>
        </w:numPr>
      </w:pPr>
      <w:r>
        <w:rPr>
          <w:b/>
          <w:bCs/>
        </w:rPr>
        <w:t xml:space="preserve">Outliers</w:t>
      </w:r>
      <w:r>
        <w:t xml:space="preserve">: Individual weeks with large residuals may indicate data quality issues or external shocks.</w:t>
      </w:r>
    </w:p>
    <w:p>
      <w:pPr>
        <w:pStyle w:val="Compact"/>
        <w:numPr>
          <w:ilvl w:val="0"/>
          <w:numId w:val="1043"/>
        </w:numPr>
      </w:pPr>
      <w:r>
        <w:rPr>
          <w:b/>
          <w:bCs/>
        </w:rPr>
        <w:t xml:space="preserve">Autocorrelation</w:t>
      </w:r>
      <w:r>
        <w:t xml:space="preserve">: Strong autocorrelation in residuals suggests the model is missing time-varying structure.</w:t>
      </w:r>
    </w:p>
    <w:bookmarkEnd w:id="215"/>
    <w:bookmarkStart w:id="216" w:name="c.3-parameter-stability-checks"/>
    <w:p>
      <w:pPr>
        <w:pStyle w:val="Heading4"/>
      </w:pPr>
      <w:r>
        <w:t xml:space="preserve">C.3 Parameter stability checks</w:t>
      </w:r>
    </w:p>
    <w:p>
      <w:pPr>
        <w:pStyle w:val="FirstParagraph"/>
      </w:pPr>
      <w:r>
        <w:t xml:space="preserve">Robustness of fitted parameters should be assessed by:</w:t>
      </w:r>
    </w:p>
    <w:p>
      <w:pPr>
        <w:pStyle w:val="Compact"/>
        <w:numPr>
          <w:ilvl w:val="0"/>
          <w:numId w:val="1044"/>
        </w:numPr>
      </w:pPr>
      <w:r>
        <w:rPr>
          <w:b/>
          <w:bCs/>
        </w:rPr>
        <w:t xml:space="preserve">Quiet-window perturbation</w:t>
      </w:r>
      <w:r>
        <w:t xml:space="preserve">: Shift the quiet-window start/end by ±4 weeks and re-fit. Stable parameters should vary by &lt; 10%.</w:t>
      </w:r>
    </w:p>
    <w:p>
      <w:pPr>
        <w:pStyle w:val="Compact"/>
        <w:numPr>
          <w:ilvl w:val="0"/>
          <w:numId w:val="1044"/>
        </w:numPr>
      </w:pPr>
      <w:r>
        <w:rPr>
          <w:b/>
          <w:bCs/>
        </w:rPr>
        <w:t xml:space="preserve">Skip-weeks sensitivity</w:t>
      </w:r>
      <w:r>
        <w:t xml:space="preserve">: Vary SKIP_WEEKS from 0 to 8 and verify KCOR(t) trajectories remain qualitatively similar.</w:t>
      </w:r>
    </w:p>
    <w:p>
      <w:pPr>
        <w:pStyle w:val="Compact"/>
        <w:numPr>
          <w:ilvl w:val="0"/>
          <w:numId w:val="1044"/>
        </w:numPr>
      </w:pPr>
      <w:r>
        <w:rPr>
          <w:b/>
          <w:bCs/>
        </w:rPr>
        <w:t xml:space="preserve">Baseline-shape alternatives</w:t>
      </w:r>
      <w:r>
        <w:t xml:space="preserve">: Compare the default constant baseline over the fit window to mild linear trends and verify normalization is not sensitive to this choice.</w:t>
      </w:r>
    </w:p>
    <w:p>
      <w:pPr>
        <w:pStyle w:val="FirstParagraph"/>
      </w:pPr>
      <w:r>
        <w:t xml:space="preserve">The sensitivity analysis (§3.3 and Figure 9) provides a systematic assessment of parameter stability.</w:t>
      </w:r>
    </w:p>
    <w:bookmarkEnd w:id="216"/>
    <w:bookmarkStart w:id="217"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45"/>
        </w:numPr>
      </w:pPr>
      <w:r>
        <w:t xml:space="preserve">Avoid major epidemic waves or external mortality shocks</w:t>
      </w:r>
    </w:p>
    <w:p>
      <w:pPr>
        <w:pStyle w:val="Compact"/>
        <w:numPr>
          <w:ilvl w:val="0"/>
          <w:numId w:val="1045"/>
        </w:numPr>
      </w:pPr>
      <w:r>
        <w:t xml:space="preserve">Contain sufficient event counts for stable estimation</w:t>
      </w:r>
    </w:p>
    <w:p>
      <w:pPr>
        <w:pStyle w:val="Compact"/>
        <w:numPr>
          <w:ilvl w:val="0"/>
          <w:numId w:val="1045"/>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bookmarkEnd w:id="217"/>
    <w:bookmarkStart w:id="230" w:name="c.5-robustness-to-age-stratification"/>
    <w:p>
      <w:pPr>
        <w:pStyle w:val="Heading4"/>
      </w:pPr>
      <w:r>
        <w:t xml:space="preserve">C.5 Robustness to age stratification</w:t>
      </w:r>
    </w:p>
    <w:bookmarkStart w:id="221" w:name="fig:kcor_realdata_yob1930"/>
    <w:p>
      <w:pPr>
        <w:pStyle w:val="CaptionedFigure"/>
      </w:pPr>
      <w:r>
        <w:drawing>
          <wp:inline>
            <wp:extent cx="5334000" cy="3078759"/>
            <wp:effectExtent b="0" l="0" r="0" t="0"/>
            <wp:docPr descr="Figure 15. Birth-year cohort 1930: KCOR(t) trajectories comparing dose 2 and dose 3 to dose 0 for cohorts enrolled in ISO week 2022-26 and evaluated over calendar year 2023. This figure is presented as an illustrative application demonstrating estimator behavior on registry data and does not support causal inference." title="" id="219" name="Picture"/>
            <a:graphic>
              <a:graphicData uri="http://schemas.openxmlformats.org/drawingml/2006/picture">
                <pic:pic>
                  <pic:nvPicPr>
                    <pic:cNvPr descr="figures/supplement/kcor_realdata_yob1930_enroll2022w26_eval2023.png" id="220" name="Picture"/>
                    <pic:cNvPicPr>
                      <a:picLocks noChangeArrowheads="1" noChangeAspect="1"/>
                    </pic:cNvPicPr>
                  </pic:nvPicPr>
                  <pic:blipFill>
                    <a:blip r:embed="rId218"/>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15. Birth-year cohort 1930: KCOR(t) trajectories comparing dose 2 and dose 3 to dose 0 for cohorts enrolled in ISO week 2022-26 and evaluated over calendar year 2023. This figure is presented as an illustrative application demonstrating estimator behavior on registry data and does not support causal inference.</w:t>
      </w:r>
    </w:p>
    <w:bookmarkEnd w:id="221"/>
    <w:bookmarkStart w:id="225" w:name="fig:kcor_realdata_yob1940"/>
    <w:p>
      <w:pPr>
        <w:pStyle w:val="CaptionedFigure"/>
      </w:pPr>
      <w:r>
        <w:drawing>
          <wp:inline>
            <wp:extent cx="5334000" cy="3078759"/>
            <wp:effectExtent b="0" l="0" r="0" t="0"/>
            <wp:docPr descr="Figure 16. Birth-year cohort 1940: KCOR(t) trajectories comparing dose 2 and dose 3 to dose 0 for cohorts enrolled in ISO week 2022-26 and evaluated over calendar year 2023. This figure is presented as an illustrative application demonstrating estimator behavior on registry data and does not support causal inference." title="" id="223" name="Picture"/>
            <a:graphic>
              <a:graphicData uri="http://schemas.openxmlformats.org/drawingml/2006/picture">
                <pic:pic>
                  <pic:nvPicPr>
                    <pic:cNvPr descr="figures/supplement/kcor_realdata_yob1940_enroll2022w26_eval2023.png" id="224" name="Picture"/>
                    <pic:cNvPicPr>
                      <a:picLocks noChangeArrowheads="1" noChangeAspect="1"/>
                    </pic:cNvPicPr>
                  </pic:nvPicPr>
                  <pic:blipFill>
                    <a:blip r:embed="rId222"/>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16. Birth-year cohort 1940: KCOR(t) trajectories comparing dose 2 and dose 3 to dose 0 for cohorts enrolled in ISO week 2022-26 and evaluated over calendar year 2023. This figure is presented as an illustrative application demonstrating estimator behavior on registry data and does not support causal inference.</w:t>
      </w:r>
    </w:p>
    <w:bookmarkEnd w:id="225"/>
    <w:bookmarkStart w:id="229" w:name="fig:kcor_realdata_yob1950"/>
    <w:p>
      <w:pPr>
        <w:pStyle w:val="CaptionedFigure"/>
      </w:pPr>
      <w:r>
        <w:drawing>
          <wp:inline>
            <wp:extent cx="5334000" cy="3078759"/>
            <wp:effectExtent b="0" l="0" r="0" t="0"/>
            <wp:docPr descr="Figure 17. Birth-year cohort 1950: KCOR(t) trajectories comparing dose 2 and dose 3 to dose 0 for cohorts enrolled in ISO week 2022-26 and evaluated over calendar year 2023. This figure is presented as an illustrative application demonstrating estimator behavior on registry data and does not support causal inference." title="" id="227" name="Picture"/>
            <a:graphic>
              <a:graphicData uri="http://schemas.openxmlformats.org/drawingml/2006/picture">
                <pic:pic>
                  <pic:nvPicPr>
                    <pic:cNvPr descr="figures/supplement/kcor_realdata_yob1950_enroll2022w26_eval2023.png" id="228" name="Picture"/>
                    <pic:cNvPicPr>
                      <a:picLocks noChangeArrowheads="1" noChangeAspect="1"/>
                    </pic:cNvPicPr>
                  </pic:nvPicPr>
                  <pic:blipFill>
                    <a:blip r:embed="rId226"/>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17. Birth-year cohort 1950: KCOR(t) trajectories comparing dose 2 and dose 3 to dose 0 for cohorts enrolled in ISO week 2022-26 and evaluated over calendar year 2023. This figure is presented as an illustrative application demonstrating estimator behavior on registry data and does not support causal inference.</w:t>
      </w:r>
    </w:p>
    <w:bookmarkEnd w:id="229"/>
    <w:bookmarkEnd w:id="230"/>
    <w:bookmarkEnd w:id="231"/>
    <w:bookmarkStart w:id="241" w:name="Xc387797f7d345c018bba5534d6a9388d38a6749"/>
    <w:p>
      <w:pPr>
        <w:pStyle w:val="Heading3"/>
      </w:pPr>
      <w:r>
        <w:t xml:space="preserve">Appendix C.1 Illustrative application to Czech Republic national registry mortality data</w:t>
      </w:r>
    </w:p>
    <w:bookmarkStart w:id="232" w:name="X7c3ddd3ef44bf474a41a98ea454d4dd80e5b491"/>
    <w:p>
      <w:pPr>
        <w:pStyle w:val="Heading4"/>
      </w:pPr>
      <w:r>
        <w:t xml:space="preserve">C.1.1 Illustrative empirical context: COVID-19 mortality data</w:t>
      </w:r>
    </w:p>
    <w:p>
      <w:pPr>
        <w:pStyle w:val="FirstParagraph"/>
      </w:pPr>
      <w:r>
        <w:t xml:space="preserve">The COVID-19 vaccination period provides a natural empirical regime characterized by strong selection heterogeneity and non-proportional hazards, making it a useful illustration for the KCOR framework. During this period, vaccine uptake was voluntary, rapidly time-varying, and correlated with baseline health status, creating clear examples of selection-induced non-proportional hazards. The Czech Republic national mortality registry data exemplify this regime: voluntary uptake led to asymmetric selection at enrollment, with vaccinated cohorts exhibiting minimal frailty heterogeneity while unvaccinated cohorts retained substantial heterogeneity. This asymmetric pattern reflects the healthy vaccinee effect operating through selective uptake rather than treatment. KCOR normalization removes this selection-induced curvature, enabling interpretable cumulative comparisons. While these examples illustrate KCOR’s application, the method is general and applies to any retrospective cohort comparison where selection induces differential depletion dynamics.</w:t>
      </w:r>
    </w:p>
    <w:bookmarkEnd w:id="232"/>
    <w:bookmarkStart w:id="235" w:name="X04a772282f0bca0eb01ded27503d294683ddbb5"/>
    <w:p>
      <w:pPr>
        <w:pStyle w:val="Heading4"/>
      </w:pPr>
      <w:r>
        <w:t xml:space="preserve">C.1.2 Frailty normalization behavior under empirical validation</w:t>
      </w:r>
    </w:p>
    <w:p>
      <w:pPr>
        <w:pStyle w:val="FirstParagraph"/>
      </w:pPr>
      <w:r>
        <w:t xml:space="preserve">Across examined age strata in the Czech Republic mortality dataset, fitted frailty parameters exhibit a pronounced asymmetry across cohorts. Some cohorts show negligible estimated frailty variance:</w:t>
      </w:r>
    </w:p>
    <w:p>
      <w:pPr>
        <w:pStyle w:val="BodyText"/>
      </w:pPr>
      <m:oMathPara>
        <m:oMathParaPr>
          <m:jc m:val="center"/>
        </m:oMathParaPr>
        <m:oMath>
          <m:sSub>
            <m:e>
              <m:acc>
                <m:accPr>
                  <m:chr m:val="̂"/>
                </m:accPr>
                <m:e>
                  <m:r>
                    <m:t>θ</m:t>
                  </m:r>
                </m:e>
              </m:acc>
            </m:e>
            <m:sub>
              <m:r>
                <m:t>d</m:t>
              </m:r>
            </m:sub>
          </m:sSub>
          <m:r>
            <m:rPr>
              <m:sty m:val="p"/>
            </m:rPr>
            <m:t>≈</m:t>
          </m:r>
          <m:r>
            <m:t>0</m:t>
          </m:r>
        </m:oMath>
      </m:oMathPara>
    </w:p>
    <w:p>
      <w:pPr>
        <w:pStyle w:val="FirstParagraph"/>
      </w:pPr>
      <w:r>
        <w:t xml:space="preserve">while others exhibit substantial frailty-driven depletion. This pattern reflects differences in selection-induced hazard curvature at cohort entry rather than any prespecified cohort identity.</w:t>
      </w:r>
    </w:p>
    <w:p>
      <w:pPr>
        <w:pStyle w:val="BodyText"/>
      </w:pPr>
      <w:r>
        <w:t xml:space="preserve">As a consequence, KCOR normalization leaves some cohorts’ cumulative hazards nearly unchanged, while substantially increasing the depletion-neutralized cumulative hazard for others. This behavior is consistent with curvature-driven normalization rather than cohort identity. This pattern is visible directly in adjusted versus unadjusted cumulative hazard plots and is summarized quantitatively in the fitted-parameter logs (see</w:t>
      </w:r>
      <w:r>
        <w:t xml:space="preserve"> </w:t>
      </w:r>
      <w:r>
        <w:rPr>
          <w:rStyle w:val="VerbatimChar"/>
        </w:rPr>
        <w:t xml:space="preserve">KCOR_summary.log</w:t>
      </w:r>
      <w:r>
        <w:t xml:space="preserve">).</w:t>
      </w:r>
    </w:p>
    <w:p>
      <w:pPr>
        <w:pStyle w:val="BodyText"/>
      </w:pPr>
      <w:r>
        <w:t xml:space="preserve">After frailty normalization, the adjusted cumulative hazards are approximately linear in event time. Residual deviations from linearity reflect real time-varying risk—such as seasonality or epidemic waves—rather than selection-induced depletion. This linearization is a diagnostic consistent with successful removal of depletion-driven curvature under the working model; persistent nonlinearity or parameter instability indicates model stress or quiet-window contamination.</w:t>
      </w:r>
    </w:p>
    <w:bookmarkStart w:id="233" w:name="tbl:frailty_diagnostics"/>
    <w:p>
      <w:pPr>
        <w:pStyle w:val="TableCaption"/>
      </w:pPr>
      <w:r>
        <w:t xml:space="preserve">Table 10. Estimated gamma-frailty variance (fitted frailty variance) by age band and vaccination status for Czech cohorts enrolled in 2021_24.</w:t>
      </w:r>
    </w:p>
    <w:tbl>
      <w:tblPr>
        <w:tblStyle w:val="Table"/>
        <w:tblW w:type="pct" w:w="5000"/>
        <w:tblLayout w:type="fixed"/>
        <w:tblLook w:firstRow="1" w:lastRow="0" w:firstColumn="0" w:lastColumn="0" w:noHBand="0" w:noVBand="0" w:val="0020"/>
        <w:tblCaption w:val="Table 10. Estimated gamma-frailty variance (fitted frailty variance) by age band and vaccination status for Czech cohorts enrolled in 2021_24."/>
      </w:tblPr>
      <w:tblGrid>
        <w:gridCol w:w="2436"/>
        <w:gridCol w:w="2741"/>
        <w:gridCol w:w="2741"/>
      </w:tblGrid>
      <w:tr>
        <w:trPr>
          <w:tblHeader w:val="on"/>
        </w:trPr>
        <w:tc>
          <w:tcPr/>
          <w:p>
            <w:pPr>
              <w:pStyle w:val="Compact"/>
            </w:pPr>
            <w:r>
              <w:t xml:space="preserve">Age band (years)</w:t>
            </w:r>
          </w:p>
        </w:tc>
        <w:tc>
          <w:tcPr/>
          <w:p>
            <w:pPr>
              <w:pStyle w:val="Compact"/>
              <w:jc w:val="right"/>
            </w:pPr>
            <w:r>
              <w:t xml:space="preserve">Fitted frailty variance (Dose 0)</w:t>
            </w:r>
          </w:p>
        </w:tc>
        <w:tc>
          <w:tcPr/>
          <w:p>
            <w:pPr>
              <w:pStyle w:val="Compact"/>
              <w:jc w:val="right"/>
            </w:pPr>
            <w:r>
              <w:t xml:space="preserve">Fitted frailty variance (Dose 2)</w:t>
            </w:r>
          </w:p>
        </w:tc>
      </w:tr>
      <w:tr>
        <w:tc>
          <w:tcPr/>
          <w:p>
            <w:pPr>
              <w:pStyle w:val="Compact"/>
            </w:pPr>
            <w:r>
              <w:t xml:space="preserve">40–49</w:t>
            </w:r>
          </w:p>
        </w:tc>
        <w:tc>
          <w:tcPr/>
          <w:p>
            <w:pPr>
              <w:pStyle w:val="Compact"/>
              <w:jc w:val="right"/>
            </w:pPr>
            <w:r>
              <w:t xml:space="preserve">16.79</w:t>
            </w:r>
          </w:p>
        </w:tc>
        <w:tc>
          <w:tcPr/>
          <w:p>
            <w:pPr>
              <w:pStyle w:val="Compact"/>
              <w:jc w:val="right"/>
            </w:pPr>
            <m:oMath>
              <m:r>
                <m:t>2.66</m:t>
              </m:r>
              <m:r>
                <m:rPr>
                  <m:sty m:val="p"/>
                </m:rPr>
                <m:t>×</m:t>
              </m:r>
              <m:sSup>
                <m:e>
                  <m:r>
                    <m:t>10</m:t>
                  </m:r>
                </m:e>
                <m:sup>
                  <m:r>
                    <m:rPr>
                      <m:sty m:val="p"/>
                    </m:rPr>
                    <m:t>−</m:t>
                  </m:r>
                  <m:r>
                    <m:t>6</m:t>
                  </m:r>
                </m:sup>
              </m:sSup>
            </m:oMath>
          </w:p>
        </w:tc>
      </w:tr>
      <w:tr>
        <w:tc>
          <w:tcPr/>
          <w:p>
            <w:pPr>
              <w:pStyle w:val="Compact"/>
            </w:pPr>
            <w:r>
              <w:t xml:space="preserve">50–59</w:t>
            </w:r>
          </w:p>
        </w:tc>
        <w:tc>
          <w:tcPr/>
          <w:p>
            <w:pPr>
              <w:pStyle w:val="Compact"/>
              <w:jc w:val="right"/>
            </w:pPr>
            <w:r>
              <w:t xml:space="preserve">23.02</w:t>
            </w:r>
          </w:p>
        </w:tc>
        <w:tc>
          <w:tcPr/>
          <w:p>
            <w:pPr>
              <w:pStyle w:val="Compact"/>
              <w:jc w:val="right"/>
            </w:pPr>
            <m:oMath>
              <m:r>
                <m:t>1.87</m:t>
              </m:r>
              <m:r>
                <m:rPr>
                  <m:sty m:val="p"/>
                </m:rPr>
                <m:t>×</m:t>
              </m:r>
              <m:sSup>
                <m:e>
                  <m:r>
                    <m:t>10</m:t>
                  </m:r>
                </m:e>
                <m:sup>
                  <m:r>
                    <m:rPr>
                      <m:sty m:val="p"/>
                    </m:rPr>
                    <m:t>−</m:t>
                  </m:r>
                  <m:r>
                    <m:t>4</m:t>
                  </m:r>
                </m:sup>
              </m:sSup>
            </m:oMath>
          </w:p>
        </w:tc>
      </w:tr>
      <w:tr>
        <w:tc>
          <w:tcPr/>
          <w:p>
            <w:pPr>
              <w:pStyle w:val="Compact"/>
            </w:pPr>
            <w:r>
              <w:t xml:space="preserve">60–69</w:t>
            </w:r>
          </w:p>
        </w:tc>
        <w:tc>
          <w:tcPr/>
          <w:p>
            <w:pPr>
              <w:pStyle w:val="Compact"/>
              <w:jc w:val="right"/>
            </w:pPr>
            <w:r>
              <w:t xml:space="preserve">13.13</w:t>
            </w:r>
          </w:p>
        </w:tc>
        <w:tc>
          <w:tcPr/>
          <w:p>
            <w:pPr>
              <w:pStyle w:val="Compact"/>
              <w:jc w:val="right"/>
            </w:pPr>
            <m:oMath>
              <m:r>
                <m:t>7.01</m:t>
              </m:r>
              <m:r>
                <m:rPr>
                  <m:sty m:val="p"/>
                </m:rPr>
                <m:t>×</m:t>
              </m:r>
              <m:sSup>
                <m:e>
                  <m:r>
                    <m:t>10</m:t>
                  </m:r>
                </m:e>
                <m:sup>
                  <m:r>
                    <m:rPr>
                      <m:sty m:val="p"/>
                    </m:rPr>
                    <m:t>−</m:t>
                  </m:r>
                  <m:r>
                    <m:t>18</m:t>
                  </m:r>
                </m:sup>
              </m:sSup>
            </m:oMath>
          </w:p>
        </w:tc>
      </w:tr>
      <w:tr>
        <w:tc>
          <w:tcPr/>
          <w:p>
            <w:pPr>
              <w:pStyle w:val="Compact"/>
            </w:pPr>
            <w:r>
              <w:t xml:space="preserve">70–79</w:t>
            </w:r>
          </w:p>
        </w:tc>
        <w:tc>
          <w:tcPr/>
          <w:p>
            <w:pPr>
              <w:pStyle w:val="Compact"/>
              <w:jc w:val="right"/>
            </w:pPr>
            <w:r>
              <w:t xml:space="preserve">6.98</w:t>
            </w:r>
          </w:p>
        </w:tc>
        <w:tc>
          <w:tcPr/>
          <w:p>
            <w:pPr>
              <w:pStyle w:val="Compact"/>
              <w:jc w:val="right"/>
            </w:pPr>
            <m:oMath>
              <m:r>
                <m:t>3.46</m:t>
              </m:r>
              <m:r>
                <m:rPr>
                  <m:sty m:val="p"/>
                </m:rPr>
                <m:t>×</m:t>
              </m:r>
              <m:sSup>
                <m:e>
                  <m:r>
                    <m:t>10</m:t>
                  </m:r>
                </m:e>
                <m:sup>
                  <m:r>
                    <m:rPr>
                      <m:sty m:val="p"/>
                    </m:rPr>
                    <m:t>−</m:t>
                  </m:r>
                  <m:r>
                    <m:t>17</m:t>
                  </m:r>
                </m:sup>
              </m:sSup>
            </m:oMath>
          </w:p>
        </w:tc>
      </w:tr>
      <w:tr>
        <w:tc>
          <w:tcPr/>
          <w:p>
            <w:pPr>
              <w:pStyle w:val="Compact"/>
            </w:pPr>
            <w:r>
              <w:t xml:space="preserve">80–89</w:t>
            </w:r>
          </w:p>
        </w:tc>
        <w:tc>
          <w:tcPr/>
          <w:p>
            <w:pPr>
              <w:pStyle w:val="Compact"/>
              <w:jc w:val="right"/>
            </w:pPr>
            <w:r>
              <w:t xml:space="preserve">2.97</w:t>
            </w:r>
          </w:p>
        </w:tc>
        <w:tc>
          <w:tcPr/>
          <w:p>
            <w:pPr>
              <w:pStyle w:val="Compact"/>
              <w:jc w:val="right"/>
            </w:pPr>
            <m:oMath>
              <m:r>
                <m:t>2.03</m:t>
              </m:r>
              <m:r>
                <m:rPr>
                  <m:sty m:val="p"/>
                </m:rPr>
                <m:t>×</m:t>
              </m:r>
              <m:sSup>
                <m:e>
                  <m:r>
                    <m:t>10</m:t>
                  </m:r>
                </m:e>
                <m:sup>
                  <m:r>
                    <m:rPr>
                      <m:sty m:val="p"/>
                    </m:rPr>
                    <m:t>−</m:t>
                  </m:r>
                  <m:r>
                    <m:t>11</m:t>
                  </m:r>
                </m:sup>
              </m:sSup>
            </m:oMath>
          </w:p>
        </w:tc>
      </w:tr>
      <w:tr>
        <w:tc>
          <w:tcPr/>
          <w:p>
            <w:pPr>
              <w:pStyle w:val="Compact"/>
            </w:pPr>
            <w:r>
              <w:t xml:space="preserve">90–99</w:t>
            </w:r>
          </w:p>
        </w:tc>
        <w:tc>
          <w:tcPr/>
          <w:p>
            <w:pPr>
              <w:pStyle w:val="Compact"/>
              <w:jc w:val="right"/>
            </w:pPr>
            <w:r>
              <w:t xml:space="preserve">0.80</w:t>
            </w:r>
          </w:p>
        </w:tc>
        <w:tc>
          <w:tcPr/>
          <w:p>
            <w:pPr>
              <w:pStyle w:val="Compact"/>
              <w:jc w:val="right"/>
            </w:pPr>
            <m:oMath>
              <m:r>
                <m:t>8.66</m:t>
              </m:r>
              <m:r>
                <m:rPr>
                  <m:sty m:val="p"/>
                </m:rPr>
                <m:t>×</m:t>
              </m:r>
              <m:sSup>
                <m:e>
                  <m:r>
                    <m:t>10</m:t>
                  </m:r>
                </m:e>
                <m:sup>
                  <m:r>
                    <m:rPr>
                      <m:sty m:val="p"/>
                    </m:rPr>
                    <m:t>−</m:t>
                  </m:r>
                  <m:r>
                    <m:t>16</m:t>
                  </m:r>
                </m:sup>
              </m:sSup>
            </m:oMath>
          </w:p>
        </w:tc>
      </w:tr>
      <w:tr>
        <w:tc>
          <w:tcPr/>
          <w:p>
            <w:pPr>
              <w:pStyle w:val="Compact"/>
            </w:pPr>
            <w:r>
              <w:t xml:space="preserve">All ages (full population)</w:t>
            </w:r>
          </w:p>
        </w:tc>
        <w:tc>
          <w:tcPr/>
          <w:p>
            <w:pPr>
              <w:pStyle w:val="Compact"/>
              <w:jc w:val="right"/>
            </w:pPr>
            <w:r>
              <w:t xml:space="preserve">4.98</w:t>
            </w:r>
          </w:p>
        </w:tc>
        <w:tc>
          <w:tcPr/>
          <w:p>
            <w:pPr>
              <w:pStyle w:val="Compact"/>
              <w:jc w:val="right"/>
            </w:pPr>
            <m:oMath>
              <m:r>
                <m:t>1.02</m:t>
              </m:r>
              <m:r>
                <m:rPr>
                  <m:sty m:val="p"/>
                </m:rPr>
                <m:t>×</m:t>
              </m:r>
              <m:sSup>
                <m:e>
                  <m:r>
                    <m:t>10</m:t>
                  </m:r>
                </m:e>
                <m:sup>
                  <m:r>
                    <m:rPr>
                      <m:sty m:val="p"/>
                    </m:rPr>
                    <m:t>−</m:t>
                  </m:r>
                  <m:r>
                    <m:t>11</m:t>
                  </m:r>
                </m:sup>
              </m:sSup>
            </m:oMath>
          </w:p>
        </w:tc>
      </w:tr>
    </w:tbl>
    <w:bookmarkEnd w:id="233"/>
    <w:p>
      <w:pPr>
        <w:pStyle w:val="BodyText"/>
      </w:pPr>
      <w:r>
        <w:rPr>
          <w:b/>
          <w:bCs/>
        </w:rPr>
        <w:t xml:space="preserve">Notes:</w:t>
      </w:r>
      <w:r>
        <w:t xml:space="preserve"> </w:t>
      </w:r>
      <w:r>
        <w:t xml:space="preserve">- The fitted frailty variance quantifies unobserved frailty heterogeneity and depletion of susceptibles within cohorts. Near-zero values indicate effectively linear cumulative hazards over the quiet window and are typical of strongly pre-selected cohorts.</w:t>
      </w:r>
      <w:r>
        <w:t xml:space="preserve"> </w:t>
      </w:r>
      <w:r>
        <w:t xml:space="preserve">- Each entry reports a single fitted gamma-frailty variance for the specified age band and vaccination status within the 2021_24 enrollment cohort.</w:t>
      </w:r>
      <w:r>
        <w:t xml:space="preserve"> </w:t>
      </w:r>
      <w:r>
        <w:t xml:space="preserve">- The</w:t>
      </w:r>
      <w:r>
        <w:t xml:space="preserve"> </w:t>
      </w:r>
      <w:r>
        <w:t xml:space="preserve">“All ages (full population)”</w:t>
      </w:r>
      <w:r>
        <w:t xml:space="preserve"> </w:t>
      </w:r>
      <w:r>
        <w:t xml:space="preserve">row corresponds to an independent fit over the full pooled age range, included as a global diagnostic.</w:t>
      </w:r>
      <w:r>
        <w:t xml:space="preserve"> </w:t>
      </w:r>
      <w:r>
        <w:t xml:space="preserve">- Table 11 reports raw outcome contrasts for ages 40+ (YOB ≤ 1980) where event counts are stable.</w:t>
      </w:r>
    </w:p>
    <w:p>
      <w:pPr>
        <w:pStyle w:val="BodyText"/>
      </w:pPr>
      <w:r>
        <w:rPr>
          <w:b/>
          <w:bCs/>
        </w:rPr>
        <w:t xml:space="preserve">Diagnostic checks:</w:t>
      </w:r>
      <w:r>
        <w:t xml:space="preserve"> </w:t>
      </w:r>
      <w:r>
        <w:t xml:space="preserve">-</w:t>
      </w:r>
      <w:r>
        <w:t xml:space="preserve"> </w:t>
      </w:r>
      <w:r>
        <w:rPr>
          <w:b/>
          <w:bCs/>
        </w:rPr>
        <w:t xml:space="preserve">Dose ordering:</w:t>
      </w:r>
      <w:r>
        <w:t xml:space="preserve"> </w:t>
      </w:r>
      <w:r>
        <w:t xml:space="preserve">the fitted frailty variance is positive for Dose 0 and collapses toward zero for Dose 2 across all age strata, consistent with selective uptake.</w:t>
      </w:r>
      <w:r>
        <w:t xml:space="preserve"> </w:t>
      </w:r>
      <w:r>
        <w:t xml:space="preserve">-</w:t>
      </w:r>
      <w:r>
        <w:t xml:space="preserve"> </w:t>
      </w:r>
      <w:r>
        <w:rPr>
          <w:b/>
          <w:bCs/>
        </w:rPr>
        <w:t xml:space="preserve">Magnitude separation:</w:t>
      </w:r>
      <w:r>
        <w:t xml:space="preserve"> </w:t>
      </w:r>
      <w:r>
        <w:t xml:space="preserve">Dose 2 estimates are effectively zero relative to Dose 0, indicating near-linear cumulative hazards rather than forced curvature.</w:t>
      </w:r>
      <w:r>
        <w:t xml:space="preserve"> </w:t>
      </w:r>
      <w:r>
        <w:t xml:space="preserve">-</w:t>
      </w:r>
      <w:r>
        <w:t xml:space="preserve"> </w:t>
      </w:r>
      <w:r>
        <w:rPr>
          <w:b/>
          <w:bCs/>
        </w:rPr>
        <w:t xml:space="preserve">Age coherence:</w:t>
      </w:r>
      <w:r>
        <w:t xml:space="preserve"> </w:t>
      </w:r>
      <w:r>
        <w:t xml:space="preserve">the fitted frailty variance decreases at older ages as baseline mortality rises and survivor populations become more homogeneous; monotonicity is not imposed.</w:t>
      </w:r>
      <w:r>
        <w:t xml:space="preserve"> </w:t>
      </w:r>
      <w:r>
        <w:t xml:space="preserve">-</w:t>
      </w:r>
      <w:r>
        <w:t xml:space="preserve"> </w:t>
      </w:r>
      <w:r>
        <w:rPr>
          <w:b/>
          <w:bCs/>
        </w:rPr>
        <w:t xml:space="preserve">Stability:</w:t>
      </w:r>
      <w:r>
        <w:t xml:space="preserve"> </w:t>
      </w:r>
      <w:r>
        <w:t xml:space="preserve">No sign reversals, boundary pathologies, or numerical instabilities are observed.</w:t>
      </w:r>
      <w:r>
        <w:t xml:space="preserve"> </w:t>
      </w:r>
      <w:r>
        <w:t xml:space="preserve">-</w:t>
      </w:r>
      <w:r>
        <w:t xml:space="preserve"> </w:t>
      </w:r>
      <w:r>
        <w:rPr>
          <w:b/>
          <w:bCs/>
        </w:rPr>
        <w:t xml:space="preserve">Falsifiability:</w:t>
      </w:r>
      <w:r>
        <w:t xml:space="preserve"> </w:t>
      </w:r>
      <w:r>
        <w:t xml:space="preserve">Failure of any one of these checks would constitute evidence against model adequacy.</w:t>
      </w:r>
    </w:p>
    <w:p>
      <w:pPr>
        <w:pStyle w:val="BodyText"/>
      </w:pPr>
      <w:r>
        <w:rPr>
          <w:b/>
          <w:bCs/>
        </w:rPr>
        <w:t xml:space="preserve">Interpretation:</w:t>
      </w:r>
      <w:r>
        <w:t xml:space="preserve"> </w:t>
      </w:r>
      <w:r>
        <w:t xml:space="preserve">Unvaccinated cohorts exhibit frailty heterogeneity, while Dose 2 cohorts show near-zero estimated frailty across all age bands, consistent with selective uptake prior to follow-up:</w:t>
      </w:r>
    </w:p>
    <w:p>
      <w:pPr>
        <w:pStyle w:val="BodyText"/>
      </w:pPr>
      <m:oMathPara>
        <m:oMathParaPr>
          <m:jc m:val="center"/>
        </m:oMathParaPr>
        <m:oMath>
          <m:sSub>
            <m:e>
              <m:acc>
                <m:accPr>
                  <m:chr m:val="̂"/>
                </m:accPr>
                <m:e>
                  <m:r>
                    <m:t>θ</m:t>
                  </m:r>
                </m:e>
              </m:acc>
            </m:e>
            <m:sub>
              <m:r>
                <m:t>d</m:t>
              </m:r>
            </m:sub>
          </m:sSub>
          <m:r>
            <m:rPr>
              <m:sty m:val="p"/>
            </m:rPr>
            <m:t>&gt;</m:t>
          </m:r>
          <m:r>
            <m:t>0</m:t>
          </m:r>
        </m:oMath>
      </m:oMathPara>
    </w:p>
    <w:p>
      <w:pPr>
        <w:pStyle w:val="FirstParagraph"/>
      </w:pPr>
      <w:r>
        <w:t xml:space="preserve">for Dose 0 cohorts and</w:t>
      </w:r>
    </w:p>
    <w:p>
      <w:pPr>
        <w:pStyle w:val="BodyText"/>
      </w:pPr>
      <m:oMathPara>
        <m:oMathParaPr>
          <m:jc m:val="center"/>
        </m:oMathParaPr>
        <m:oMath>
          <m:sSub>
            <m:e>
              <m:acc>
                <m:accPr>
                  <m:chr m:val="̂"/>
                </m:accPr>
                <m:e>
                  <m:r>
                    <m:t>θ</m:t>
                  </m:r>
                </m:e>
              </m:acc>
            </m:e>
            <m:sub>
              <m:r>
                <m:t>d</m:t>
              </m:r>
            </m:sub>
          </m:sSub>
          <m:r>
            <m:rPr>
              <m:sty m:val="p"/>
            </m:rPr>
            <m:t>≈</m:t>
          </m:r>
          <m:r>
            <m:t>0</m:t>
          </m:r>
        </m:oMath>
      </m:oMathPara>
    </w:p>
    <w:p>
      <w:pPr>
        <w:pStyle w:val="FirstParagraph"/>
      </w:pPr>
      <w:r>
        <w:t xml:space="preserve">for Dose 2 cohorts. Estimated frailty heterogeneity can appear larger at younger ages because baseline hazards are low, so proportional differences across latent risk strata translate into visibly different short-term hazards before depletion compresses the risk distribution. At older ages, higher baseline hazard and stronger ongoing depletion can reduce the apparent dispersion of remaining risk, yielding smaller fitted θ even if latent heterogeneity is not literally smaller. Frailty variance is largest at younger ages, where low baseline mortality amplifies the impact of heterogeneity on cumulative hazard curvature, and declines at older ages where mortality is compressed and survivors are more homogeneous. Because Table 10 demonstrates selection-induced heterogeneity, unadjusted cumulative outcome contrasts are expected to conflate depletion effects with any true treatment differences; Table 11 therefore reports raw cumulative hazards solely as a pre-normalization diagnostic. KCOR normalization removes the depletion component, enabling interpretable comparison of the remaining differences.</w:t>
      </w:r>
    </w:p>
    <w:bookmarkStart w:id="234" w:name="tbl:raw_cumulative_outcomes"/>
    <w:p>
      <w:pPr>
        <w:pStyle w:val="TableCaption"/>
      </w:pPr>
      <w:r>
        <w:t xml:space="preserve">Table 11. Ratio of observed cumulative mortality hazards for unvaccinated (Dose 0) versus fully vaccinated (Dose 2) Czech cohorts enrolled in 2021_24.</w:t>
      </w:r>
    </w:p>
    <w:tbl>
      <w:tblPr>
        <w:tblStyle w:val="Table"/>
        <w:tblW w:type="pct" w:w="5000"/>
        <w:tblLayout w:type="fixed"/>
        <w:tblLook w:firstRow="1" w:lastRow="0" w:firstColumn="0" w:lastColumn="0" w:noHBand="0" w:noVBand="0" w:val="0020"/>
        <w:tblCaption w:val="Table 11. Ratio of observed cumulative mortality hazards for unvaccinated (Dose 0) versus fully vaccinated (Dose 2) Czech cohorts enrolled in 2021_24."/>
      </w:tblPr>
      <w:tblGrid>
        <w:gridCol w:w="1863"/>
        <w:gridCol w:w="2678"/>
        <w:gridCol w:w="2795"/>
        <w:gridCol w:w="582"/>
      </w:tblGrid>
      <w:tr>
        <w:trPr>
          <w:tblHeader w:val="on"/>
        </w:trPr>
        <w:tc>
          <w:tcPr/>
          <w:p>
            <w:pPr>
              <w:pStyle w:val="Compact"/>
            </w:pPr>
            <w:r>
              <w:t xml:space="preserve">Age band (years)</w:t>
            </w:r>
          </w:p>
        </w:tc>
        <w:tc>
          <w:tcPr/>
          <w:p>
            <w:pPr>
              <w:pStyle w:val="Compact"/>
              <w:jc w:val="right"/>
            </w:pPr>
            <w:r>
              <w:t xml:space="preserve">Dose 0 cumulative hazard</w:t>
            </w:r>
          </w:p>
        </w:tc>
        <w:tc>
          <w:tcPr/>
          <w:p>
            <w:pPr>
              <w:pStyle w:val="Compact"/>
              <w:jc w:val="right"/>
            </w:pPr>
            <w:r>
              <w:t xml:space="preserve">Dose 2 cumulative hazard</w:t>
            </w:r>
          </w:p>
        </w:tc>
        <w:tc>
          <w:tcPr/>
          <w:p>
            <w:pPr>
              <w:pStyle w:val="Compact"/>
              <w:jc w:val="right"/>
            </w:pPr>
            <w:r>
              <w:t xml:space="preserve">Ratio</w:t>
            </w:r>
          </w:p>
        </w:tc>
      </w:tr>
      <w:tr>
        <w:tc>
          <w:tcPr/>
          <w:p>
            <w:pPr>
              <w:pStyle w:val="Compact"/>
            </w:pPr>
            <w:r>
              <w:t xml:space="preserve">40–49</w:t>
            </w:r>
          </w:p>
        </w:tc>
        <w:tc>
          <w:tcPr/>
          <w:p>
            <w:pPr>
              <w:pStyle w:val="Compact"/>
              <w:jc w:val="right"/>
            </w:pPr>
            <w:r>
              <w:t xml:space="preserve">0.005260</w:t>
            </w:r>
          </w:p>
        </w:tc>
        <w:tc>
          <w:tcPr/>
          <w:p>
            <w:pPr>
              <w:pStyle w:val="Compact"/>
              <w:jc w:val="right"/>
            </w:pPr>
            <w:r>
              <w:t xml:space="preserve">0.004117</w:t>
            </w:r>
          </w:p>
        </w:tc>
        <w:tc>
          <w:tcPr/>
          <w:p>
            <w:pPr>
              <w:pStyle w:val="Compact"/>
              <w:jc w:val="right"/>
            </w:pPr>
            <w:r>
              <w:t xml:space="preserve">1.2776</w:t>
            </w:r>
          </w:p>
        </w:tc>
      </w:tr>
      <w:tr>
        <w:tc>
          <w:tcPr/>
          <w:p>
            <w:pPr>
              <w:pStyle w:val="Compact"/>
            </w:pPr>
            <w:r>
              <w:t xml:space="preserve">50–59</w:t>
            </w:r>
          </w:p>
        </w:tc>
        <w:tc>
          <w:tcPr/>
          <w:p>
            <w:pPr>
              <w:pStyle w:val="Compact"/>
              <w:jc w:val="right"/>
            </w:pPr>
            <w:r>
              <w:t xml:space="preserve">0.014969</w:t>
            </w:r>
          </w:p>
        </w:tc>
        <w:tc>
          <w:tcPr/>
          <w:p>
            <w:pPr>
              <w:pStyle w:val="Compact"/>
              <w:jc w:val="right"/>
            </w:pPr>
            <w:r>
              <w:t xml:space="preserve">0.009582</w:t>
            </w:r>
          </w:p>
        </w:tc>
        <w:tc>
          <w:tcPr/>
          <w:p>
            <w:pPr>
              <w:pStyle w:val="Compact"/>
              <w:jc w:val="right"/>
            </w:pPr>
            <w:r>
              <w:t xml:space="preserve">1.5622</w:t>
            </w:r>
          </w:p>
        </w:tc>
      </w:tr>
      <w:tr>
        <w:tc>
          <w:tcPr/>
          <w:p>
            <w:pPr>
              <w:pStyle w:val="Compact"/>
            </w:pPr>
            <w:r>
              <w:t xml:space="preserve">60–69</w:t>
            </w:r>
          </w:p>
        </w:tc>
        <w:tc>
          <w:tcPr/>
          <w:p>
            <w:pPr>
              <w:pStyle w:val="Compact"/>
              <w:jc w:val="right"/>
            </w:pPr>
            <w:r>
              <w:t xml:space="preserve">0.045475</w:t>
            </w:r>
          </w:p>
        </w:tc>
        <w:tc>
          <w:tcPr/>
          <w:p>
            <w:pPr>
              <w:pStyle w:val="Compact"/>
              <w:jc w:val="right"/>
            </w:pPr>
            <w:r>
              <w:t xml:space="preserve">0.023136</w:t>
            </w:r>
          </w:p>
        </w:tc>
        <w:tc>
          <w:tcPr/>
          <w:p>
            <w:pPr>
              <w:pStyle w:val="Compact"/>
              <w:jc w:val="right"/>
            </w:pPr>
            <w:r>
              <w:t xml:space="preserve">1.9655</w:t>
            </w:r>
          </w:p>
        </w:tc>
      </w:tr>
      <w:tr>
        <w:tc>
          <w:tcPr/>
          <w:p>
            <w:pPr>
              <w:pStyle w:val="Compact"/>
            </w:pPr>
            <w:r>
              <w:t xml:space="preserve">70–79</w:t>
            </w:r>
          </w:p>
        </w:tc>
        <w:tc>
          <w:tcPr/>
          <w:p>
            <w:pPr>
              <w:pStyle w:val="Compact"/>
              <w:jc w:val="right"/>
            </w:pPr>
            <w:r>
              <w:t xml:space="preserve">0.123097</w:t>
            </w:r>
          </w:p>
        </w:tc>
        <w:tc>
          <w:tcPr/>
          <w:p>
            <w:pPr>
              <w:pStyle w:val="Compact"/>
              <w:jc w:val="right"/>
            </w:pPr>
            <w:r>
              <w:t xml:space="preserve">0.057675</w:t>
            </w:r>
          </w:p>
        </w:tc>
        <w:tc>
          <w:tcPr/>
          <w:p>
            <w:pPr>
              <w:pStyle w:val="Compact"/>
              <w:jc w:val="right"/>
            </w:pPr>
            <w:r>
              <w:t xml:space="preserve">2.1343</w:t>
            </w:r>
          </w:p>
        </w:tc>
      </w:tr>
      <w:tr>
        <w:tc>
          <w:tcPr/>
          <w:p>
            <w:pPr>
              <w:pStyle w:val="Compact"/>
            </w:pPr>
            <w:r>
              <w:t xml:space="preserve">80–89</w:t>
            </w:r>
          </w:p>
        </w:tc>
        <w:tc>
          <w:tcPr/>
          <w:p>
            <w:pPr>
              <w:pStyle w:val="Compact"/>
              <w:jc w:val="right"/>
            </w:pPr>
            <w:r>
              <w:t xml:space="preserve">0.307169</w:t>
            </w:r>
          </w:p>
        </w:tc>
        <w:tc>
          <w:tcPr/>
          <w:p>
            <w:pPr>
              <w:pStyle w:val="Compact"/>
              <w:jc w:val="right"/>
            </w:pPr>
            <w:r>
              <w:t xml:space="preserve">0.167345</w:t>
            </w:r>
          </w:p>
        </w:tc>
        <w:tc>
          <w:tcPr/>
          <w:p>
            <w:pPr>
              <w:pStyle w:val="Compact"/>
              <w:jc w:val="right"/>
            </w:pPr>
            <w:r>
              <w:t xml:space="preserve">1.8355</w:t>
            </w:r>
          </w:p>
        </w:tc>
      </w:tr>
      <w:tr>
        <w:tc>
          <w:tcPr/>
          <w:p>
            <w:pPr>
              <w:pStyle w:val="Compact"/>
            </w:pPr>
            <w:r>
              <w:t xml:space="preserve">90–99</w:t>
            </w:r>
          </w:p>
        </w:tc>
        <w:tc>
          <w:tcPr/>
          <w:p>
            <w:pPr>
              <w:pStyle w:val="Compact"/>
              <w:jc w:val="right"/>
            </w:pPr>
            <w:r>
              <w:t xml:space="preserve">0.776341</w:t>
            </w:r>
          </w:p>
        </w:tc>
        <w:tc>
          <w:tcPr/>
          <w:p>
            <w:pPr>
              <w:pStyle w:val="Compact"/>
              <w:jc w:val="right"/>
            </w:pPr>
            <w:r>
              <w:t xml:space="preserve">0.517284</w:t>
            </w:r>
          </w:p>
        </w:tc>
        <w:tc>
          <w:tcPr/>
          <w:p>
            <w:pPr>
              <w:pStyle w:val="Compact"/>
              <w:jc w:val="right"/>
            </w:pPr>
            <w:r>
              <w:t xml:space="preserve">1.5008</w:t>
            </w:r>
          </w:p>
        </w:tc>
      </w:tr>
      <w:tr>
        <w:tc>
          <w:tcPr/>
          <w:p>
            <w:pPr>
              <w:pStyle w:val="Compact"/>
            </w:pPr>
            <w:r>
              <w:t xml:space="preserve">All ages (full population)</w:t>
            </w:r>
          </w:p>
        </w:tc>
        <w:tc>
          <w:tcPr/>
          <w:p>
            <w:pPr>
              <w:pStyle w:val="Compact"/>
              <w:jc w:val="right"/>
            </w:pPr>
            <w:r>
              <w:t xml:space="preserve">0.023160</w:t>
            </w:r>
          </w:p>
        </w:tc>
        <w:tc>
          <w:tcPr/>
          <w:p>
            <w:pPr>
              <w:pStyle w:val="Compact"/>
              <w:jc w:val="right"/>
            </w:pPr>
            <w:r>
              <w:t xml:space="preserve">0.073323</w:t>
            </w:r>
          </w:p>
        </w:tc>
        <w:tc>
          <w:tcPr/>
          <w:p>
            <w:pPr>
              <w:pStyle w:val="Compact"/>
              <w:jc w:val="right"/>
            </w:pPr>
            <w:r>
              <w:t xml:space="preserve">0.3159</w:t>
            </w:r>
          </w:p>
        </w:tc>
      </w:tr>
    </w:tbl>
    <w:bookmarkEnd w:id="234"/>
    <w:p>
      <w:pPr>
        <w:pStyle w:val="BodyText"/>
      </w:pPr>
      <w:r>
        <w:t xml:space="preserve">This table reports unadjusted cumulative hazards derived directly from the raw data, prior to any frailty normalization or depletion correction, and is shown to illustrate the magnitude and direction of selection-induced curvature addressed by KCOR.</w:t>
      </w:r>
    </w:p>
    <w:p>
      <w:pPr>
        <w:pStyle w:val="BodyText"/>
      </w:pPr>
      <w:r>
        <w:t xml:space="preserve">Values reflect raw cumulative outcome differences prior to KCOR normalization and are not interpreted causally due to cohort non-exchangeability. Cumulative hazards were integrated from cohort enrollment through the end of available follow-up for the 2021_24 enrollment window (through week 2024-16), identically for Dose 0 and Dose 2 cohorts.</w:t>
      </w:r>
    </w:p>
    <w:p>
      <w:pPr>
        <w:pStyle w:val="BodyText"/>
      </w:pPr>
      <w:r>
        <w:t xml:space="preserve">These raw contrasts reflect both selection and depletion effects and are not interpreted causally.</w:t>
      </w:r>
    </w:p>
    <w:bookmarkEnd w:id="235"/>
    <w:bookmarkStart w:id="240" w:name="X5edf977bb748663aefbf51a96004e616d3437f4"/>
    <w:p>
      <w:pPr>
        <w:pStyle w:val="Heading4"/>
      </w:pPr>
      <w:r>
        <w:t xml:space="preserve">C.1.3 Illustrative application to national registry mortality data</w:t>
      </w:r>
    </w:p>
    <w:p>
      <w:pPr>
        <w:pStyle w:val="FirstParagraph"/>
      </w:pPr>
      <w:r>
        <w:t xml:space="preserve">We include a brief illustrative application to demonstrate end-to-end KCOR behavior on real registry mortality data in a setting that minimizes timing-driven shocks and window-tuning sensitivity. Cohorts were enrolled in ISO week 2022-26, and evaluation was restricted to calendar year 2023, yielding a 26-week post-enrollment buffer before slope estimation and a prespecified full-year window for assessment. Frailty parameters were estimated using a prespecified epidemiologically quiet window (calendar year 2023) to minimize wave-related hazard variation. This example is intended to illustrate estimator behavior under real-world selection and heterogeneity and does not support causal inference.</w:t>
      </w:r>
    </w:p>
    <w:p>
      <w:pPr>
        <w:pStyle w:val="BodyText"/>
      </w:pPr>
      <w:r>
        <w:t xml:space="preserve">Figure 18 shows KCOR(t) trajectories for dose 2 and dose 3 relative to dose 0 for an all-ages analysis. We deliberately present an all-ages analysis as a high-heterogeneity stress test, since aggregation across age induces substantial baseline hazard and frailty variation. To assess whether apparent stability could arise from cancellation across strata, we also present narrow birth-year cohorts spanning advanced ages (1930, 1940, 1950) in Figures 15–17. Across aggregation levels, KCOR remains stable over the evaluation window after depletion normalization, consistent with effective removal of selection-induced curvature in a real-data setting. These figures are presented descriptively to illustrate estimator behavior; no hypothesis testing is performed.</w:t>
      </w:r>
    </w:p>
    <w:bookmarkStart w:id="239" w:name="fig:kcor_realdata_allages"/>
    <w:p>
      <w:pPr>
        <w:pStyle w:val="CaptionedFigure"/>
      </w:pPr>
      <w:r>
        <w:drawing>
          <wp:inline>
            <wp:extent cx="5334000" cy="3078759"/>
            <wp:effectExtent b="0" l="0" r="0" t="0"/>
            <wp:docPr descr="Figure 18. All-ages stress test: KCOR(t) trajectories comparing dose 2 and dose 3 to dose 0 for cohorts enrolled in ISO week 2022-26 and evaluated over calendar year 2023. This figure is presented as an illustrative application demonstrating estimator behavior under extreme heterogeneity and does not support causal inference." title="" id="237" name="Picture"/>
            <a:graphic>
              <a:graphicData uri="http://schemas.openxmlformats.org/drawingml/2006/picture">
                <pic:pic>
                  <pic:nvPicPr>
                    <pic:cNvPr descr="figures/kcor_realdata_allages_enroll2022w26_eval2023.png" id="238" name="Picture"/>
                    <pic:cNvPicPr>
                      <a:picLocks noChangeArrowheads="1" noChangeAspect="1"/>
                    </pic:cNvPicPr>
                  </pic:nvPicPr>
                  <pic:blipFill>
                    <a:blip r:embed="rId236"/>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18. All-ages stress test: KCOR(t) trajectories comparing dose 2 and dose 3 to dose 0 for cohorts enrolled in ISO week 2022-26 and evaluated over calendar year 2023. This figure is presented as an illustrative application demonstrating estimator behavior under extreme heterogeneity and does not support causal inference.</w:t>
      </w:r>
    </w:p>
    <w:bookmarkEnd w:id="239"/>
    <w:bookmarkEnd w:id="240"/>
    <w:bookmarkEnd w:id="241"/>
    <w:bookmarkStart w:id="250" w:name="X69b5e35053b6e4d59eb22647dfb47df86b0bc52"/>
    <w:p>
      <w:pPr>
        <w:pStyle w:val="Heading3"/>
      </w:pPr>
      <w:r>
        <w:t xml:space="preserve">Appendix D — Diagnostics and Failure Modes for KCOR Assumptions</w:t>
      </w:r>
    </w:p>
    <w:p>
      <w:pPr>
        <w:pStyle w:val="FirstParagraph"/>
      </w:pPr>
      <w:r>
        <w:t xml:space="preserve">This appendix describes the</w:t>
      </w:r>
      <w:r>
        <w:t xml:space="preserve"> </w:t>
      </w:r>
      <w:r>
        <w:rPr>
          <w:b/>
          <w:bCs/>
        </w:rPr>
        <w:t xml:space="preserve">observable diagnostics and failure modes</w:t>
      </w:r>
      <w:r>
        <w:t xml:space="preserve"> </w:t>
      </w:r>
      <w:r>
        <w:t xml:space="preserve">associated with each of the five KCOR assumptions (A1–A5). No additional assumptions are introduced here. KCOR is designed to</w:t>
      </w:r>
      <w:r>
        <w:t xml:space="preserve"> </w:t>
      </w:r>
      <w:r>
        <w:rPr>
          <w:b/>
          <w:bCs/>
        </w:rPr>
        <w:t xml:space="preserve">fail transparently rather than silently</w:t>
      </w:r>
      <w:r>
        <w:t xml:space="preserve">: when an assumption is violated, the resulting lack of identifiability or model stress manifests through explicit diagnostic signals rather than spurious estimates.</w:t>
      </w:r>
    </w:p>
    <w:bookmarkStart w:id="242" w:name="Xe3738a2c16164a2ac95ac03928e5c7877b0667e"/>
    <w:p>
      <w:pPr>
        <w:pStyle w:val="Heading4"/>
      </w:pPr>
      <w:r>
        <w:t xml:space="preserve">D.1 Diagnostics for Assumption A1 (Fixed cohorts at enrollment)</w:t>
      </w:r>
    </w:p>
    <w:p>
      <w:pPr>
        <w:pStyle w:val="FirstParagraph"/>
      </w:pPr>
      <w:r>
        <w:rPr>
          <w:b/>
          <w:bCs/>
        </w:rPr>
        <w:t xml:space="preserve">Assumption A1</w:t>
      </w:r>
      <w:r>
        <w:t xml:space="preserve"> </w:t>
      </w:r>
      <w:r>
        <w:t xml:space="preserve">requires that cohorts be fixed at enrollment, with no post-enrollment switching or censoring in the primary estimand.</w:t>
      </w:r>
    </w:p>
    <w:p>
      <w:pPr>
        <w:pStyle w:val="BodyText"/>
      </w:pPr>
      <w:r>
        <w:rPr>
          <w:b/>
          <w:bCs/>
        </w:rPr>
        <w:t xml:space="preserve">Diagnostic signals of violation.</w:t>
      </w:r>
    </w:p>
    <w:p>
      <w:pPr>
        <w:pStyle w:val="Compact"/>
        <w:numPr>
          <w:ilvl w:val="0"/>
          <w:numId w:val="1046"/>
        </w:numPr>
      </w:pPr>
      <w:r>
        <w:t xml:space="preserve">Inconsistencies in cohort risk sets (e.g., unexplained increases in at-risk counts).</w:t>
      </w:r>
    </w:p>
    <w:p>
      <w:pPr>
        <w:pStyle w:val="Compact"/>
        <w:numPr>
          <w:ilvl w:val="0"/>
          <w:numId w:val="1046"/>
        </w:numPr>
      </w:pPr>
      <w:r>
        <w:t xml:space="preserve">Early-time hazard suppression or inflation inconsistent with selection or depletion geometry.</w:t>
      </w:r>
    </w:p>
    <w:p>
      <w:pPr>
        <w:pStyle w:val="Compact"/>
        <w:numPr>
          <w:ilvl w:val="0"/>
          <w:numId w:val="1046"/>
        </w:numPr>
      </w:pPr>
      <w:r>
        <w:t xml:space="preserve">Dependence of results on as-treated reclassification or censoring rules.</w:t>
      </w:r>
    </w:p>
    <w:p>
      <w:pPr>
        <w:pStyle w:val="FirstParagraph"/>
      </w:pPr>
      <w:r>
        <w:rPr>
          <w:b/>
          <w:bCs/>
        </w:rPr>
        <w:t xml:space="preserve">Interpretation.</w:t>
      </w:r>
      <w:r>
        <w:t xml:space="preserve"> </w:t>
      </w:r>
      <w:r>
        <w:t xml:space="preserve">KCOR is not defined for datasets with post-enrollment switching or informative censoring in the primary estimand. Such violations are design-level failures rather than modeling failures and indicate that KCOR should not be applied without redefining cohorts.</w:t>
      </w:r>
    </w:p>
    <w:bookmarkEnd w:id="242"/>
    <w:bookmarkStart w:id="243" w:name="X39f360dcd9bb0e6d00df4e123204743a8bdbf2a"/>
    <w:p>
      <w:pPr>
        <w:pStyle w:val="Heading4"/>
      </w:pPr>
      <w:r>
        <w:t xml:space="preserve">D.2 Diagnostics for Assumption A2 (Shared external hazard environment)</w:t>
      </w:r>
    </w:p>
    <w:p>
      <w:pPr>
        <w:pStyle w:val="FirstParagraph"/>
      </w:pPr>
      <w:r>
        <w:rPr>
          <w:b/>
          <w:bCs/>
        </w:rPr>
        <w:t xml:space="preserve">Assumption A2</w:t>
      </w:r>
      <w:r>
        <w:t xml:space="preserve"> </w:t>
      </w:r>
      <w:r>
        <w:t xml:space="preserve">requires that all cohorts experience the same calendar-time external mortality environment.</w:t>
      </w:r>
    </w:p>
    <w:p>
      <w:pPr>
        <w:pStyle w:val="BodyText"/>
      </w:pPr>
      <w:r>
        <w:rPr>
          <w:b/>
          <w:bCs/>
        </w:rPr>
        <w:t xml:space="preserve">Diagnostic signals of violation.</w:t>
      </w:r>
    </w:p>
    <w:p>
      <w:pPr>
        <w:pStyle w:val="Compact"/>
        <w:numPr>
          <w:ilvl w:val="0"/>
          <w:numId w:val="1047"/>
        </w:numPr>
      </w:pPr>
      <w:r>
        <w:t xml:space="preserve">Calendar-time hazard spikes or drops that appear in only one cohort.</w:t>
      </w:r>
    </w:p>
    <w:p>
      <w:pPr>
        <w:pStyle w:val="Compact"/>
        <w:numPr>
          <w:ilvl w:val="0"/>
          <w:numId w:val="1047"/>
        </w:numPr>
      </w:pPr>
      <w:r>
        <w:t xml:space="preserve">Misalignment of major mortality shocks (e.g., epidemic waves) across cohorts.</w:t>
      </w:r>
    </w:p>
    <w:p>
      <w:pPr>
        <w:pStyle w:val="Compact"/>
        <w:numPr>
          <w:ilvl w:val="0"/>
          <w:numId w:val="1047"/>
        </w:numPr>
      </w:pPr>
      <w:r>
        <w:t xml:space="preserve">Cohort-specific reporting artifacts or administrative discontinuities.</w:t>
      </w:r>
    </w:p>
    <w:p>
      <w:pPr>
        <w:pStyle w:val="FirstParagraph"/>
      </w:pPr>
      <w:r>
        <w:rPr>
          <w:b/>
          <w:bCs/>
        </w:rPr>
        <w:t xml:space="preserve">Interpretation.</w:t>
      </w:r>
      <w:r>
        <w:t xml:space="preserve"> </w:t>
      </w:r>
      <w:r>
        <w:t xml:space="preserve">External shocks are permitted under KCOR provided they act symmetrically across cohorts. Cohort-specific shocks violate comparability and are visible directly in calendar-time hazard overlays. When detected, such violations limit interpretation of KCOR contrasts over affected periods.</w:t>
      </w:r>
    </w:p>
    <w:bookmarkEnd w:id="243"/>
    <w:bookmarkStart w:id="244" w:name="X681d6c8e66603a33484a5fa5b4d7675a7826b35"/>
    <w:p>
      <w:pPr>
        <w:pStyle w:val="Heading4"/>
      </w:pPr>
      <w:r>
        <w:t xml:space="preserve">D.3 Diagnostics for Assumption A3 (Selection via time-invariant latent frailty)</w:t>
      </w:r>
    </w:p>
    <w:p>
      <w:pPr>
        <w:pStyle w:val="FirstParagraph"/>
      </w:pPr>
      <w:r>
        <w:rPr>
          <w:b/>
          <w:bCs/>
        </w:rPr>
        <w:t xml:space="preserve">Assumption A3</w:t>
      </w:r>
      <w:r>
        <w:t xml:space="preserve"> </w:t>
      </w:r>
      <w:r>
        <w:t xml:space="preserve">posits that selection at enrollment operates primarily through differences in a time-invariant latent frailty distribution that induces depletion of susceptibles.</w:t>
      </w:r>
    </w:p>
    <w:p>
      <w:pPr>
        <w:pStyle w:val="BodyText"/>
      </w:pPr>
      <w:r>
        <w:rPr>
          <w:b/>
          <w:bCs/>
        </w:rPr>
        <w:t xml:space="preserve">Diagnostic signals of violation.</w:t>
      </w:r>
    </w:p>
    <w:p>
      <w:pPr>
        <w:pStyle w:val="Compact"/>
        <w:numPr>
          <w:ilvl w:val="0"/>
          <w:numId w:val="1048"/>
        </w:numPr>
      </w:pPr>
      <w:r>
        <w:t xml:space="preserve">Strongly structured residuals in cumulative-hazard space inconsistent with depletion.</w:t>
      </w:r>
    </w:p>
    <w:p>
      <w:pPr>
        <w:pStyle w:val="Compact"/>
        <w:numPr>
          <w:ilvl w:val="0"/>
          <w:numId w:val="1048"/>
        </w:numPr>
      </w:pPr>
      <w:r>
        <w:t xml:space="preserve">Instability of fitted frailty parameters not attributable to window placement.</w:t>
      </w:r>
    </w:p>
    <w:p>
      <w:pPr>
        <w:pStyle w:val="Compact"/>
        <w:numPr>
          <w:ilvl w:val="0"/>
          <w:numId w:val="1048"/>
        </w:numPr>
      </w:pPr>
      <w:r>
        <w:t xml:space="preserve">Early-time transients that do not decay and are inconsistent across related cohorts.</w:t>
      </w:r>
    </w:p>
    <w:p>
      <w:pPr>
        <w:pStyle w:val="FirstParagraph"/>
      </w:pPr>
      <w:r>
        <w:rPr>
          <w:b/>
          <w:bCs/>
        </w:rPr>
        <w:t xml:space="preserve">Interpretation.</w:t>
      </w:r>
      <w:r>
        <w:t xml:space="preserve"> </w:t>
      </w:r>
      <w:r>
        <w:t xml:space="preserve">Frailty in KCOR is a geometric construct capturing unobserved heterogeneity, not a causal mechanism. If dominant time-varying individual risk unrelated to depletion is present, curvature attributed to frailty becomes unstable. Such cases are revealed by residual structure and parameter instability rather than masked by the model.</w:t>
      </w:r>
    </w:p>
    <w:bookmarkEnd w:id="244"/>
    <w:bookmarkStart w:id="245" w:name="X810b9431575fbeab7b91f5a140a669b822d9eaf"/>
    <w:p>
      <w:pPr>
        <w:pStyle w:val="Heading4"/>
      </w:pPr>
      <w:r>
        <w:t xml:space="preserve">D.4 Diagnostics for Assumption A4 (Adequacy of gamma frailty approximation)</w:t>
      </w:r>
    </w:p>
    <w:p>
      <w:pPr>
        <w:pStyle w:val="FirstParagraph"/>
      </w:pPr>
      <w:r>
        <w:rPr>
          <w:b/>
          <w:bCs/>
        </w:rPr>
        <w:t xml:space="preserve">Assumption A4</w:t>
      </w:r>
      <w:r>
        <w:t xml:space="preserve"> </w:t>
      </w:r>
      <w:r>
        <w:t xml:space="preserve">requires that gamma frailty provides an adequate approximation to the depletion geometry observed in cumulative-hazard space over the estimation window.</w:t>
      </w:r>
    </w:p>
    <w:p>
      <w:pPr>
        <w:pStyle w:val="BodyText"/>
      </w:pPr>
      <w:r>
        <w:rPr>
          <w:b/>
          <w:bCs/>
        </w:rPr>
        <w:t xml:space="preserve">Diagnostic signals of violation.</w:t>
      </w:r>
    </w:p>
    <w:p>
      <w:pPr>
        <w:pStyle w:val="Compact"/>
        <w:numPr>
          <w:ilvl w:val="0"/>
          <w:numId w:val="1049"/>
        </w:numPr>
      </w:pPr>
      <w:r>
        <w:t xml:space="preserve">Poor fit of the gamma-frailty cumulative-hazard model during the quiet window.</w:t>
      </w:r>
    </w:p>
    <w:p>
      <w:pPr>
        <w:pStyle w:val="Compact"/>
        <w:numPr>
          <w:ilvl w:val="0"/>
          <w:numId w:val="1049"/>
        </w:numPr>
      </w:pPr>
      <w:r>
        <w:t xml:space="preserve">Systematic residual curvature after frailty normalization.</w:t>
      </w:r>
    </w:p>
    <w:p>
      <w:pPr>
        <w:pStyle w:val="Compact"/>
        <w:numPr>
          <w:ilvl w:val="0"/>
          <w:numId w:val="1049"/>
        </w:numPr>
      </w:pPr>
      <w:r>
        <w:t xml:space="preserve">Strong sensitivity of results to minor model or window perturbations.</w:t>
      </w:r>
    </w:p>
    <w:p>
      <w:pPr>
        <w:pStyle w:val="FirstParagraph"/>
      </w:pPr>
      <w:r>
        <w:t xml:space="preserve">Additional internal diagnostics for Assumption A4 include the magnitude, coherence, and stability of the fitted frailty variance parameter (θ). Values of θ approaching zero are expected when cumulative hazards are approximately linear, while larger values correspond to visible depletion-induced curvature. Implausible θ estimates—such as large values in the absence of curvature, sign instability, or extreme sensitivity to small changes in the estimation window—indicate model stress or misspecification rather than substantive cohort effects.</w:t>
      </w:r>
    </w:p>
    <w:p>
      <w:pPr>
        <w:pStyle w:val="BodyText"/>
      </w:pPr>
      <w:r>
        <w:rPr>
          <w:b/>
          <w:bCs/>
        </w:rPr>
        <w:t xml:space="preserve">Interpretation.</w:t>
      </w:r>
      <w:r>
        <w:t xml:space="preserve"> </w:t>
      </w:r>
      <w:r>
        <w:t xml:space="preserve">Gamma frailty is used as a mathematically tractable approximation, not as a claim of biological truth. When depletion geometry deviates substantially from the gamma form, KCOR normalization fails visibly through poor fit and residual curvature. Such behavior indicates model inadequacy rather than supporting alternative interpretation.</w:t>
      </w:r>
    </w:p>
    <w:bookmarkEnd w:id="245"/>
    <w:bookmarkStart w:id="246" w:name="Xcaaaf1aa538be62697c3926e555dd3ad2ffc5b5"/>
    <w:p>
      <w:pPr>
        <w:pStyle w:val="Heading4"/>
      </w:pPr>
      <w:r>
        <w:t xml:space="preserve">D.5 Diagnostics for Assumption A5 (Quiet-window validity)</w:t>
      </w:r>
    </w:p>
    <w:p>
      <w:pPr>
        <w:pStyle w:val="FirstParagraph"/>
      </w:pPr>
      <w:r>
        <w:rPr>
          <w:b/>
          <w:bCs/>
        </w:rPr>
        <w:t xml:space="preserve">Assumption A5</w:t>
      </w:r>
      <w:r>
        <w:t xml:space="preserve"> </w:t>
      </w:r>
      <w:r>
        <w:t xml:space="preserve">requires the existence of a prespecified quiet window in which selection-induced depletion dominates other sources of curvature, permitting identification of frailty parameters.</w:t>
      </w:r>
    </w:p>
    <w:p>
      <w:pPr>
        <w:pStyle w:val="BodyText"/>
      </w:pPr>
      <w:r>
        <w:rPr>
          <w:b/>
          <w:bCs/>
        </w:rPr>
        <w:t xml:space="preserve">Diagnostic signals of violation.</w:t>
      </w:r>
    </w:p>
    <w:p>
      <w:pPr>
        <w:pStyle w:val="Compact"/>
        <w:numPr>
          <w:ilvl w:val="0"/>
          <w:numId w:val="1050"/>
        </w:numPr>
      </w:pPr>
      <w:r>
        <w:t xml:space="preserve">Failure of KCOR(t) trajectories to stabilize or asymptote following frailty normalization.</w:t>
      </w:r>
    </w:p>
    <w:p>
      <w:pPr>
        <w:pStyle w:val="Compact"/>
        <w:numPr>
          <w:ilvl w:val="0"/>
          <w:numId w:val="1050"/>
        </w:numPr>
      </w:pPr>
      <w:r>
        <w:t xml:space="preserve">Persistent nonzero slope in KCOR(t), indicating residual curvature after normalization.</w:t>
      </w:r>
    </w:p>
    <w:p>
      <w:pPr>
        <w:pStyle w:val="Compact"/>
        <w:numPr>
          <w:ilvl w:val="0"/>
          <w:numId w:val="1050"/>
        </w:numPr>
      </w:pPr>
      <w:r>
        <w:t xml:space="preserve">Instability of fitted frailty parameters (θ) under small perturbations of quiet-window boundaries.</w:t>
      </w:r>
    </w:p>
    <w:p>
      <w:pPr>
        <w:pStyle w:val="Compact"/>
        <w:numPr>
          <w:ilvl w:val="0"/>
          <w:numId w:val="1050"/>
        </w:numPr>
      </w:pPr>
      <w:r>
        <w:t xml:space="preserve">Failure of depletion-neutralized cumulative hazards to become approximately linear during the quiet window.</w:t>
      </w:r>
    </w:p>
    <w:p>
      <w:pPr>
        <w:pStyle w:val="Compact"/>
        <w:numPr>
          <w:ilvl w:val="0"/>
          <w:numId w:val="1050"/>
        </w:numPr>
      </w:pPr>
      <w:r>
        <w:t xml:space="preserve">Degraded cumulative-hazard fit error concentrated within the nominal quiet period.</w:t>
      </w:r>
    </w:p>
    <w:p>
      <w:pPr>
        <w:pStyle w:val="FirstParagraph"/>
      </w:pPr>
      <w:r>
        <w:rPr>
          <w:b/>
          <w:bCs/>
        </w:rPr>
        <w:t xml:space="preserve">Interpretation.</w:t>
      </w:r>
      <w:r>
        <w:t xml:space="preserve"> </w:t>
      </w:r>
      <w:r>
        <w:t xml:space="preserve">Quiet-window validity is the primary dataset-specific requirement for KCOR applicability. When this assumption fails—e.g., due to overlap with strong treatment effects or external shocks—KCOR does not amplify spurious signals. Instead, normalization becomes unstable and KCOR(t) trajectories attenuate toward unity or fail to stabilize, explicitly signaling loss of identifiability.</w:t>
      </w:r>
    </w:p>
    <w:p>
      <w:pPr>
        <w:pStyle w:val="BodyText"/>
      </w:pPr>
      <w:r>
        <w:t xml:space="preserve">Under a valid quiet window, frailty-normalized cumulative hazards are expected to be approximately linear and KCOR(t) trajectories to stabilize rather than drift. Persistent KCOR slope or θ instability indicates contamination of the quiet window by external shocks or time-varying effects and signals loss of identifiability rather than evidence of cohort differences.</w:t>
      </w:r>
    </w:p>
    <w:bookmarkEnd w:id="246"/>
    <w:bookmarkStart w:id="247" w:name="X4697312edb91442c28e4c7966c61f59d358df3d"/>
    <w:p>
      <w:pPr>
        <w:pStyle w:val="Heading4"/>
      </w:pPr>
      <w:r>
        <w:t xml:space="preserve">D.6 Diagnostic coherence across assumptions</w:t>
      </w:r>
    </w:p>
    <w:p>
      <w:pPr>
        <w:pStyle w:val="FirstParagraph"/>
      </w:pPr>
      <w:r>
        <w:t xml:space="preserve">Several diagnostics operate across assumptions A4 and A5, including stabilization of KCOR(t) trajectories and coherence of fitted θ parameters with observed cumulative-hazard curvature. These diagnostics are not assumptions of the KCOR framework; rather, they are observable consequences of successful frailty normalization. When these behaviors fail to emerge, KCOR explicitly signals reduced interpretability through residual curvature, parameter instability, or attenuation toward unity.</w:t>
      </w:r>
    </w:p>
    <w:bookmarkEnd w:id="247"/>
    <w:bookmarkStart w:id="248" w:name="d.7-identifiability-under-sparse-data"/>
    <w:p>
      <w:pPr>
        <w:pStyle w:val="Heading4"/>
      </w:pPr>
      <w:r>
        <w:t xml:space="preserve">D.7 Identifiability under sparse data</w:t>
      </w:r>
    </w:p>
    <w:p>
      <w:pPr>
        <w:pStyle w:val="FirstParagraph"/>
      </w:pPr>
      <w:r>
        <w:t xml:space="preserve">KCOR does not require large sample sizes by assumption; however, reliable estimation of frailty parameters and depletion-neutralized cumulative hazards requires sufficient event information within the identification window. When event counts are very small, frailty estimates may become unstable, resulting in noisy normalization, non-linear baseline cumulative hazards, or drifting KCOR(t) trajectories.</w:t>
      </w:r>
    </w:p>
    <w:p>
      <w:pPr>
        <w:pStyle w:val="BodyText"/>
      </w:pPr>
      <w:r>
        <w:t xml:space="preserve">Such failures are diagnosable: sparse-data regimes are characterized by instability of estimated frailty parameters under small perturbations of the quiet window, loss of post-normalization linearity, and non-stabilizing KCOR(t). In these cases, KCOR signals loss of identifiability rather than producing spurious effects. Applicability should therefore be assessed via diagnostic stability rather than nominal sample size thresholds.</w:t>
      </w:r>
    </w:p>
    <w:bookmarkEnd w:id="248"/>
    <w:bookmarkStart w:id="249" w:name="X6c73c4ccb2a4c028b15fd59c9fb7f49770df43b"/>
    <w:p>
      <w:pPr>
        <w:pStyle w:val="Heading4"/>
      </w:pPr>
      <w:r>
        <w:t xml:space="preserve">D.8 Summary: Diagnostic enforcement rather than assumption inflation</w:t>
      </w:r>
    </w:p>
    <w:p>
      <w:pPr>
        <w:pStyle w:val="FirstParagraph"/>
      </w:pPr>
      <w:r>
        <w:t xml:space="preserve">KCOR relies on exactly five assumptions (A1–A5), stated exhaustively in §2.1.1. This appendix demonstrates that each assumption has</w:t>
      </w:r>
      <w:r>
        <w:t xml:space="preserve"> </w:t>
      </w:r>
      <w:r>
        <w:rPr>
          <w:b/>
          <w:bCs/>
        </w:rPr>
        <w:t xml:space="preserve">explicit, observable diagnostics</w:t>
      </w:r>
      <w:r>
        <w:t xml:space="preserve"> </w:t>
      </w:r>
      <w:r>
        <w:t xml:space="preserve">and</w:t>
      </w:r>
      <w:r>
        <w:t xml:space="preserve"> </w:t>
      </w:r>
      <w:r>
        <w:rPr>
          <w:b/>
          <w:bCs/>
        </w:rPr>
        <w:t xml:space="preserve">well-defined failure modes</w:t>
      </w:r>
      <w:r>
        <w:t xml:space="preserve">. When assumptions are violated, KCOR signals reduced interpretability through instability, poor fit, or residual structure rather than producing misleading cumulative contrasts. This diagnostic enforcement is a core design feature of the KCOR framework.</w:t>
      </w:r>
    </w:p>
    <w:bookmarkEnd w:id="249"/>
    <w:bookmarkEnd w:id="250"/>
    <w:bookmarkEnd w:id="251"/>
    <w:bookmarkEnd w:id="2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73" Target="media/rId73.png" /><Relationship Type="http://schemas.openxmlformats.org/officeDocument/2006/relationships/image" Id="rId94" Target="media/rId94.png" /><Relationship Type="http://schemas.openxmlformats.org/officeDocument/2006/relationships/image" Id="rId112" Target="media/rId112.png" /><Relationship Type="http://schemas.openxmlformats.org/officeDocument/2006/relationships/image" Id="rId135" Target="media/rId135.png" /><Relationship Type="http://schemas.openxmlformats.org/officeDocument/2006/relationships/image" Id="rId131" Target="media/rId131.png" /><Relationship Type="http://schemas.openxmlformats.org/officeDocument/2006/relationships/image" Id="rId118" Target="media/rId118.png" /><Relationship Type="http://schemas.openxmlformats.org/officeDocument/2006/relationships/image" Id="rId127" Target="media/rId127.png" /><Relationship Type="http://schemas.openxmlformats.org/officeDocument/2006/relationships/image" Id="rId123" Target="media/rId123.png" /><Relationship Type="http://schemas.openxmlformats.org/officeDocument/2006/relationships/image" Id="rId139" Target="media/rId139.png" /><Relationship Type="http://schemas.openxmlformats.org/officeDocument/2006/relationships/image" Id="rId236" Target="media/rId236.png" /><Relationship Type="http://schemas.openxmlformats.org/officeDocument/2006/relationships/image" Id="rId218" Target="media/rId218.png" /><Relationship Type="http://schemas.openxmlformats.org/officeDocument/2006/relationships/image" Id="rId222" Target="media/rId222.png" /><Relationship Type="http://schemas.openxmlformats.org/officeDocument/2006/relationships/image" Id="rId226" Target="media/rId226.png" /><Relationship Type="http://schemas.openxmlformats.org/officeDocument/2006/relationships/hyperlink" Id="rId180" Target="https://doi.org/10.1002/sim.1203" TargetMode="External" /><Relationship Type="http://schemas.openxmlformats.org/officeDocument/2006/relationships/hyperlink" Id="rId182" Target="https://doi.org/10.1002/sim.4780080803" TargetMode="External" /><Relationship Type="http://schemas.openxmlformats.org/officeDocument/2006/relationships/hyperlink" Id="rId190" Target="https://doi.org/10.1093/aje/kwn164" TargetMode="External" /><Relationship Type="http://schemas.openxmlformats.org/officeDocument/2006/relationships/hyperlink" Id="rId184" Target="https://doi.org/10.1093/biomet/81.1.61" TargetMode="External" /><Relationship Type="http://schemas.openxmlformats.org/officeDocument/2006/relationships/hyperlink" Id="rId176" Target="https://doi.org/10.1093/biomet/81.3.515" TargetMode="External" /><Relationship Type="http://schemas.openxmlformats.org/officeDocument/2006/relationships/hyperlink" Id="rId188" Target="https://doi.org/10.1097/00001648-200009000-00011" TargetMode="External" /><Relationship Type="http://schemas.openxmlformats.org/officeDocument/2006/relationships/hyperlink" Id="rId186" Target="https://doi.org/10.1111/j.1467-9469.2006.00529.x" TargetMode="External" /><Relationship Type="http://schemas.openxmlformats.org/officeDocument/2006/relationships/hyperlink" Id="rId178" Target="https://doi.org/10.1214/aos/1176345976" TargetMode="External" /><Relationship Type="http://schemas.openxmlformats.org/officeDocument/2006/relationships/hyperlink" Id="rId172" Target="https://doi.org/10.2147/CLEP.S468572" TargetMode="External" /><Relationship Type="http://schemas.openxmlformats.org/officeDocument/2006/relationships/hyperlink" Id="rId170" Target="https://doi.org/10.2307/2061224" TargetMode="External" /><Relationship Type="http://schemas.openxmlformats.org/officeDocument/2006/relationships/hyperlink" Id="rId163" Target="https://doi.org/10.5281/zenodo.18050329" TargetMode="External" /><Relationship Type="http://schemas.openxmlformats.org/officeDocument/2006/relationships/hyperlink" Id="rId174" Target="https://doi.org/10.7554/eLife.103690" TargetMode="External" /><Relationship Type="http://schemas.openxmlformats.org/officeDocument/2006/relationships/hyperlink" Id="rId162"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80" Target="https://doi.org/10.1002/sim.1203" TargetMode="External" /><Relationship Type="http://schemas.openxmlformats.org/officeDocument/2006/relationships/hyperlink" Id="rId182" Target="https://doi.org/10.1002/sim.4780080803" TargetMode="External" /><Relationship Type="http://schemas.openxmlformats.org/officeDocument/2006/relationships/hyperlink" Id="rId190" Target="https://doi.org/10.1093/aje/kwn164" TargetMode="External" /><Relationship Type="http://schemas.openxmlformats.org/officeDocument/2006/relationships/hyperlink" Id="rId184" Target="https://doi.org/10.1093/biomet/81.1.61" TargetMode="External" /><Relationship Type="http://schemas.openxmlformats.org/officeDocument/2006/relationships/hyperlink" Id="rId176" Target="https://doi.org/10.1093/biomet/81.3.515" TargetMode="External" /><Relationship Type="http://schemas.openxmlformats.org/officeDocument/2006/relationships/hyperlink" Id="rId188" Target="https://doi.org/10.1097/00001648-200009000-00011" TargetMode="External" /><Relationship Type="http://schemas.openxmlformats.org/officeDocument/2006/relationships/hyperlink" Id="rId186" Target="https://doi.org/10.1111/j.1467-9469.2006.00529.x" TargetMode="External" /><Relationship Type="http://schemas.openxmlformats.org/officeDocument/2006/relationships/hyperlink" Id="rId178" Target="https://doi.org/10.1214/aos/1176345976" TargetMode="External" /><Relationship Type="http://schemas.openxmlformats.org/officeDocument/2006/relationships/hyperlink" Id="rId172" Target="https://doi.org/10.2147/CLEP.S468572" TargetMode="External" /><Relationship Type="http://schemas.openxmlformats.org/officeDocument/2006/relationships/hyperlink" Id="rId170" Target="https://doi.org/10.2307/2061224" TargetMode="External" /><Relationship Type="http://schemas.openxmlformats.org/officeDocument/2006/relationships/hyperlink" Id="rId163" Target="https://doi.org/10.5281/zenodo.18050329" TargetMode="External" /><Relationship Type="http://schemas.openxmlformats.org/officeDocument/2006/relationships/hyperlink" Id="rId174" Target="https://doi.org/10.7554/eLife.103690" TargetMode="External" /><Relationship Type="http://schemas.openxmlformats.org/officeDocument/2006/relationships/hyperlink" Id="rId162"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2026-01-04T21:09:03Z</dcterms:created>
  <dcterms:modified xsi:type="dcterms:W3CDTF">2026-01-04T21:09:03Z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eqLabels">
    <vt:lpwstr>arabic</vt:lpwstr>
  </property>
  <property fmtid="{D5CDD505-2E9C-101B-9397-08002B2CF9AE}" pid="16" name="eqnBlockInlineMath">
    <vt:lpwstr>True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(i)</vt:lpwstr>
  </property>
  <property fmtid="{D5CDD505-2E9C-101B-9397-08002B2CF9AE}" pid="24" name="eqnTemplate">
    <vt:lpwstr>(i)</vt:lpwstr>
  </property>
  <property fmtid="{D5CDD505-2E9C-101B-9397-08002B2CF9AE}" pid="25" name="equationNumberTeX">
    <vt:lpwstr>\qquad</vt:lpwstr>
  </property>
  <property fmtid="{D5CDD505-2E9C-101B-9397-08002B2CF9AE}" pid="26" name="figLabels">
    <vt:lpwstr>arabic</vt:lpwstr>
  </property>
  <property fmtid="{D5CDD505-2E9C-101B-9397-08002B2CF9AE}" pid="27" name="figPrefix">
    <vt:lpwstr/>
  </property>
  <property fmtid="{D5CDD505-2E9C-101B-9397-08002B2CF9AE}" pid="28" name="figPrefixTemplate">
    <vt:lpwstr>i</vt:lpwstr>
  </property>
  <property fmtid="{D5CDD505-2E9C-101B-9397-08002B2CF9AE}" pid="29" name="figureTemplate">
    <vt:lpwstr>figureTitle i. t</vt:lpwstr>
  </property>
  <property fmtid="{D5CDD505-2E9C-101B-9397-08002B2CF9AE}" pid="30" name="figureTitle">
    <vt:lpwstr>Figure</vt:lpwstr>
  </property>
  <property fmtid="{D5CDD505-2E9C-101B-9397-08002B2CF9AE}" pid="31" name="lastDelim">
    <vt:lpwstr>, </vt:lpwstr>
  </property>
  <property fmtid="{D5CDD505-2E9C-101B-9397-08002B2CF9AE}" pid="32" name="linkReferences">
    <vt:lpwstr>False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True</vt:lpwstr>
  </property>
  <property fmtid="{D5CDD505-2E9C-101B-9397-08002B2CF9AE}" pid="68" name="tableTemplate">
    <vt:lpwstr>tableTitle i.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i</vt:lpwstr>
  </property>
  <property fmtid="{D5CDD505-2E9C-101B-9397-08002B2CF9AE}" pid="73" name="titleDelim">
    <vt:lpwstr/>
  </property>
</Properties>
</file>