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3.png" ContentType="image/png"/>
  <Override PartName="/word/media/rId97.png" ContentType="image/png"/>
  <Override PartName="/word/media/rId72.png" ContentType="image/png"/>
  <Override PartName="/word/media/rId76.png" ContentType="image/png"/>
  <Override PartName="/word/media/rId66.png" ContentType="image/png"/>
  <Override PartName="/word/media/rId87.png" ContentType="image/png"/>
  <Override PartName="/word/media/rId105.png" ContentType="image/png"/>
  <Override PartName="/word/media/rId129.png" ContentType="image/png"/>
  <Override PartName="/word/media/rId125.png" ContentType="image/png"/>
  <Override PartName="/word/media/rId111.png" ContentType="image/png"/>
  <Override PartName="/word/media/rId121.png" ContentType="image/png"/>
  <Override PartName="/word/media/rId117.png" ContentType="image/png"/>
  <Override PartName="/word/media/rId133.png" ContentType="image/png"/>
  <Override PartName="/word/media/rId232.png" ContentType="image/png"/>
  <Override PartName="/word/media/rId213.png" ContentType="image/png"/>
  <Override PartName="/word/media/rId217.png" ContentType="image/png"/>
  <Override PartName="/word/media/rId2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8" w:name="X87404fd0c70b5b6a5b8bf836f021ef75f69b977"/>
    <w:p>
      <w:pPr>
        <w:pStyle w:val="Heading1"/>
      </w:pPr>
      <w:r>
        <w:t xml:space="preserve">KCOR: A Depletion-Neutralized Cohort Comparison Framework Using Gamma-Frailty Normalization Under Selection-Induced Hazard Curvature</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survival analysis; frailty models; non-proportional hazards; cumulative hazard; selection bias; retrospective cohort studies; observational studies; simulation study</w:t>
      </w:r>
    </w:p>
    <w:bookmarkEnd w:id="9"/>
    <w:bookmarkStart w:id="10" w:name="abstract"/>
    <w:p>
      <w:pPr>
        <w:pStyle w:val="Heading2"/>
      </w:pPr>
      <w:r>
        <w:t xml:space="preserve">Abstract</w:t>
      </w:r>
    </w:p>
    <w:p>
      <w:pPr>
        <w:pStyle w:val="FirstParagraph"/>
      </w:pPr>
      <w:r>
        <w:t xml:space="preserve">Retrospective cohort comparisons are widely used when randomized trials are infeasible, but selection-induced frailty heterogeneity can produce non-proportional hazards that invalidate standard survival estimands. We introduce the Kirsch Cumulative Outcomes Ratio (KCOR), a cumulative-hazard normalization and comparison framework designed for retrospective cohorts using minimal registry data (e.g., dates of birth, intervention, and event). KCOR operates by estimating cohort-specific frailty during epidemiologically quiet periods, transforming observed cumulative hazards into a depletion-neutralized space, and defining a cumulative hazard ratio as the target estimand.</w:t>
      </w:r>
    </w:p>
    <w:p>
      <w:pPr>
        <w:pStyle w:val="BodyText"/>
      </w:pPr>
      <w:r>
        <w:t xml:space="preserve">Using simulation studies structured to vary frailty heterogeneity and selection strength, we evaluate KCOR alongside commonly used alternative estimands under both null and non-null conditions. Under selection-only scenarios, KCOR remains centered near the null with stable trajectories, whereas survival-based and hazard-based estimands exhibit systematic non-null behavior driven by residual depletion effects. KCOR defines a cumulative hazard ratio after explicit normalization of selection-induced depletion; it is presented as a diagnostic and normalization framework rather than a causal estimator, with interpretation contingent on stated assumptions and validated through prespecified simulations and control tests.</w:t>
      </w:r>
    </w:p>
    <w:bookmarkEnd w:id="10"/>
    <w:bookmarkStart w:id="11" w:name="key-messages"/>
    <w:p>
      <w:pPr>
        <w:pStyle w:val="Heading2"/>
      </w:pPr>
      <w:r>
        <w:t xml:space="preserve">Key messages</w:t>
      </w:r>
    </w:p>
    <w:p>
      <w:pPr>
        <w:pStyle w:val="FirstParagraph"/>
      </w:pPr>
      <w:r>
        <w:t xml:space="preserve">• Selection-induced depletion under latent frailty heterogeneity precludes reliable use of proportional hazards–based methods in many retrospective cohort studies.</w:t>
      </w:r>
    </w:p>
    <w:p>
      <w:pPr>
        <w:pStyle w:val="BodyText"/>
      </w:pPr>
      <w:r>
        <w:t xml:space="preserve">• KCOR enables depletion-neutralized cumulative outcome comparisons using only minimal event-time information (e.g., dates of birth, intervention, and death), without requiring covariate completeness or proportional hazards assumptions.</w:t>
      </w:r>
    </w:p>
    <w:p>
      <w:pPr>
        <w:pStyle w:val="BodyText"/>
      </w:pPr>
      <w:r>
        <w:t xml:space="preserve">• Simulation studies show that KCOR remains stable under selection-only regimes, whereas proportional hazards–based Cox regression can produce non-null hazard ratios driven by selection-induced depletion rather than true signal.</w:t>
      </w:r>
    </w:p>
    <w:bookmarkEnd w:id="11"/>
    <w:bookmarkStart w:id="29" w:name="introduction"/>
    <w:p>
      <w:pPr>
        <w:pStyle w:val="Heading2"/>
      </w:pPr>
      <w:r>
        <w:t xml:space="preserve">1. Introduction</w:t>
      </w:r>
    </w:p>
    <w:bookmarkStart w:id="12"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Although mortality is used throughout this paper as a motivating and concrete example, the method applies more generally to any irreversible event process observed in a fixed cohort, including hospitalization, disease onset, or other terminal or absorbing states. Mortality is emphasized here because it is objectively defined, reliably recorded in many national datasets, and free from outcome-dependent ascertainment biases that complicate other endpoints.</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2"/>
    <w:bookmarkStart w:id="13"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 KCOR refers to the method as presented here; earlier internal iterations are not material to the estimand or results and are omitted for clarity.</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3"/>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3"/>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3"/>
    <w:bookmarkStart w:id="18" w:name="X974696bf5bcaf66698b40c6142794e9a43502cb"/>
    <w:p>
      <w:pPr>
        <w:pStyle w:val="Heading3"/>
      </w:pPr>
      <w:r>
        <w:t xml:space="preserve">1.3 Related work: frailty, depletion of susceptibles, and selection-induced non-proportional hazards</w:t>
      </w:r>
    </w:p>
    <w:p>
      <w:pPr>
        <w:pStyle w:val="FirstParagraph"/>
      </w:pPr>
      <w:r>
        <w:t xml:space="preserve">The examples in this section are intended to be illustrative rather than exhaustive, and are chosen to demonstrate common patterns that arise in retrospective cohort data. They should not be interpreted as defining the scope of applicability of the method, which is agnostic to the specific intervention or event under study.</w:t>
      </w:r>
    </w:p>
    <w:p>
      <w:pPr>
        <w:pStyle w:val="BodyText"/>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p>
    <w:p>
      <w:pPr>
        <w:pStyle w:val="BodyText"/>
      </w:pPr>
      <w:r>
        <w:t xml:space="preserve">As a concrete illustration, 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w:t>
      </w:r>
      <w:r>
        <w:t xml:space="preserve">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To connect KCOR to common vaccine-effectiveness study designs, we additionally simulated rollout-style cohorts with time-localized epidemic hazard (</w:t>
      </w:r>
      <w:r>
        <w:t xml:space="preserve">‘waves’</w:t>
      </w:r>
      <w:r>
        <w:t xml:space="preserve">) and uptake correlated with latent frailty. In these settings, Cox regression can return extremely small p-values under a true null due to depletion and time-varying baseline hazard, whereas KCOR remains centered near the null cumulative contrast.</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Start w:id="14" w:name="X4d548de58a3c5c18844cb09c3f0315e94fedf3d"/>
    <w:p>
      <w:pPr>
        <w:pStyle w:val="Heading4"/>
      </w:pPr>
      <w:r>
        <w:t xml:space="preserve">1.3.1 Related work beyond proportional hazards: time-varying effects and flexible hazard modeling</w:t>
      </w:r>
    </w:p>
    <w:p>
      <w:pPr>
        <w:pStyle w:val="FirstParagraph"/>
      </w:pPr>
      <w:r>
        <w:rPr>
          <w:i/>
          <w:iCs/>
        </w:rPr>
        <w:t xml:space="preserve">The methods reviewed in this section primarily aim to improve estimation of the</w:t>
      </w:r>
      <w:r>
        <w:rPr>
          <w:i/>
          <w:iCs/>
        </w:rPr>
        <w:t xml:space="preserve"> </w:t>
      </w:r>
      <w:r>
        <w:rPr>
          <w:b/>
          <w:bCs/>
          <w:i/>
          <w:iCs/>
        </w:rPr>
        <w:t xml:space="preserve">observed hazard function</w:t>
      </w:r>
      <w:r>
        <w:rPr>
          <w:i/>
          <w:iCs/>
        </w:rPr>
        <w:t xml:space="preserve"> </w:t>
      </w:r>
      <w:r>
        <w:rPr>
          <w:i/>
          <w:iCs/>
        </w:rPr>
        <w:t xml:space="preserve">under non-proportionality; KCOR addresses a different problem—</w:t>
      </w:r>
      <w:r>
        <w:rPr>
          <w:b/>
          <w:bCs/>
          <w:i/>
          <w:iCs/>
        </w:rPr>
        <w:t xml:space="preserve">identification and removal of selection-induced depletion geometry prior to cohort comparison</w:t>
      </w:r>
      <w:r>
        <w:rPr>
          <w:i/>
          <w:iCs/>
        </w:rPr>
        <w:t xml:space="preserve">.</w:t>
      </w:r>
      <w:r>
        <w:t xml:space="preserve"> </w:t>
      </w:r>
      <w:r>
        <w:t xml:space="preserve">A large literature relaxes proportional hazards by allowing either (i) covariate effects to vary over time or (ii) the baseline hazard to be modeled flexibly. Representative examples include time-varying coefficient Cox models, flexible parametric survival models (e.g., spline-based log-cumulative hazard models), additive hazards models (Aalen-type formulations), landmarking and dynamic prediction approaches, and weighting-based approaches such as marginal structural models (MSMs) for time-varying confounding.</w:t>
      </w:r>
      <w:r>
        <w:rPr>
          <w:vertAlign w:val="superscript"/>
        </w:rPr>
        <w:t xml:space="preserve">4–11</w:t>
      </w:r>
      <w:r>
        <w:t xml:space="preserve"> </w:t>
      </w:r>
      <w:r>
        <w:t xml:space="preserve">These methods are most effective when the scientific target is an instantaneous contrast (e.g., a time-specific hazard ratio) and when sufficiently rich covariate histories are available to support identification. In settings with rich, time-updated covariate information that fully captures frailty-relevant heterogeneity, weighting or structural modeling approaches may partially mitigate depletion effects. KCOR is designed for the complementary and common regime in which such covariates are unavailable, unreliable, or post-treatment. In contrast, KCOR targets cumulative contrasts under explicit depletion normalization in cumulative-hazard space, rather than instantaneous hazard ratios conditional on survival.</w:t>
      </w:r>
    </w:p>
    <w:p>
      <w:pPr>
        <w:pStyle w:val="BodyText"/>
      </w:pPr>
      <w:r>
        <w:t xml:space="preserve">KCOR is motivated by a different failure mode that remains even when proportional hazards is relaxed: cohort-level</w:t>
      </w:r>
      <w:r>
        <w:t xml:space="preserve"> </w:t>
      </w:r>
      <w:r>
        <w:rPr>
          <w:i/>
          <w:iCs/>
        </w:rPr>
        <w:t xml:space="preserve">curvature</w:t>
      </w:r>
      <w:r>
        <w:t xml:space="preserve"> </w:t>
      </w:r>
      <w:r>
        <w:t xml:space="preserve">in cumulative-hazard space arising from selection-induced frailty heterogeneity and depletion of susceptibles. Allowing hazard ratios to vary over time can improve descriptive fit, but it does not by itself normalize depletion geometry or make cohorts exchangeable. Similarly, flexible baselines can absorb curvature without distinguishing whether it arises from latent selection/depletion versus genuine time-varying external hazards. KCOR therefore occupies a distinct role: it uses a mixture-model identity in cumulative-hazard space to estimate and invert selection-induced depletion dynamics during prespecified quiet periods, and then defines a cumulative comparison operator (KCOR) on the depletion-neutralized scale.</w:t>
      </w:r>
    </w:p>
    <w:p>
      <w:pPr>
        <w:pStyle w:val="BodyText"/>
      </w:pPr>
      <w:r>
        <w:rPr>
          <w:i/>
          <w:iCs/>
        </w:rPr>
        <w:t xml:space="preserve">This manuscript does not attempt to review the extensive literature on non-proportional hazards exhaustively; instead, it positions KCOR as complementary to these methods by addressing a distinct identifiability problem not resolved by hazard-level flexibility alone.</w:t>
      </w:r>
    </w:p>
    <w:bookmarkEnd w:id="14"/>
    <w:bookmarkStart w:id="15" w:name="X379cf1e2794c192e1696f205a7b492d4606a104"/>
    <w:p>
      <w:pPr>
        <w:pStyle w:val="Heading4"/>
      </w:pPr>
      <w:r>
        <w:t xml:space="preserve">1.3.1a Why flexible hazard models do not resolve depletion bias</w:t>
      </w:r>
    </w:p>
    <w:p>
      <w:pPr>
        <w:pStyle w:val="FirstParagraph"/>
      </w:pPr>
      <w:r>
        <w:t xml:space="preserve">Flexible hazard models—including spline-based parametric survival models, time-varying coefficient Cox models, and neural network survival estimators—can improve descriptive fit to observed hazard trajectories by allowing curvature in the hazard function over time. However, these methods do not distinguish whether observed curvature arises from genuine causal time-varying effects or from compositional changes due to selective depletion of susceptibles. Selection on frailty produces curvature in cumulative hazards even under a true null treatment effect, as heterogeneous cohorts experience differential depletion rates over time.</w:t>
      </w:r>
      <w:r>
        <w:t xml:space="preserve"> </w:t>
      </w:r>
      <w:r>
        <w:rPr>
          <w:i/>
          <w:iCs/>
        </w:rPr>
        <w:t xml:space="preserve">A model that perfectly fits the observed hazard trajectory can still yield a biased estimand if that trajectory is driven by selective depletion rather than a causal effect.</w:t>
      </w:r>
      <w:r>
        <w:t xml:space="preserve"> </w:t>
      </w:r>
      <w:r>
        <w:t xml:space="preserve">KCOR treats curvature as a</w:t>
      </w:r>
      <w:r>
        <w:t xml:space="preserve"> </w:t>
      </w:r>
      <w:r>
        <w:rPr>
          <w:b/>
          <w:bCs/>
        </w:rPr>
        <w:t xml:space="preserve">bias to remove</w:t>
      </w:r>
      <w:r>
        <w:t xml:space="preserve"> </w:t>
      </w:r>
      <w:r>
        <w:t xml:space="preserve">rather than a feature to model, explicitly estimating and neutralizing depletion geometry before defining cohort comparisons.</w:t>
      </w:r>
    </w:p>
    <w:bookmarkEnd w:id="15"/>
    <w:bookmarkStart w:id="16" w:name="Xd8c0e124be8c2b00907a68c124b0e10421ad493"/>
    <w:p>
      <w:pPr>
        <w:pStyle w:val="Heading4"/>
      </w:pPr>
      <w:r>
        <w:t xml:space="preserve">1.3.1b Time-varying confounding approaches under latent selection</w:t>
      </w:r>
    </w:p>
    <w:p>
      <w:pPr>
        <w:pStyle w:val="FirstParagraph"/>
      </w:pPr>
      <w:r>
        <w:t xml:space="preserve">A large literature addresses time-varying confounding using marginal structural models (MSMs), g-computation, and inverse-probability weighting (IPW). These approaches can be effective when the relevant time-varying confounders are</w:t>
      </w:r>
      <w:r>
        <w:t xml:space="preserve"> </w:t>
      </w:r>
      <w:r>
        <w:rPr>
          <w:b/>
          <w:bCs/>
        </w:rPr>
        <w:t xml:space="preserve">measured with sufficient fidelity</w:t>
      </w:r>
      <w:r>
        <w:t xml:space="preserve"> </w:t>
      </w:r>
      <w:r>
        <w:t xml:space="preserve">to support sequential exchangeability and correct model or weight specification. However, in retrospective administrative data, key determinants of both intervention uptake and near-term outcome risk are often</w:t>
      </w:r>
      <w:r>
        <w:t xml:space="preserve"> </w:t>
      </w:r>
      <w:r>
        <w:rPr>
          <w:b/>
          <w:bCs/>
        </w:rPr>
        <w:t xml:space="preserve">unobserved or incompletely recorded</w:t>
      </w:r>
      <w:r>
        <w:t xml:space="preserve"> </w:t>
      </w:r>
      <w:r>
        <w:t xml:space="preserve">(e.g., subclinical illness, functional decline, care-seeking behavior, contraindications, and access barriers). In such settings, selection can operate through latent heterogeneity, producing depletion-induced hazard curvature even when measured covariates are balanced at baseline.</w:t>
      </w:r>
    </w:p>
    <w:p>
      <w:pPr>
        <w:pStyle w:val="BodyText"/>
      </w:pPr>
      <w:r>
        <w:t xml:space="preserve">Under latent selection, weighting cannot generally remove bias because the quantities that must be conditioned on to restore exchangeability are not available to the analyst. Moreover, misspecification of either the treatment model (for IPW/MSMs) or the outcome model (for g-computation) can reintroduce bias that is difficult to diagnose from observed covariates alone. KCOR is designed for this regime: rather than attempting to identify causal hazards via covariate adjustment, it targets a depletion-neutralized</w:t>
      </w:r>
      <w:r>
        <w:t xml:space="preserve"> </w:t>
      </w:r>
      <w:r>
        <w:rPr>
          <w:b/>
          <w:bCs/>
        </w:rPr>
        <w:t xml:space="preserve">cumulative contrast</w:t>
      </w:r>
      <w:r>
        <w:t xml:space="preserve"> </w:t>
      </w:r>
      <w:r>
        <w:t xml:space="preserve">by directly normalizing cohort-specific hazard curvature that arises from selection-induced depletion within fixed cohorts.</w:t>
      </w:r>
    </w:p>
    <w:p>
      <w:pPr>
        <w:pStyle w:val="BodyText"/>
      </w:pPr>
      <w:r>
        <w:t xml:space="preserve">Accordingly, KCOR is complementary to time-varying confounding methods: when rich longitudinal confounders are available, MSM/IPW/g-computation may be appropriate; when latent selection dominates and covariates are incomplete, KCOR provides a diagnostics-driven cumulative comparison that is stable under selection-only regimes.</w:t>
      </w:r>
    </w:p>
    <w:bookmarkEnd w:id="16"/>
    <w:bookmarkStart w:id="17" w:name="restricted-mean-survival-time-rmst"/>
    <w:p>
      <w:pPr>
        <w:pStyle w:val="Heading4"/>
      </w:pPr>
      <w:r>
        <w:t xml:space="preserve">1.3.2 Restricted Mean Survival Time (RMST)</w:t>
      </w:r>
    </w:p>
    <w:p>
      <w:pPr>
        <w:pStyle w:val="FirstParagraph"/>
      </w:pPr>
      <w:r>
        <w:t xml:space="preserve">Restricted mean survival time (RMST) has been proposed as an alternative summary estimand in settings where proportional hazards do not hold, as it represents the area under the survival curve up to a prespecified time horizon. RMST can offer an interpretable population-level summary of survival experience without relying on hazard ratio assumptions.</w:t>
      </w:r>
    </w:p>
    <w:p>
      <w:pPr>
        <w:pStyle w:val="BodyText"/>
      </w:pPr>
      <w:r>
        <w:t xml:space="preserve">However, RMST does not by itself address selection-induced frailty heterogeneity or depletion of susceptibles. In retrospective cohorts affected by latent selection, survival curves reflect populations whose composition evolves differently over time across cohorts. As a result, RMST summarizes survival differences that may reflect depletion rather than treatment effect and does not normalize selection-induced depletion geometry. This limitation is structural and does not vanish with larger samples or improved matching.</w:t>
      </w:r>
    </w:p>
    <w:p>
      <w:pPr>
        <w:pStyle w:val="BodyText"/>
      </w:pPr>
      <w:r>
        <w:t xml:space="preserve">KCOR differs conceptually in that it explicitly estimates and removes depletion-induced curvature in cumulative-hazard space prior to cohort comparison. RMST could in principle be computed after depletion normalization as a secondary descriptive summary, but it is not the primary estimand of interest in this framework. Accordingly, KCOR targets cumulative hazard contrasts directly, as these are the quantities rendered comparable by depletion normalization.</w:t>
      </w:r>
    </w:p>
    <w:bookmarkEnd w:id="17"/>
    <w:bookmarkEnd w:id="18"/>
    <w:bookmarkStart w:id="22" w:name="X3f76dee37168b4797631ddc9e3d31862803de93"/>
    <w:p>
      <w:pPr>
        <w:pStyle w:val="Heading3"/>
      </w:pPr>
      <w:r>
        <w:t xml:space="preserve">1.4 Evidence from the literature: residual confounding despite meticulous matching</w:t>
      </w:r>
    </w:p>
    <w:p>
      <w:pPr>
        <w:pStyle w:val="FirstParagraph"/>
      </w:pPr>
      <w:r>
        <w:t xml:space="preserve">One motivating illustrative case involves two large, rigorously designed observational analyses that demonstrate the core empirical motivation: even extremely careful matching and adjustment can leave large residual differences in non-COVID mortality, indicating confounding and selection that standard pipelines do not eliminate.</w:t>
      </w:r>
    </w:p>
    <w:bookmarkStart w:id="19"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9"/>
    <w:bookmarkStart w:id="21"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Start w:id="20"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20"/>
    <w:bookmarkEnd w:id="21"/>
    <w:bookmarkEnd w:id="22"/>
    <w:bookmarkStart w:id="25"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 These approaches differ not only in modeling strategy but in estimand: most existing methods target instantaneous or survival-conditional contrasts, whereas KCOR targets cumulative outcomes after explicit normalization of selection-induced depletion geometry.</w:t>
      </w:r>
    </w:p>
    <w:bookmarkStart w:id="23"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23"/>
    <w:p/>
    <w:bookmarkStart w:id="24" w:name="tbl:positioning"/>
    <w:p>
      <w:pPr>
        <w:pStyle w:val="TableCaption"/>
      </w:pPr>
      <w:r>
        <w:t xml:space="preserve">Table 3. Positioning KCOR relative to non-proportional hazards methods.</w:t>
      </w:r>
    </w:p>
    <w:tbl>
      <w:tblPr>
        <w:tblStyle w:val="Table"/>
        <w:tblW w:type="pct" w:w="5000"/>
        <w:tblLayout w:type="fixed"/>
        <w:tblLook w:firstRow="1" w:lastRow="0" w:firstColumn="0" w:lastColumn="0" w:noHBand="0" w:noVBand="0" w:val="0020"/>
        <w:tblCaption w:val="Table 3. Positioning KCOR relative to non-proportional hazards methods."/>
      </w:tblPr>
      <w:tblGrid>
        <w:gridCol w:w="1635"/>
        <w:gridCol w:w="1334"/>
        <w:gridCol w:w="946"/>
        <w:gridCol w:w="1549"/>
        <w:gridCol w:w="1033"/>
        <w:gridCol w:w="1420"/>
      </w:tblGrid>
      <w:tr>
        <w:trPr>
          <w:tblHeader w:val="on"/>
        </w:trPr>
        <w:tc>
          <w:tcPr/>
          <w:p>
            <w:pPr>
              <w:pStyle w:val="Compact"/>
            </w:pPr>
            <w:r>
              <w:t xml:space="preserve">Method class</w:t>
            </w:r>
          </w:p>
        </w:tc>
        <w:tc>
          <w:tcPr/>
          <w:p>
            <w:pPr>
              <w:pStyle w:val="Compact"/>
            </w:pPr>
            <w:r>
              <w:t xml:space="preserve">Primary target</w:t>
            </w:r>
          </w:p>
        </w:tc>
        <w:tc>
          <w:tcPr/>
          <w:p>
            <w:pPr>
              <w:pStyle w:val="Compact"/>
            </w:pPr>
            <w:r>
              <w:t xml:space="preserve">What is modeled</w:t>
            </w:r>
          </w:p>
        </w:tc>
        <w:tc>
          <w:tcPr/>
          <w:p>
            <w:pPr>
              <w:pStyle w:val="Compact"/>
            </w:pPr>
            <w:r>
              <w:t xml:space="preserve">Handles selection-induced depletion?</w:t>
            </w:r>
          </w:p>
        </w:tc>
        <w:tc>
          <w:tcPr/>
          <w:p>
            <w:pPr>
              <w:pStyle w:val="Compact"/>
            </w:pPr>
            <w:r>
              <w:t xml:space="preserve">Typical output</w:t>
            </w:r>
          </w:p>
        </w:tc>
        <w:tc>
          <w:tcPr/>
          <w:p>
            <w:pPr>
              <w:pStyle w:val="Compact"/>
            </w:pPr>
            <w:r>
              <w:t xml:space="preserve">Failure under latent frailty</w:t>
            </w:r>
          </w:p>
        </w:tc>
      </w:tr>
      <w:tr>
        <w:tc>
          <w:tcPr/>
          <w:p>
            <w:pPr>
              <w:pStyle w:val="Compact"/>
            </w:pPr>
            <w:r>
              <w:t xml:space="preserve">Cox PH</w:t>
            </w:r>
          </w:p>
        </w:tc>
        <w:tc>
          <w:tcPr/>
          <w:p>
            <w:pPr>
              <w:pStyle w:val="Compact"/>
            </w:pPr>
            <w:r>
              <w:t xml:space="preserve">Instantaneous hazard</w:t>
            </w:r>
          </w:p>
        </w:tc>
        <w:tc>
          <w:tcPr/>
          <w:p>
            <w:pPr>
              <w:pStyle w:val="Compact"/>
            </w:pPr>
            <w:r>
              <w:t xml:space="preserve">Linear predictor</w:t>
            </w:r>
          </w:p>
        </w:tc>
        <w:tc>
          <w:tcPr/>
          <w:p>
            <w:pPr>
              <w:pStyle w:val="Compact"/>
            </w:pPr>
            <w:r>
              <w:t xml:space="preserve">No</w:t>
            </w:r>
          </w:p>
        </w:tc>
        <w:tc>
          <w:tcPr/>
          <w:p>
            <w:pPr>
              <w:pStyle w:val="Compact"/>
            </w:pPr>
            <w:r>
              <w:t xml:space="preserve">HR</w:t>
            </w:r>
          </w:p>
        </w:tc>
        <w:tc>
          <w:tcPr/>
          <w:p>
            <w:pPr>
              <w:pStyle w:val="Compact"/>
            </w:pPr>
            <w:r>
              <w:t xml:space="preserve">Non-PH from depletion → biased HR</w:t>
            </w:r>
          </w:p>
        </w:tc>
      </w:tr>
      <w:tr>
        <w:tc>
          <w:tcPr/>
          <w:p>
            <w:pPr>
              <w:pStyle w:val="Compact"/>
            </w:pPr>
            <w:r>
              <w:t xml:space="preserve">Time-varying Cox</w:t>
            </w:r>
          </w:p>
        </w:tc>
        <w:tc>
          <w:tcPr/>
          <w:p>
            <w:pPr>
              <w:pStyle w:val="Compact"/>
            </w:pPr>
            <w:r>
              <w:t xml:space="preserve">Instantaneous hazard</w:t>
            </w:r>
          </w:p>
        </w:tc>
        <w:tc>
          <w:tcPr/>
          <w:p>
            <w:pPr>
              <w:pStyle w:val="Compact"/>
            </w:pPr>
            <w:r>
              <w:t xml:space="preserve">Time-varying β(t)</w:t>
            </w:r>
          </w:p>
        </w:tc>
        <w:tc>
          <w:tcPr/>
          <w:p>
            <w:pPr>
              <w:pStyle w:val="Compact"/>
            </w:pPr>
            <w:r>
              <w:t xml:space="preserve">No</w:t>
            </w:r>
          </w:p>
        </w:tc>
        <w:tc>
          <w:tcPr/>
          <w:p>
            <w:pPr>
              <w:pStyle w:val="Compact"/>
            </w:pPr>
            <w:r>
              <w:t xml:space="preserve">HR(t)</w:t>
            </w:r>
          </w:p>
        </w:tc>
        <w:tc>
          <w:tcPr/>
          <w:p>
            <w:pPr>
              <w:pStyle w:val="Compact"/>
            </w:pPr>
            <w:r>
              <w:t xml:space="preserve">Fits depletion as signal</w:t>
            </w:r>
          </w:p>
        </w:tc>
      </w:tr>
      <w:tr>
        <w:tc>
          <w:tcPr/>
          <w:p>
            <w:pPr>
              <w:pStyle w:val="Compact"/>
            </w:pPr>
            <w:r>
              <w:t xml:space="preserve">Flexible parametric survival (splines)</w:t>
            </w:r>
          </w:p>
        </w:tc>
        <w:tc>
          <w:tcPr/>
          <w:p>
            <w:pPr>
              <w:pStyle w:val="Compact"/>
            </w:pPr>
            <w:r>
              <w:t xml:space="preserve">Survival / hazard shape</w:t>
            </w:r>
          </w:p>
        </w:tc>
        <w:tc>
          <w:tcPr/>
          <w:p>
            <w:pPr>
              <w:pStyle w:val="Compact"/>
            </w:pPr>
            <w:r>
              <w:t xml:space="preserve">Baseline hazard</w:t>
            </w:r>
          </w:p>
        </w:tc>
        <w:tc>
          <w:tcPr/>
          <w:p>
            <w:pPr>
              <w:pStyle w:val="Compact"/>
            </w:pPr>
            <w:r>
              <w:t xml:space="preserve">No</w:t>
            </w:r>
          </w:p>
        </w:tc>
        <w:tc>
          <w:tcPr/>
          <w:p>
            <w:pPr>
              <w:pStyle w:val="Compact"/>
            </w:pPr>
            <w:r>
              <w:t xml:space="preserve">Smooth hazard / survival</w:t>
            </w:r>
          </w:p>
        </w:tc>
        <w:tc>
          <w:tcPr/>
          <w:p>
            <w:pPr>
              <w:pStyle w:val="Compact"/>
            </w:pPr>
            <w:r>
              <w:t xml:space="preserve">Absorbs depletion curvature</w:t>
            </w:r>
          </w:p>
        </w:tc>
      </w:tr>
      <w:tr>
        <w:tc>
          <w:tcPr/>
          <w:p>
            <w:pPr>
              <w:pStyle w:val="Compact"/>
            </w:pPr>
            <w:r>
              <w:t xml:space="preserve">Additive hazards (Aalen)</w:t>
            </w:r>
          </w:p>
        </w:tc>
        <w:tc>
          <w:tcPr/>
          <w:p>
            <w:pPr>
              <w:pStyle w:val="Compact"/>
            </w:pPr>
            <w:r>
              <w:t xml:space="preserve">Hazard differences</w:t>
            </w:r>
          </w:p>
        </w:tc>
        <w:tc>
          <w:tcPr/>
          <w:p>
            <w:pPr>
              <w:pStyle w:val="Compact"/>
            </w:pPr>
            <w:r>
              <w:t xml:space="preserve">Additive hazard</w:t>
            </w:r>
          </w:p>
        </w:tc>
        <w:tc>
          <w:tcPr/>
          <w:p>
            <w:pPr>
              <w:pStyle w:val="Compact"/>
            </w:pPr>
            <w:r>
              <w:t xml:space="preserve">No</w:t>
            </w:r>
          </w:p>
        </w:tc>
        <w:tc>
          <w:tcPr/>
          <w:p>
            <w:pPr>
              <w:pStyle w:val="Compact"/>
            </w:pPr>
            <w:r>
              <w:t xml:space="preserve">Δh(t)</w:t>
            </w:r>
          </w:p>
        </w:tc>
        <w:tc>
          <w:tcPr/>
          <w:p>
            <w:pPr>
              <w:pStyle w:val="Compact"/>
            </w:pPr>
            <w:r>
              <w:t xml:space="preserve">Still conditional on survival</w:t>
            </w:r>
          </w:p>
        </w:tc>
      </w:tr>
      <w:tr>
        <w:tc>
          <w:tcPr/>
          <w:p>
            <w:pPr>
              <w:pStyle w:val="Compact"/>
            </w:pPr>
            <w:r>
              <w:t xml:space="preserve">RMST</w:t>
            </w:r>
          </w:p>
        </w:tc>
        <w:tc>
          <w:tcPr/>
          <w:p>
            <w:pPr>
              <w:pStyle w:val="Compact"/>
            </w:pPr>
            <w:r>
              <w:t xml:space="preserve">Mean survival</w:t>
            </w:r>
          </w:p>
        </w:tc>
        <w:tc>
          <w:tcPr/>
          <w:p>
            <w:pPr>
              <w:pStyle w:val="Compact"/>
            </w:pPr>
            <w:r>
              <w:t xml:space="preserve">Survival curve</w:t>
            </w:r>
          </w:p>
        </w:tc>
        <w:tc>
          <w:tcPr/>
          <w:p>
            <w:pPr>
              <w:pStyle w:val="Compact"/>
            </w:pPr>
            <w:r>
              <w:t xml:space="preserve">No</w:t>
            </w:r>
          </w:p>
        </w:tc>
        <w:tc>
          <w:tcPr/>
          <w:p>
            <w:pPr>
              <w:pStyle w:val="Compact"/>
            </w:pPr>
            <w:r>
              <w:t xml:space="preserve">RMST</w:t>
            </w:r>
          </w:p>
        </w:tc>
        <w:tc>
          <w:tcPr/>
          <w:p>
            <w:pPr>
              <w:pStyle w:val="Compact"/>
            </w:pPr>
            <w:r>
              <w:t xml:space="preserve">Inherits depletion bias</w:t>
            </w:r>
          </w:p>
        </w:tc>
      </w:tr>
      <w:tr>
        <w:tc>
          <w:tcPr/>
          <w:p>
            <w:pPr>
              <w:pStyle w:val="Compact"/>
            </w:pPr>
            <w:r>
              <w:t xml:space="preserve">Frailty regression</w:t>
            </w:r>
          </w:p>
        </w:tc>
        <w:tc>
          <w:tcPr/>
          <w:p>
            <w:pPr>
              <w:pStyle w:val="Compact"/>
            </w:pPr>
            <w:r>
              <w:t xml:space="preserve">Heterogeneity-adjusted HR</w:t>
            </w:r>
          </w:p>
        </w:tc>
        <w:tc>
          <w:tcPr/>
          <w:p>
            <w:pPr>
              <w:pStyle w:val="Compact"/>
            </w:pPr>
            <w:r>
              <w:t xml:space="preserve">Random effects</w:t>
            </w:r>
          </w:p>
        </w:tc>
        <w:tc>
          <w:tcPr/>
          <w:p>
            <w:pPr>
              <w:pStyle w:val="Compact"/>
            </w:pPr>
            <w:r>
              <w:t xml:space="preserve">Partial</w:t>
            </w:r>
          </w:p>
        </w:tc>
        <w:tc>
          <w:tcPr/>
          <w:p>
            <w:pPr>
              <w:pStyle w:val="Compact"/>
            </w:pPr>
            <w:r>
              <w:t xml:space="preserve">HR</w:t>
            </w:r>
          </w:p>
        </w:tc>
        <w:tc>
          <w:tcPr/>
          <w:p>
            <w:pPr>
              <w:pStyle w:val="Compact"/>
            </w:pPr>
            <w:r>
              <w:t xml:space="preserve">Frailty treated as nuisance</w:t>
            </w:r>
          </w:p>
        </w:tc>
      </w:tr>
      <w:tr>
        <w:tc>
          <w:tcPr/>
          <w:p>
            <w:pPr>
              <w:pStyle w:val="Compact"/>
            </w:pPr>
            <w:r>
              <w:rPr>
                <w:b/>
                <w:bCs/>
              </w:rPr>
              <w:t xml:space="preserve">KCOR (this work)</w:t>
            </w:r>
          </w:p>
        </w:tc>
        <w:tc>
          <w:tcPr/>
          <w:p>
            <w:pPr>
              <w:pStyle w:val="Compact"/>
            </w:pPr>
            <w:r>
              <w:rPr>
                <w:b/>
                <w:bCs/>
              </w:rPr>
              <w:t xml:space="preserve">Cumulative outcome contrast</w:t>
            </w:r>
          </w:p>
        </w:tc>
        <w:tc>
          <w:tcPr/>
          <w:p>
            <w:pPr>
              <w:pStyle w:val="Compact"/>
            </w:pPr>
            <w:r>
              <w:rPr>
                <w:b/>
                <w:bCs/>
              </w:rPr>
              <w:t xml:space="preserve">Depletion geometry</w:t>
            </w:r>
          </w:p>
        </w:tc>
        <w:tc>
          <w:tcPr/>
          <w:p>
            <w:pPr>
              <w:pStyle w:val="Compact"/>
            </w:pPr>
            <w:r>
              <w:rPr>
                <w:b/>
                <w:bCs/>
              </w:rPr>
              <w:t xml:space="preserve">Yes (targeted)</w:t>
            </w:r>
          </w:p>
        </w:tc>
        <w:tc>
          <w:tcPr/>
          <w:p>
            <w:pPr>
              <w:pStyle w:val="Compact"/>
            </w:pP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Diagnostics flag failure</w:t>
            </w:r>
          </w:p>
        </w:tc>
      </w:tr>
    </w:tbl>
    <w:bookmarkEnd w:id="24"/>
    <w:p>
      <w:pPr>
        <w:pStyle w:val="BodyText"/>
      </w:pPr>
      <w:r>
        <w:rPr>
          <w:i/>
          <w:iCs/>
        </w:rPr>
        <w:t xml:space="preserve">Most existing methods improve descriptive fit to non-proportional hazards but do not neutralize selection-induced depletion. KCOR explicitly estimates and removes depletion geometry before defining a cumulative comparison.</w:t>
      </w:r>
    </w:p>
    <w:p>
      <w:pPr>
        <w:pStyle w:val="BodyText"/>
      </w:pPr>
      <w:r>
        <w:t xml:space="preserve">Most retrospective approaches either compare cohorts under proportional-hazards assumptions, balance measured confounding, or diagnose bias without removing it. KCOR occupies a distinct role: it neutralizes selection-induced depletion dynamics via gamma-frailty inversion and then extracts the cohort contrast using a cumulative hazard ratio (KCOR), which is the estimand reported.</w:t>
      </w:r>
    </w:p>
    <w:bookmarkEnd w:id="25"/>
    <w:bookmarkStart w:id="26" w:name="target-estimand-and-interpretation"/>
    <w:p>
      <w:pPr>
        <w:pStyle w:val="Heading3"/>
      </w:pPr>
      <w:r>
        <w:t xml:space="preserve">1.6 Target estimand and interpretation</w:t>
      </w:r>
    </w:p>
    <w:p>
      <w:pPr>
        <w:pStyle w:val="FirstParagraph"/>
      </w:pPr>
      <w:r>
        <w:t xml:space="preserve">KCOR is proposed as a diagnostic and normalization estimator for selection-induced hazard curvature; causal interpretation requires additional assumptions beyond the scope of this methods paper. This manuscript is</w:t>
      </w:r>
      <w:r>
        <w:t xml:space="preserve"> </w:t>
      </w:r>
      <w:r>
        <w:rPr>
          <w:b/>
          <w:bCs/>
        </w:rPr>
        <w:t xml:space="preserve">methods-only</w:t>
      </w:r>
      <w:r>
        <w:t xml:space="preserve">: we present the estimator, model assumptions, and uncertainty quantification; we validate the method using prespecified negative and positive controls designed to stress selection-induced curvature; and we defer any applied real-world intervention conclusions to a separate, dedicated applied paper.</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1.</w:t>
      </w:r>
    </w:p>
    <w:p>
      <w:pPr>
        <w:pStyle w:val="BodyText"/>
      </w:pPr>
      <w:r>
        <w:rPr>
          <w:b/>
          <w:bCs/>
        </w:rPr>
        <w:t xml:space="preserve">Scope and role of the method.</w:t>
      </w:r>
      <w:r>
        <w:t xml:space="preserve"> </w:t>
      </w:r>
      <w:r>
        <w:t xml:space="preserve">This work does not claim that observational analyses can replace randomized clinical trials for causal inference. Rather, the objective is to provide a descriptive and diagnostic framework for analyzing time-indexed outcomes in fixed cohorts when randomized evidence is unavailable, incomplete, or inapplicable. The proposed method is intended to complement—not substitute for—trial-based evidence by identifying systematic temporal distortions and cohort effects that can arise in retrospective data.</w:t>
      </w:r>
    </w:p>
    <w:bookmarkEnd w:id="26"/>
    <w:bookmarkStart w:id="27" w:name="relation-to-causal-inference-frameworks"/>
    <w:p>
      <w:pPr>
        <w:pStyle w:val="Heading3"/>
      </w:pPr>
      <w:r>
        <w:t xml:space="preserve">1.7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Clarifications.</w:t>
      </w:r>
      <w:r>
        <w:t xml:space="preserve"> </w:t>
      </w:r>
      <w:r>
        <w:t xml:space="preserve">KCOR is a depletion-neutralization framework for</w:t>
      </w:r>
      <w:r>
        <w:t xml:space="preserve"> </w:t>
      </w:r>
      <w:r>
        <w:rPr>
          <w:b/>
          <w:bCs/>
        </w:rPr>
        <w:t xml:space="preserve">cumulative</w:t>
      </w:r>
      <w:r>
        <w:t xml:space="preserve"> </w:t>
      </w:r>
      <w:r>
        <w:t xml:space="preserve">outcome contrasts over follow-up time, not a proportional-hazards model and not a causal identification strategy. The gamma-frailty component is used as a</w:t>
      </w:r>
      <w:r>
        <w:t xml:space="preserve"> </w:t>
      </w:r>
      <w:r>
        <w:rPr>
          <w:b/>
          <w:bCs/>
        </w:rPr>
        <w:t xml:space="preserve">working statistical device</w:t>
      </w:r>
      <w:r>
        <w:t xml:space="preserve"> </w:t>
      </w:r>
      <w:r>
        <w:t xml:space="preserve">to remove selection-induced hazard curvature within fixed cohorts; it is not a claim that individual frailty is literally gamma-distributed or biologically interpretable. KCOR’s target is a time-indexed cumulative contrast (e.g., a cumulative hazard ratio), intended for settings where selection-driven depletion and incomplete covariate capture undermine hazard-based causal interpretations.</w:t>
      </w:r>
    </w:p>
    <w:bookmarkEnd w:id="27"/>
    <w:bookmarkStart w:id="28" w:name="competing-approaches-and-evaluation-plan"/>
    <w:p>
      <w:pPr>
        <w:pStyle w:val="Heading3"/>
      </w:pPr>
      <w:r>
        <w:t xml:space="preserve">1.8 Competing approaches and evaluation plan</w:t>
      </w:r>
    </w:p>
    <w:p>
      <w:pPr>
        <w:pStyle w:val="FirstParagraph"/>
      </w:pPr>
      <w:r>
        <w:t xml:space="preserve">To clarify the role of KCOR relative to existing survival-analysis approaches, we distinguish methods by both modeling assumptions and estimands. Competing approaches considered in evaluation include Cox proportional hazards models, Cox models with time-varying coefficients, Cox models with frailty terms, additive hazards models, flexible parametric survival models, and restricted mean survival time (RMST). These methods are included because they are commonly applied in retrospective cohort settings with non-proportional hazards.</w:t>
      </w:r>
    </w:p>
    <w:p>
      <w:pPr>
        <w:pStyle w:val="BodyText"/>
      </w:pPr>
      <w:r>
        <w:t xml:space="preserve">Evaluation focuses on settings where only minimal registry data are available (dates of birth, intervention, and event), and where selection-induced frailty heterogeneity produces curvature in cumulative-hazard space. Performance is assessed using prespecified simulation designs that vary frailty variance, selection strength, and external hazard stability, with estimands compared on bias, stability, and interpretability rather than goodness-of-fit alone.</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4"/>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4"/>
        </w:numPr>
      </w:pPr>
      <w:r>
        <w:rPr>
          <w:b/>
          <w:bCs/>
        </w:rPr>
        <w:t xml:space="preserve">Cumulative hazard estimation</w:t>
      </w:r>
      <w:r>
        <w:t xml:space="preserve">: Discrete-time hazards are computed from event counts and risk sets, then accumulated into observed cumulative hazards after an optional stabilization skip period:</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p>
      <w:pPr>
        <w:pStyle w:val="Compact"/>
        <w:numPr>
          <w:ilvl w:val="0"/>
          <w:numId w:val="1005"/>
        </w:numPr>
      </w:pPr>
      <w:r>
        <w:rPr>
          <w:b/>
          <w:bCs/>
        </w:rPr>
        <w:t xml:space="preserve">Quiet-window frailty fit</w:t>
      </w:r>
      <w:r>
        <w:t xml:space="preserve">: During epidemiologically quiet periods (free of external shocks), cohort-specific frailty variance parameters</w:t>
      </w:r>
      <w:r>
        <w:t xml:space="preserve"> </w:t>
      </w:r>
      <m:oMath>
        <m:sSub>
          <m:e>
            <m:acc>
              <m:accPr>
                <m:chr m:val="̂"/>
              </m:accPr>
              <m:e>
                <m:r>
                  <m:t>θ</m:t>
                </m:r>
              </m:e>
            </m:acc>
          </m:e>
          <m:sub>
            <m:r>
              <m:t>d</m:t>
            </m:r>
          </m:sub>
        </m:sSub>
      </m:oMath>
      <w:r>
        <w:t xml:space="preserve"> </w:t>
      </w:r>
      <w:r>
        <w:t xml:space="preserve">and baseline hazard levels</w:t>
      </w:r>
      <w:r>
        <w:t xml:space="preserve"> </w:t>
      </w:r>
      <m:oMath>
        <m:sSub>
          <m:e>
            <m:acc>
              <m:accPr>
                <m:chr m:val="̂"/>
              </m:accPr>
              <m:e>
                <m:r>
                  <m:t>k</m:t>
                </m:r>
              </m:e>
            </m:acc>
          </m:e>
          <m:sub>
            <m:r>
              <m:t>d</m:t>
            </m:r>
          </m:sub>
        </m:sSub>
      </m:oMath>
      <w:r>
        <w:t xml:space="preserve"> </w:t>
      </w:r>
      <w:r>
        <w:t xml:space="preserve">are estimated via nonlinear least squares by fitting the gamma-frailty identity:</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Under the reference constant-baseline specification over the quiet window:</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m:oMathPara>
    </w:p>
    <w:p>
      <w:pPr>
        <w:pStyle w:val="Compact"/>
        <w:numPr>
          <w:ilvl w:val="0"/>
          <w:numId w:val="1006"/>
        </w:numPr>
      </w:pPr>
      <w:r>
        <w:rPr>
          <w:b/>
          <w:bCs/>
        </w:rPr>
        <w:t xml:space="preserve">Gamma inversion</w:t>
      </w:r>
      <w:r>
        <w:t xml:space="preserve">: The fitted frailty parameters are used to invert the gamma-frailty identity, transforming observed cumulative hazards into depletion-neutralized baseline cumulative hazards:</w:t>
      </w:r>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m:oMathPara>
    </w:p>
    <w:p>
      <w:pPr>
        <w:pStyle w:val="Compact"/>
        <w:numPr>
          <w:ilvl w:val="0"/>
          <w:numId w:val="1007"/>
        </w:numPr>
      </w:pPr>
      <w:r>
        <w:rPr>
          <w:b/>
          <w:bCs/>
        </w:rPr>
        <w:t xml:space="preserve">KCOR ratio</w:t>
      </w:r>
      <w:r>
        <w:t xml:space="preserve">: Cohorts are compared via the ratio of depletion-neutralized baseline cumulative hazards:</w:t>
      </w:r>
    </w:p>
    <w:p>
      <w:pPr>
        <w:pStyle w:val="FirstParagraph"/>
      </w:pP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Compact"/>
        <w:numPr>
          <w:ilvl w:val="0"/>
          <w:numId w:val="1008"/>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8"/>
    <w:bookmarkEnd w:id="29"/>
    <w:bookmarkStart w:id="31" w:name="methods"/>
    <w:p>
      <w:pPr>
        <w:pStyle w:val="Heading2"/>
      </w:pPr>
      <w:r>
        <w:t xml:space="preserve">2. Methods</w:t>
      </w:r>
    </w:p>
    <w:p>
      <w:pPr>
        <w:pStyle w:val="FirstParagraph"/>
      </w:pPr>
      <w:r>
        <w:t xml:space="preserve">While mortality is used as the primary example throughout this section, KCOR applies to any irreversible event process. The methodological framework is event-agnostic; mortality serves as a concrete illustration because it is objectively defined and reliably recorded in many administrative datasets.</w:t>
      </w:r>
    </w:p>
    <w:p>
      <w:pPr>
        <w:pStyle w:val="BodyText"/>
      </w:pPr>
      <w:r>
        <w:t xml:space="preserve">Table 4 defines the notation used throughout the Methods section.</w:t>
      </w:r>
    </w:p>
    <w:bookmarkStart w:id="30" w:name="tbl:notation"/>
    <w:p>
      <w:pPr>
        <w:pStyle w:val="TableCaption"/>
      </w:pPr>
      <w:r>
        <w:t xml:space="preserve">Table 4. Notation used throughout the Methods section.</w:t>
      </w:r>
    </w:p>
    <w:tbl>
      <w:tblPr>
        <w:tblStyle w:val="Table"/>
        <w:tblW w:type="pct" w:w="5000"/>
        <w:tblLayout w:type="fixed"/>
        <w:tblLook w:firstRow="1" w:lastRow="0" w:firstColumn="0" w:lastColumn="0" w:noHBand="0" w:noVBand="0" w:val="0020"/>
        <w:tblCaption w:val="Table 4. Notation used throughout the Methods section."/>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Para>
              <m:oMathParaPr>
                <m:jc m:val="center"/>
              </m:oMathParaPr>
              <m:oMath>
                <m:r>
                  <m:t>d</m:t>
                </m:r>
              </m:oMath>
            </m:oMathPara>
          </w:p>
        </w:tc>
        <w:tc>
          <w:tcPr/>
          <w:p>
            <w:pPr>
              <w:pStyle w:val="Compact"/>
            </w:pPr>
            <w:r>
              <w:t xml:space="preserve">Cohort index</w:t>
            </w:r>
          </w:p>
        </w:tc>
      </w:tr>
      <w:tr>
        <w:tc>
          <w:tcPr/>
          <w:p>
            <w:pPr>
              <w:pStyle w:val="Compact"/>
            </w:pPr>
            <m:oMathPara>
              <m:oMathParaPr>
                <m:jc m:val="center"/>
              </m:oMathParaPr>
              <m:oMath>
                <m:r>
                  <m:t>A</m:t>
                </m:r>
                <m:r>
                  <m:rPr>
                    <m:sty m:val="p"/>
                  </m:rPr>
                  <m:t>,</m:t>
                </m:r>
                <m:r>
                  <m:t>B</m:t>
                </m:r>
              </m:oMath>
            </m:oMathPara>
          </w:p>
        </w:tc>
        <w:tc>
          <w:tcPr/>
          <w:p>
            <w:pPr>
              <w:pStyle w:val="Compact"/>
            </w:pPr>
            <w:r>
              <w:t xml:space="preserve">Indices of the two cohorts compared in a KCOR contrast</w:t>
            </w:r>
          </w:p>
        </w:tc>
      </w:tr>
      <w:tr>
        <w:tc>
          <w:tcPr/>
          <w:p>
            <w:pPr>
              <w:pStyle w:val="Compact"/>
            </w:pPr>
            <m:oMathPara>
              <m:oMathParaPr>
                <m:jc m:val="center"/>
              </m:oMathParaPr>
              <m:oMath>
                <m:r>
                  <m:t>t</m:t>
                </m:r>
              </m:oMath>
            </m:oMathPara>
          </w:p>
        </w:tc>
        <w:tc>
          <w:tcPr/>
          <w:p>
            <w:pPr>
              <w:pStyle w:val="Compact"/>
            </w:pPr>
            <w:r>
              <w:t xml:space="preserve">Event time since enrollment (discrete bins, e.g., weeks)</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Observed cohort hazard</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Observed cumulative hazard (after skip/stabilization)</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cumulative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acc>
                      <m:accPr>
                        <m:chr m:val="̃"/>
                      </m:accPr>
                      <m:e>
                        <m:r>
                          <m:t>H</m:t>
                        </m:r>
                      </m:e>
                    </m:acc>
                  </m:e>
                  <m:sub>
                    <m:r>
                      <m:t>0</m:t>
                    </m:r>
                    <m:r>
                      <m:rPr>
                        <m:sty m:val="p"/>
                      </m:rPr>
                      <m:t>,</m:t>
                    </m:r>
                    <m:r>
                      <m:t>d</m:t>
                    </m:r>
                  </m:sub>
                </m:sSub>
                <m:r>
                  <m:rPr>
                    <m:sty m:val="p"/>
                  </m:rPr>
                  <m:t>(</m:t>
                </m:r>
                <m:r>
                  <m:t>t</m:t>
                </m:r>
                <m:r>
                  <m:rPr>
                    <m:sty m:val="p"/>
                  </m:rPr>
                  <m:t>)</m:t>
                </m:r>
              </m:oMath>
            </m:oMathPara>
          </w:p>
        </w:tc>
        <w:tc>
          <w:tcPr/>
          <w:p>
            <w:pPr>
              <w:pStyle w:val="Compact"/>
            </w:pPr>
            <w:r>
              <w:t xml:space="preserve">Depletion-neutralized baseline cumulative hazard</w:t>
            </w:r>
          </w:p>
        </w:tc>
      </w:tr>
      <w:tr>
        <w:tc>
          <w:tcPr/>
          <w:p>
            <w:pPr>
              <w:pStyle w:val="Compact"/>
            </w:pPr>
            <m:oMathPara>
              <m:oMathParaPr>
                <m:jc m:val="center"/>
              </m:oMathParaPr>
              <m:oMath>
                <m:sSub>
                  <m:e>
                    <m:r>
                      <m:t>θ</m:t>
                    </m:r>
                  </m:e>
                  <m:sub>
                    <m:r>
                      <m:t>d</m:t>
                    </m:r>
                  </m:sub>
                </m:sSub>
              </m:oMath>
            </m:oMathPara>
          </w:p>
        </w:tc>
        <w:tc>
          <w:tcPr/>
          <w:p>
            <w:pPr>
              <w:pStyle w:val="Compact"/>
            </w:pPr>
            <w:r>
              <w:t xml:space="preserve">Frailty variance (selection strength) for cohort</w:t>
            </w:r>
            <w:r>
              <w:t xml:space="preserve"> </w:t>
            </w:r>
            <m:oMath>
              <m:r>
                <m:t>d</m:t>
              </m:r>
            </m:oMath>
            <w:r>
              <w:t xml:space="preserve">; governs curvature in the observed cumulative hazard</w:t>
            </w:r>
          </w:p>
        </w:tc>
      </w:tr>
      <w:tr>
        <w:tc>
          <w:tcPr/>
          <w:p>
            <w:pPr>
              <w:pStyle w:val="Compact"/>
            </w:pPr>
            <m:oMathPara>
              <m:oMathParaPr>
                <m:jc m:val="center"/>
              </m:oMathParaPr>
              <m:oMath>
                <m:sSub>
                  <m:e>
                    <m:acc>
                      <m:accPr>
                        <m:chr m:val="̂"/>
                      </m:accPr>
                      <m:e>
                        <m:r>
                          <m:t>θ</m:t>
                        </m:r>
                      </m:e>
                    </m:acc>
                  </m:e>
                  <m:sub>
                    <m:r>
                      <m:t>d</m:t>
                    </m:r>
                  </m:sub>
                </m:sSub>
              </m:oMath>
            </m:oMathPara>
          </w:p>
        </w:tc>
        <w:tc>
          <w:tcPr/>
          <w:p>
            <w:pPr>
              <w:pStyle w:val="Compact"/>
            </w:pPr>
            <w:r>
              <w:t xml:space="preserve">Estimated frailty variance from quiet-window fitting</w:t>
            </w:r>
          </w:p>
        </w:tc>
      </w:tr>
      <w:tr>
        <w:tc>
          <w:tcPr/>
          <w:p>
            <w:pPr>
              <w:pStyle w:val="Compact"/>
            </w:pPr>
            <m:oMathPara>
              <m:oMathParaPr>
                <m:jc m:val="center"/>
              </m:oMathParaPr>
              <m:oMath>
                <m:sSub>
                  <m:e>
                    <m:r>
                      <m:t>k</m:t>
                    </m:r>
                  </m:e>
                  <m:sub>
                    <m:r>
                      <m:t>d</m:t>
                    </m:r>
                  </m:sub>
                </m:sSub>
              </m:oMath>
            </m:oMathPara>
          </w:p>
        </w:tc>
        <w:tc>
          <w:tcPr/>
          <w:p>
            <w:pPr>
              <w:pStyle w:val="Compact"/>
            </w:pPr>
            <w:r>
              <w:t xml:space="preserve">Baseline hazard level for cohort</w:t>
            </w:r>
            <w:r>
              <w:t xml:space="preserve"> </w:t>
            </w:r>
            <m:oMath>
              <m:r>
                <m:t>d</m:t>
              </m:r>
            </m:oMath>
            <w:r>
              <w:t xml:space="preserve"> </w:t>
            </w:r>
            <w:r>
              <w:t xml:space="preserve">under the default baseline shape</w:t>
            </w:r>
          </w:p>
        </w:tc>
      </w:tr>
      <w:tr>
        <w:tc>
          <w:tcPr/>
          <w:p>
            <w:pPr>
              <w:pStyle w:val="Compact"/>
            </w:pPr>
            <m:oMathPara>
              <m:oMathParaPr>
                <m:jc m:val="center"/>
              </m:oMathParaPr>
              <m:oMath>
                <m:sSub>
                  <m:e>
                    <m:acc>
                      <m:accPr>
                        <m:chr m:val="̂"/>
                      </m:accPr>
                      <m:e>
                        <m:r>
                          <m:t>k</m:t>
                        </m:r>
                      </m:e>
                    </m:acc>
                  </m:e>
                  <m:sub>
                    <m:r>
                      <m:t>d</m:t>
                    </m:r>
                  </m:sub>
                </m:sSub>
              </m:oMath>
            </m:oMathPara>
          </w:p>
        </w:tc>
        <w:tc>
          <w:tcPr/>
          <w:p>
            <w:pPr>
              <w:pStyle w:val="Compact"/>
            </w:pPr>
            <w:r>
              <w:t xml:space="preserve">Estimated baseline hazard level from quiet-window fitting</w:t>
            </w:r>
          </w:p>
        </w:tc>
      </w:tr>
    </w:tbl>
    <w:bookmarkEnd w:id="30"/>
    <w:p>
      <w:pPr>
        <w:pStyle w:val="BodyText"/>
      </w:pPr>
      <w:r>
        <w:t xml:space="preserve">For COVID-19 vaccination analyses, intervention count corresponds to the number of vaccine doses received; more generally, this can index any discrete exposure level.</w:t>
      </w:r>
    </w:p>
    <w:bookmarkEnd w:id="31"/>
    <w:bookmarkStart w:id="35" w:name="conceptual-framework-and-estimand"/>
    <w:p>
      <w:pPr>
        <w:pStyle w:val="Heading2"/>
      </w:pPr>
      <w:r>
        <w:t xml:space="preserve">2.1 Conceptual framework and estimand</w:t>
      </w:r>
    </w:p>
    <w:p>
      <w:pPr>
        <w:pStyle w:val="FirstParagraph"/>
      </w:pPr>
      <w:r>
        <w:t xml:space="preserve">Retrospective cohort differences can arise from two qualitatively different components:</w:t>
      </w:r>
    </w:p>
    <w:p>
      <w:pPr>
        <w:pStyle w:val="Compact"/>
        <w:numPr>
          <w:ilvl w:val="0"/>
          <w:numId w:val="1009"/>
        </w:numPr>
      </w:pPr>
      <w:r>
        <w:rPr>
          <w:b/>
          <w:bCs/>
        </w:rPr>
        <w:t xml:space="preserve">Level differences</w:t>
      </w:r>
      <w:r>
        <w:t xml:space="preserve">: cohort hazards differ by an approximately time-stable multiplicative factor (or, equivalently, cumulative hazards have different slopes but similar shape).</w:t>
      </w:r>
    </w:p>
    <w:p>
      <w:pPr>
        <w:pStyle w:val="Compact"/>
        <w:numPr>
          <w:ilvl w:val="0"/>
          <w:numId w:val="1009"/>
        </w:numPr>
      </w:pPr>
      <w:r>
        <w:rPr>
          <w:b/>
          <w:bCs/>
        </w:rPr>
        <w:t xml:space="preserve">Depletion (curvature) differences</w:t>
      </w:r>
      <w:r>
        <w:t xml:space="preserve">: cohort hazards evolve differently over time because cohorts differ in latent heterogeneity and are</w:t>
      </w:r>
      <w:r>
        <w:t xml:space="preserve"> </w:t>
      </w:r>
      <w:r>
        <w:rPr>
          <w:b/>
          <w:bCs/>
        </w:rPr>
        <w:t xml:space="preserve">selectively depleted</w:t>
      </w:r>
      <w:r>
        <w:t xml:space="preserve"> </w:t>
      </w:r>
      <w:r>
        <w:t xml:space="preserve">at different rates.</w:t>
      </w:r>
    </w:p>
    <w:p>
      <w:pPr>
        <w:pStyle w:val="FirstParagraph"/>
      </w:pPr>
      <w:r>
        <w:t xml:space="preserve">KCOR targets the second failure mode. Under latent frailty heterogeneity, high-risk individuals die earlier, so the surviving risk set becomes progressively</w:t>
      </w:r>
      <w:r>
        <w:t xml:space="preserve"> </w:t>
      </w:r>
      <w:r>
        <w:t xml:space="preserve">“healthier.”</w:t>
      </w:r>
      <w:r>
        <w:t xml:space="preserve"> </w:t>
      </w:r>
      <w:r>
        <w:t xml:space="preserve">This induces</w:t>
      </w:r>
      <w:r>
        <w:t xml:space="preserve"> </w:t>
      </w:r>
      <w:r>
        <w:rPr>
          <w:b/>
          <w:bCs/>
        </w:rPr>
        <w:t xml:space="preserve">downward curvature</w:t>
      </w:r>
      <w:r>
        <w:t xml:space="preserve"> </w:t>
      </w:r>
      <w:r>
        <w:t xml:space="preserve">(deceleration) in cohort hazards and corresponding concavity in cumulative-hazard space, even when individual-level hazards are simple and even under a true null treatment effect. When selection concentrates frailty heterogeneity differently across cohorts, the resulting curvature differences produce strong non-proportional hazards and can drive misleading contrasts for estimands that condition on the evolving risk set.</w:t>
      </w:r>
    </w:p>
    <w:p>
      <w:pPr>
        <w:pStyle w:val="BodyText"/>
      </w:pPr>
      <w:r>
        <w:t xml:space="preserve">KCOR’s strategy is therefore:</w:t>
      </w:r>
    </w:p>
    <w:p>
      <w:pPr>
        <w:pStyle w:val="Compact"/>
        <w:numPr>
          <w:ilvl w:val="0"/>
          <w:numId w:val="1010"/>
        </w:numPr>
      </w:pPr>
      <w:r>
        <w:rPr>
          <w:b/>
          <w:bCs/>
        </w:rPr>
        <w:t xml:space="preserve">Estimate the cohort-specific depletion geometry</w:t>
      </w:r>
      <w:r>
        <w:t xml:space="preserve"> </w:t>
      </w:r>
      <w:r>
        <w:t xml:space="preserve">(via curvature) during prespecified epidemiologically quiet periods.</w:t>
      </w:r>
    </w:p>
    <w:p>
      <w:pPr>
        <w:pStyle w:val="Compact"/>
        <w:numPr>
          <w:ilvl w:val="0"/>
          <w:numId w:val="1010"/>
        </w:numPr>
      </w:pPr>
      <w:r>
        <w:rPr>
          <w:b/>
          <w:bCs/>
        </w:rPr>
        <w:t xml:space="preserve">Map observed cumulative hazards into a depletion-neutralized space</w:t>
      </w:r>
      <w:r>
        <w:t xml:space="preserve"> </w:t>
      </w:r>
      <w:r>
        <w:t xml:space="preserve">by inverting that geometry.</w:t>
      </w:r>
    </w:p>
    <w:p>
      <w:pPr>
        <w:pStyle w:val="Compact"/>
        <w:numPr>
          <w:ilvl w:val="0"/>
          <w:numId w:val="1010"/>
        </w:numPr>
      </w:pPr>
      <w:r>
        <w:rPr>
          <w:b/>
          <w:bCs/>
        </w:rPr>
        <w:t xml:space="preserve">Compare cohorts only after normalization</w:t>
      </w:r>
      <w:r>
        <w:t xml:space="preserve">, using a cumulative-hazard ratio defined on the depletion-neutralized scale.</w:t>
      </w:r>
    </w:p>
    <w:bookmarkStart w:id="33" w:name="target-estimand"/>
    <w:p>
      <w:pPr>
        <w:pStyle w:val="Heading3"/>
      </w:pPr>
      <w:r>
        <w:t xml:space="preserve">2.1.1 Target estimand</w:t>
      </w:r>
    </w:p>
    <w:p>
      <w:pPr>
        <w:pStyle w:val="FirstParagraph"/>
      </w:pPr>
      <w:r>
        <w:t xml:space="preserve">Let</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denote the</w:t>
      </w:r>
      <w:r>
        <w:t xml:space="preserve"> </w:t>
      </w:r>
      <w:r>
        <w:rPr>
          <w:b/>
          <w:bCs/>
        </w:rPr>
        <w:t xml:space="preserve">depletion-neutralized baseline cumulative hazard</w:t>
      </w:r>
      <w:r>
        <w:t xml:space="preserve"> </w:t>
      </w:r>
      <w:r>
        <w:t xml:space="preserve">for cohort</w:t>
      </w:r>
      <w:r>
        <w:t xml:space="preserve"> </w:t>
      </w:r>
      <m:oMath>
        <m:r>
          <m:t>d</m:t>
        </m:r>
      </m:oMath>
      <w:r>
        <w:t xml:space="preserve"> </w:t>
      </w:r>
      <w:r>
        <w:t xml:space="preserve">at event time</w:t>
      </w:r>
      <w:r>
        <w:t xml:space="preserve"> </w:t>
      </w:r>
      <m:oMath>
        <m:r>
          <m:t>t</m:t>
        </m:r>
      </m:oMath>
      <w:r>
        <w:t xml:space="preserve"> </w:t>
      </w:r>
      <w:r>
        <w:t xml:space="preserve">since enrollment (Table 4). For two cohorts</w:t>
      </w:r>
      <w:r>
        <w:t xml:space="preserve"> </w:t>
      </w:r>
      <m:oMath>
        <m:r>
          <m:t>A</m:t>
        </m:r>
      </m:oMath>
      <w:r>
        <w:t xml:space="preserve"> </w:t>
      </w:r>
      <w:r>
        <w:t xml:space="preserve">and</w:t>
      </w:r>
      <w:r>
        <w:t xml:space="preserve"> </w:t>
      </w:r>
      <m:oMath>
        <m:r>
          <m:t>B</m:t>
        </m:r>
      </m:oMath>
      <w:r>
        <w:t xml:space="preserve">, KCOR is defined as</w:t>
      </w:r>
    </w:p>
    <w:bookmarkStart w:id="32" w:name="eq:kcor-estimand"/>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m:t>
        </m:r>
        <m:r>
          <m:rPr>
            <m:sty m:val="p"/>
          </m:rPr>
          <m:t>)</m:t>
        </m:r>
      </m:oMath>
    </w:p>
    <w:bookmarkEnd w:id="32"/>
    <w:p>
      <w:pPr>
        <w:pStyle w:val="BodyTex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is a</w:t>
      </w:r>
      <w:r>
        <w:t xml:space="preserve"> </w:t>
      </w:r>
      <w:r>
        <w:rPr>
          <w:b/>
          <w:bCs/>
        </w:rPr>
        <w:t xml:space="preserve">cumulative outcome contrast</w:t>
      </w:r>
      <w:r>
        <w:t xml:space="preserve"> </w:t>
      </w:r>
      <w:r>
        <w:t xml:space="preserve">after removal of curvature attributed to selection-induced depletion under the working frailty model. The estimand is defined regardless of whether it has a causal interpretation.</w:t>
      </w:r>
    </w:p>
    <w:bookmarkEnd w:id="33"/>
    <w:bookmarkStart w:id="34" w:name="identification-versus-diagnostics"/>
    <w:p>
      <w:pPr>
        <w:pStyle w:val="Heading3"/>
      </w:pPr>
      <w:r>
        <w:t xml:space="preserve">2.1.2 Identification versus diagnostics</w:t>
      </w:r>
    </w:p>
    <w:p>
      <w:pPr>
        <w:pStyle w:val="FirstParagraph"/>
      </w:pPr>
      <w:r>
        <w:t xml:space="preserve">KCOR is presented here as a</w:t>
      </w:r>
      <w:r>
        <w:t xml:space="preserve"> </w:t>
      </w:r>
      <w:r>
        <w:rPr>
          <w:b/>
          <w:bCs/>
        </w:rPr>
        <w:t xml:space="preserve">normalization-and-comparison framework</w:t>
      </w:r>
      <w:r>
        <w:t xml:space="preserve">, not as a general causal estimator under unmeasured confounding. A causal interpretation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requires additional substantive conditions (e.g., that the quiet-window curvature is dominated by selection-induced depletion rather than cohort-differential external shocks). Because these conditions are inherently dataset- and design-dependent, KCOR emphasizes</w:t>
      </w:r>
      <w:r>
        <w:t xml:space="preserve"> </w:t>
      </w:r>
      <w:r>
        <w:rPr>
          <w:b/>
          <w:bCs/>
        </w:rPr>
        <w:t xml:space="preserve">diagnostic enforcement</w:t>
      </w:r>
      <w:r>
        <w:t xml:space="preserve">: when assumptions required for interpretable normalization are not supported, the method should signal this through degraded fit, residual structure, or instability to window perturbations rather than silently producing a</w:t>
      </w:r>
      <w:r>
        <w:t xml:space="preserve"> </w:t>
      </w:r>
      <w:r>
        <w:t xml:space="preserve">“corrected”</w:t>
      </w:r>
      <w:r>
        <w:t xml:space="preserve"> </w:t>
      </w:r>
      <w:r>
        <w:t xml:space="preserve">contrast.</w:t>
      </w:r>
    </w:p>
    <w:p>
      <w:pPr>
        <w:pStyle w:val="BodyText"/>
      </w:pPr>
      <w:r>
        <w:t xml:space="preserve">Operationally, interpretability of a KCOR trajectory is assessed via prespecified checks (Appendix D), including:</w:t>
      </w:r>
    </w:p>
    <w:p>
      <w:pPr>
        <w:pStyle w:val="Compact"/>
        <w:numPr>
          <w:ilvl w:val="0"/>
          <w:numId w:val="1011"/>
        </w:numPr>
      </w:pPr>
      <w:r>
        <w:t xml:space="preserve">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quiet-window perturbations,</w:t>
      </w:r>
    </w:p>
    <w:p>
      <w:pPr>
        <w:pStyle w:val="Compact"/>
        <w:numPr>
          <w:ilvl w:val="0"/>
          <w:numId w:val="1011"/>
        </w:numPr>
      </w:pPr>
      <w:r>
        <w:t xml:space="preserve">approximate linearity of</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within the quiet window,</w:t>
      </w:r>
    </w:p>
    <w:p>
      <w:pPr>
        <w:pStyle w:val="Compact"/>
        <w:numPr>
          <w:ilvl w:val="0"/>
          <w:numId w:val="1011"/>
        </w:numPr>
      </w:pPr>
      <w:r>
        <w:t xml:space="preserve">absence of systematic residual structure in cumulative-hazard space.</w:t>
      </w:r>
    </w:p>
    <w:p>
      <w:r>
        <w:pict>
          <v:rect style="width:0;height:1.5pt" o:hralign="center" o:hrstd="t" o:hr="t"/>
        </w:pict>
      </w:r>
    </w:p>
    <w:bookmarkEnd w:id="34"/>
    <w:bookmarkEnd w:id="35"/>
    <w:bookmarkStart w:id="36" w:name="cohort-construction"/>
    <w:p>
      <w:pPr>
        <w:pStyle w:val="Heading2"/>
      </w:pPr>
      <w:r>
        <w:t xml:space="preserve">2.2 Cohort construction</w:t>
      </w:r>
    </w:p>
    <w:p>
      <w:pPr>
        <w:pStyle w:val="FirstParagraph"/>
      </w:pPr>
      <w:r>
        <w:t xml:space="preserve">KCOR is defined for</w:t>
      </w:r>
      <w:r>
        <w:t xml:space="preserve"> </w:t>
      </w:r>
      <w:r>
        <w:rPr>
          <w:b/>
          <w:bCs/>
        </w:rPr>
        <w:t xml:space="preserve">fixed cohorts at enrollment</w:t>
      </w:r>
      <w:r>
        <w:t xml:space="preserve">. Required inputs are minimal: enrollment date(s), event date, and optionally birth date (or year-of-birth) for age stratification. Analyses proceed in discrete event time</w:t>
      </w:r>
      <w:r>
        <w:t xml:space="preserve"> </w:t>
      </w:r>
      <m:oMath>
        <m:r>
          <m:t>t</m:t>
        </m:r>
      </m:oMath>
      <w:r>
        <w:t xml:space="preserve"> </w:t>
      </w:r>
      <w:r>
        <w:t xml:space="preserve">(e.g., weeks) measured since cohort enrollment.</w:t>
      </w:r>
    </w:p>
    <w:p>
      <w:pPr>
        <w:pStyle w:val="BodyText"/>
      </w:pPr>
      <w:r>
        <w:t xml:space="preserve">Cohorts are assigned by intervention state at the start of the enrollment interval. In the primary estimand:</w:t>
      </w:r>
    </w:p>
    <w:p>
      <w:pPr>
        <w:pStyle w:val="Compact"/>
        <w:numPr>
          <w:ilvl w:val="0"/>
          <w:numId w:val="1012"/>
        </w:numPr>
      </w:pPr>
      <w:r>
        <w:rPr>
          <w:b/>
          <w:bCs/>
        </w:rPr>
        <w:t xml:space="preserve">No post-enrollment switching</w:t>
      </w:r>
      <w:r>
        <w:t xml:space="preserve"> </w:t>
      </w:r>
      <w:r>
        <w:t xml:space="preserve">is allowed (individuals remain in their enrollment cohort),</w:t>
      </w:r>
    </w:p>
    <w:p>
      <w:pPr>
        <w:pStyle w:val="Compact"/>
        <w:numPr>
          <w:ilvl w:val="0"/>
          <w:numId w:val="1012"/>
        </w:numPr>
      </w:pPr>
      <w:r>
        <w:rPr>
          <w:b/>
          <w:bCs/>
        </w:rPr>
        <w:t xml:space="preserve">No censoring</w:t>
      </w:r>
      <w:r>
        <w:t xml:space="preserve"> </w:t>
      </w:r>
      <w:r>
        <w:t xml:space="preserve">is applied (other than administrative end of follow-up),</w:t>
      </w:r>
    </w:p>
    <w:p>
      <w:pPr>
        <w:pStyle w:val="Compact"/>
        <w:numPr>
          <w:ilvl w:val="0"/>
          <w:numId w:val="1012"/>
        </w:numPr>
      </w:pPr>
      <w:r>
        <w:t xml:space="preserve">analyses are performed on the resulting fixed risk sets.</w:t>
      </w:r>
    </w:p>
    <w:p>
      <w:pPr>
        <w:pStyle w:val="FirstParagraph"/>
      </w:pPr>
      <w:r>
        <w:t xml:space="preserve">This fixed-cohort design is intentional. It avoids immortal-time artifacts and prevents outcome-driven switching rules from creating time-dependent selection that is difficult to diagnose under minimal covariate availability. Extensions that allow switching or censoring are treated as sensitivity analyses (§5.2) because they change the estimand and introduce additional identification requirements.</w:t>
      </w:r>
    </w:p>
    <w:p>
      <w:pPr>
        <w:pStyle w:val="BodyText"/>
      </w:pPr>
      <w:r>
        <w:t xml:space="preserve">Throughout this manuscript the failure event is</w:t>
      </w:r>
      <w:r>
        <w:t xml:space="preserve"> </w:t>
      </w:r>
      <w:r>
        <w:rPr>
          <w:b/>
          <w:bCs/>
        </w:rPr>
        <w:t xml:space="preserve">all-cause mortality</w:t>
      </w:r>
      <w:r>
        <w:t xml:space="preserve">. KCOR therefore targets cumulative mortality hazards and is not framed as a cause-specific competing-risks analysis.</w:t>
      </w:r>
    </w:p>
    <w:p>
      <w:r>
        <w:pict>
          <v:rect style="width:0;height:1.5pt" o:hralign="center" o:hrstd="t" o:hr="t"/>
        </w:pict>
      </w:r>
    </w:p>
    <w:bookmarkEnd w:id="36"/>
    <w:bookmarkStart w:id="39" w:name="X8d7a41b2ee06470250995551ddf1fd9af9326e9"/>
    <w:p>
      <w:pPr>
        <w:pStyle w:val="Heading2"/>
      </w:pPr>
      <w:r>
        <w:t xml:space="preserve">2.3 Hazard estimation and cumulative hazards in discrete time</w:t>
      </w:r>
    </w:p>
    <w:p>
      <w:pPr>
        <w:pStyle w:val="FirstParagraph"/>
      </w:pPr>
      <w:r>
        <w:t xml:space="preserve">Let</w:t>
      </w:r>
      <w:r>
        <w:t xml:space="preserve"> </w:t>
      </w:r>
      <m:oMath>
        <m:sSub>
          <m:e>
            <m:r>
              <m:t>D</m:t>
            </m:r>
          </m:e>
          <m:sub>
            <m:r>
              <m:t>d</m:t>
            </m:r>
          </m:sub>
        </m:sSub>
        <m:r>
          <m:rPr>
            <m:sty m:val="p"/>
          </m:rPr>
          <m:t>(</m:t>
        </m:r>
        <m:r>
          <m:t>t</m:t>
        </m:r>
        <m:r>
          <m:rPr>
            <m:sty m:val="p"/>
          </m:rPr>
          <m:t>)</m:t>
        </m:r>
      </m:oMath>
      <w:r>
        <w:t xml:space="preserve"> </w:t>
      </w:r>
      <w:r>
        <w:t xml:space="preserve">denote events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We compute the discrete-time cohort hazard as</w:t>
      </w:r>
    </w:p>
    <w:bookmarkStart w:id="37" w:name="eq:hazard-discrete"/>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r>
          <m:t>​</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oMath>
      <w:r>
        <w:t xml:space="preserve"> </w:t>
      </w:r>
      <w:r>
        <w:tab/>
      </w:r>
      <w:r>
        <w:t xml:space="preserve"> </w:t>
      </w:r>
      <m:oMath>
        <m:r>
          <m:rPr>
            <m:sty m:val="p"/>
          </m:rPr>
          <m:t>(</m:t>
        </m:r>
        <m:r>
          <m:t>2</m:t>
        </m:r>
        <m:r>
          <m:rPr>
            <m:sty m:val="p"/>
          </m:rPr>
          <m:t>)</m:t>
        </m:r>
      </m:oMath>
    </w:p>
    <w:bookmarkEnd w:id="37"/>
    <w:p>
      <w:pPr>
        <w:pStyle w:val="BodyText"/>
      </w:pPr>
      <w:r>
        <w:t xml:space="preserve">This transform is standard: it maps an interval event probability into a continuous-time equivalent hazard under a piecewise-constant hazard assumption. For rare events,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but the log form remains accurate and stable when weekly risks are not negligible.</w:t>
      </w:r>
    </w:p>
    <w:p>
      <w:pPr>
        <w:pStyle w:val="BodyText"/>
      </w:pPr>
      <w:r>
        <w:t xml:space="preserve">Observed cumulative hazards are accumulated over event time after an optional stabilization skip (§2.7):</w:t>
      </w:r>
    </w:p>
    <w:bookmarkStart w:id="38" w:name="eq:cumhazard-observed"/>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rPr>
            <m:sty m:val="p"/>
          </m:rPr>
          <m:t>,</m:t>
        </m:r>
        <m:r>
          <m:t>  </m:t>
        </m:r>
        <m:r>
          <m:rPr>
            <m:sty m:val="p"/>
          </m:rPr>
          <m:t>Δ</m:t>
        </m:r>
        <m:r>
          <m:t>t</m:t>
        </m:r>
        <m:r>
          <m:rPr>
            <m:sty m:val="p"/>
          </m:rPr>
          <m:t>=</m:t>
        </m:r>
        <m:r>
          <m:t>1</m:t>
        </m:r>
        <m:r>
          <m:rPr>
            <m:sty m:val="p"/>
          </m:rPr>
          <m:t>.</m:t>
        </m:r>
      </m:oMath>
      <w:r>
        <w:t xml:space="preserve"> </w:t>
      </w:r>
      <w:r>
        <w:tab/>
      </w:r>
      <w:r>
        <w:t xml:space="preserve"> </w:t>
      </w:r>
      <m:oMath>
        <m:r>
          <m:rPr>
            <m:sty m:val="p"/>
          </m:rPr>
          <m:t>(</m:t>
        </m:r>
        <m:r>
          <m:t>3</m:t>
        </m:r>
        <m:r>
          <m:rPr>
            <m:sty m:val="p"/>
          </m:rPr>
          <m:t>)</m:t>
        </m:r>
      </m:oMath>
    </w:p>
    <w:bookmarkEnd w:id="38"/>
    <w:p>
      <w:pPr>
        <w:pStyle w:val="BodyText"/>
      </w:pPr>
      <w:r>
        <w:t xml:space="preserve">Discrete binning accommodates tied events and aggregated registry releases. Bin width is chosen based on diagnostic stability (e.g., smoothness and sufficient counts per bin) rather than temporal resolution alone.</w:t>
      </w:r>
    </w:p>
    <w:p>
      <w:r>
        <w:pict>
          <v:rect style="width:0;height:1.5pt" o:hralign="center" o:hrstd="t" o:hr="t"/>
        </w:pict>
      </w:r>
    </w:p>
    <w:bookmarkEnd w:id="39"/>
    <w:bookmarkStart w:id="86" w:name="Xac986e115b315a486d7d296f1ed82bc5da7c6c5"/>
    <w:p>
      <w:pPr>
        <w:pStyle w:val="Heading2"/>
      </w:pPr>
      <w:r>
        <w:t xml:space="preserve">2.4 Selection model: gamma frailty and depletion normalization</w:t>
      </w:r>
    </w:p>
    <w:bookmarkStart w:id="41" w:name="X1613f91e2d32d239863b345c5f5c082f741e4a2"/>
    <w:p>
      <w:pPr>
        <w:pStyle w:val="Heading3"/>
      </w:pPr>
      <w:r>
        <w:t xml:space="preserve">2.4.1 Individual hazards with multiplicative frailty</w:t>
      </w:r>
    </w:p>
    <w:p>
      <w:pPr>
        <w:pStyle w:val="FirstParagraph"/>
      </w:pPr>
      <w:r>
        <w:t xml:space="preserve">Within cohort</w:t>
      </w:r>
      <w:r>
        <w:t xml:space="preserve"> </w:t>
      </w:r>
      <m:oMath>
        <m:r>
          <m:t>d</m:t>
        </m:r>
      </m:oMath>
      <w:r>
        <w:t xml:space="preserve">, individual</w:t>
      </w:r>
      <w:r>
        <w:t xml:space="preserve"> </w:t>
      </w:r>
      <m:oMath>
        <m:r>
          <m:t>i</m:t>
        </m:r>
      </m:oMath>
      <w:r>
        <w:t xml:space="preserve"> </w:t>
      </w:r>
      <w:r>
        <w:t xml:space="preserve">is modeled as having hazard</w:t>
      </w:r>
    </w:p>
    <w:bookmarkStart w:id="40" w:name="eq:individual-hazard-frailty"/>
    <w:p>
      <w:pPr>
        <w:pStyle w:val="BodyText"/>
      </w:pPr>
      <w:pPr>
        <w:tabs>
          <w:tab w:val="center" w:leader="none" w:pos="4680"/>
          <w:tab w:val="right" w:leader="none" w:pos="9360"/>
        </w:tabs>
      </w:pPr>
      <w:r>
        <w:tab/>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oMath>
      <w:r>
        <w:t xml:space="preserve"> </w:t>
      </w:r>
      <w:r>
        <w:tab/>
      </w:r>
      <w:r>
        <w:t xml:space="preserve"> </w:t>
      </w:r>
      <m:oMath>
        <m:r>
          <m:rPr>
            <m:sty m:val="p"/>
          </m:rPr>
          <m:t>(</m:t>
        </m:r>
        <m:r>
          <m:t>4</m:t>
        </m:r>
        <m:r>
          <m:rPr>
            <m:sty m:val="p"/>
          </m:rPr>
          <m:t>)</m:t>
        </m:r>
      </m:oMath>
    </w:p>
    <w:bookmarkEnd w:id="40"/>
    <w:p>
      <w:pPr>
        <w:pStyle w:val="BodyText"/>
      </w:pPr>
      <w:r>
        <w:t xml:space="preserve">Here</w:t>
      </w:r>
      <w:r>
        <w:t xml:space="preserve"> </w:t>
      </w:r>
      <m:oMath>
        <m:sSub>
          <m:e>
            <m:r>
              <m:t>h</m:t>
            </m:r>
          </m:e>
          <m:sub>
            <m:r>
              <m:t>0</m:t>
            </m:r>
            <m:r>
              <m:rPr>
                <m:sty m:val="p"/>
              </m:rPr>
              <m:t>,</m:t>
            </m:r>
            <m:r>
              <m:t>d</m:t>
            </m:r>
          </m:sub>
        </m:sSub>
        <m:r>
          <m:rPr>
            <m:sty m:val="p"/>
          </m:rPr>
          <m:t>(</m:t>
        </m:r>
        <m:r>
          <m:t>t</m:t>
        </m:r>
        <m:r>
          <m:rPr>
            <m:sty m:val="p"/>
          </m:rPr>
          <m:t>)</m:t>
        </m:r>
      </m:oMath>
      <w:r>
        <w:t xml:space="preserve"> </w:t>
      </w:r>
      <w:r>
        <w:t xml:space="preserve">is the cohort’s depletion-neutralized baseline hazard and</w:t>
      </w:r>
      <w:r>
        <w:t xml:space="preserve"> </w:t>
      </w:r>
      <m:oMath>
        <m:sSub>
          <m:e>
            <m:r>
              <m:t>z</m:t>
            </m:r>
          </m:e>
          <m:sub>
            <m:r>
              <m:t>i</m:t>
            </m:r>
            <m:r>
              <m:rPr>
                <m:sty m:val="p"/>
              </m:rPr>
              <m:t>,</m:t>
            </m:r>
            <m:r>
              <m:t>d</m:t>
            </m:r>
          </m:sub>
        </m:sSub>
      </m:oMath>
      <w:r>
        <w:t xml:space="preserve"> </w:t>
      </w:r>
      <w:r>
        <w:t xml:space="preserve">is a latent multiplicative frailty term. The frailty variance</w:t>
      </w:r>
      <w:r>
        <w:t xml:space="preserve"> </w:t>
      </w:r>
      <m:oMath>
        <m:sSub>
          <m:e>
            <m:r>
              <m:t>θ</m:t>
            </m:r>
          </m:e>
          <m:sub>
            <m:r>
              <m:t>d</m:t>
            </m:r>
          </m:sub>
        </m:sSub>
      </m:oMath>
      <w:r>
        <w:t xml:space="preserve"> </w:t>
      </w:r>
      <w:r>
        <w:t xml:space="preserve">governs the strength of depletion-induced curvature: larger</w:t>
      </w:r>
      <w:r>
        <w:t xml:space="preserve"> </w:t>
      </w:r>
      <m:oMath>
        <m:sSub>
          <m:e>
            <m:r>
              <m:t>θ</m:t>
            </m:r>
          </m:e>
          <m:sub>
            <m:r>
              <m:t>d</m:t>
            </m:r>
          </m:sub>
        </m:sSub>
      </m:oMath>
      <w:r>
        <w:t xml:space="preserve"> </w:t>
      </w:r>
      <w:r>
        <w:t xml:space="preserve">yields stronger deceleration at the cohort level due to faster early depletion of high-frailty individuals.</w:t>
      </w:r>
    </w:p>
    <w:p>
      <w:pPr>
        <w:pStyle w:val="BodyText"/>
      </w:pPr>
      <w:r>
        <w:t xml:space="preserve">Gamma frailty is used because it yields a closed-form link between observed and baseline cumulative hazards via the Laplace transform</w:t>
      </w:r>
      <w:r>
        <w:rPr>
          <w:vertAlign w:val="superscript"/>
        </w:rPr>
        <w:t xml:space="preserve">1</w:t>
      </w:r>
      <w:r>
        <w:t xml:space="preserve">. In KCOR, gamma frailty is a</w:t>
      </w:r>
      <w:r>
        <w:t xml:space="preserve"> </w:t>
      </w:r>
      <w:r>
        <w:rPr>
          <w:b/>
          <w:bCs/>
        </w:rPr>
        <w:t xml:space="preserve">working geometric model</w:t>
      </w:r>
      <w:r>
        <w:t xml:space="preserve"> </w:t>
      </w:r>
      <w:r>
        <w:t xml:space="preserve">for depletion normalization, not a claim of biological truth. Adequacy is evaluated empirically via fit quality, post-normalization linearity, and stability diagnostics.</w:t>
      </w:r>
    </w:p>
    <w:bookmarkEnd w:id="41"/>
    <w:bookmarkStart w:id="45" w:name="gamma-frailty-identity-and-inversion"/>
    <w:p>
      <w:pPr>
        <w:pStyle w:val="Heading3"/>
      </w:pPr>
      <w:r>
        <w:t xml:space="preserve">2.4.2 Gamma-frailty identity and inversion</w:t>
      </w:r>
    </w:p>
    <w:p>
      <w:pPr>
        <w:pStyle w:val="FirstParagraph"/>
      </w:pPr>
      <w:r>
        <w:t xml:space="preserve">Let</w:t>
      </w:r>
    </w:p>
    <w:bookmarkStart w:id="42" w:name="eq:baseline-cumhazard"/>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 </w:t>
      </w:r>
      <w:r>
        <w:tab/>
      </w:r>
      <w:r>
        <w:t xml:space="preserve"> </w:t>
      </w:r>
      <m:oMath>
        <m:r>
          <m:rPr>
            <m:sty m:val="p"/>
          </m:rPr>
          <m:t>(</m:t>
        </m:r>
        <m:r>
          <m:t>5</m:t>
        </m:r>
        <m:r>
          <m:rPr>
            <m:sty m:val="p"/>
          </m:rPr>
          <m:t>)</m:t>
        </m:r>
      </m:oMath>
    </w:p>
    <w:bookmarkEnd w:id="42"/>
    <w:p>
      <w:pPr>
        <w:pStyle w:val="BodyText"/>
      </w:pPr>
      <w:r>
        <w:t xml:space="preserve">denote the baseline cumulative hazard. Integrating over gamma frailty yields the gamma-frailty identity</w:t>
      </w:r>
    </w:p>
    <w:bookmarkStart w:id="43" w:name="eq:gamma-frailty-identity"/>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oMath>
      <w:r>
        <w:t xml:space="preserve"> </w:t>
      </w:r>
      <w:r>
        <w:tab/>
      </w:r>
      <w:r>
        <w:t xml:space="preserve"> </w:t>
      </w:r>
      <m:oMath>
        <m:r>
          <m:rPr>
            <m:sty m:val="p"/>
          </m:rPr>
          <m:t>(</m:t>
        </m:r>
        <m:r>
          <m:t>6</m:t>
        </m:r>
        <m:r>
          <m:rPr>
            <m:sty m:val="p"/>
          </m:rPr>
          <m:t>)</m:t>
        </m:r>
      </m:oMath>
    </w:p>
    <w:bookmarkEnd w:id="43"/>
    <w:p>
      <w:pPr>
        <w:pStyle w:val="BodyText"/>
      </w:pPr>
      <w:r>
        <w:t xml:space="preserve">which can be inverted exactly as</w:t>
      </w:r>
    </w:p>
    <w:bookmarkStart w:id="44" w:name="eq:gamma-frailty-inversion"/>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w:r>
        <w:t xml:space="preserve"> </w:t>
      </w:r>
      <w:r>
        <w:tab/>
      </w:r>
      <w:r>
        <w:t xml:space="preserve"> </w:t>
      </w:r>
      <m:oMath>
        <m:r>
          <m:rPr>
            <m:sty m:val="p"/>
          </m:rPr>
          <m:t>(</m:t>
        </m:r>
        <m:r>
          <m:t>7</m:t>
        </m:r>
        <m:r>
          <m:rPr>
            <m:sty m:val="p"/>
          </m:rPr>
          <m:t>)</m:t>
        </m:r>
      </m:oMath>
    </w:p>
    <w:bookmarkEnd w:id="44"/>
    <w:p>
      <w:pPr>
        <w:pStyle w:val="BodyText"/>
      </w:pPr>
      <w:r>
        <w:t xml:space="preserve">This inversion is the</w:t>
      </w:r>
      <w:r>
        <w:t xml:space="preserve"> </w:t>
      </w:r>
      <w:r>
        <w:rPr>
          <w:b/>
          <w:bCs/>
        </w:rPr>
        <w:t xml:space="preserve">normalization operator</w:t>
      </w:r>
      <w:r>
        <w:t xml:space="preserve">: given an estimate</w:t>
      </w:r>
      <w:r>
        <w:t xml:space="preserve"> </w:t>
      </w:r>
      <m:oMath>
        <m:sSub>
          <m:e>
            <m:acc>
              <m:accPr>
                <m:chr m:val="̂"/>
              </m:accPr>
              <m:e>
                <m:r>
                  <m:t>θ</m:t>
                </m:r>
              </m:e>
            </m:acc>
          </m:e>
          <m:sub>
            <m:r>
              <m:t>d</m:t>
            </m:r>
          </m:sub>
        </m:sSub>
      </m:oMath>
      <w:r>
        <w:t xml:space="preserve">, it maps the observed cumulative hazard</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into a depletion-neutralized cumulative hazard scale.</w:t>
      </w:r>
    </w:p>
    <w:bookmarkEnd w:id="45"/>
    <w:bookmarkStart w:id="47" w:name="X22c9b34d94b309a3f26764cc0718f7fabb50843"/>
    <w:p>
      <w:pPr>
        <w:pStyle w:val="Heading3"/>
      </w:pPr>
      <w:r>
        <w:t xml:space="preserve">2.4.3 Baseline shape used for frailty identification</w:t>
      </w:r>
    </w:p>
    <w:p>
      <w:pPr>
        <w:pStyle w:val="FirstParagraph"/>
      </w:pPr>
      <w:r>
        <w:t xml:space="preserve">To identify</w:t>
      </w:r>
      <w:r>
        <w:t xml:space="preserve"> </w:t>
      </w:r>
      <m:oMath>
        <m:sSub>
          <m:e>
            <m:r>
              <m:t>θ</m:t>
            </m:r>
          </m:e>
          <m:sub>
            <m:r>
              <m:t>d</m:t>
            </m:r>
          </m:sub>
        </m:sSub>
      </m:oMath>
      <w:r>
        <w:t xml:space="preserve">, KCOR fits the gamma-frailty model within prespecified epidemiologically quiet periods. In the reference specification, the baseline hazard is taken to be constant over the fit window:</w:t>
      </w:r>
    </w:p>
    <w:bookmarkStart w:id="46" w:name="eq:baseline-shape-default"/>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w:r>
        <w:t xml:space="preserve"> </w:t>
      </w:r>
      <w:r>
        <w:tab/>
      </w:r>
      <w:r>
        <w:t xml:space="preserve"> </w:t>
      </w:r>
      <m:oMath>
        <m:r>
          <m:rPr>
            <m:sty m:val="p"/>
          </m:rPr>
          <m:t>(</m:t>
        </m:r>
        <m:r>
          <m:t>8</m:t>
        </m:r>
        <m:r>
          <m:rPr>
            <m:sty m:val="p"/>
          </m:rPr>
          <m:t>)</m:t>
        </m:r>
      </m:oMath>
    </w:p>
    <w:bookmarkEnd w:id="46"/>
    <w:p>
      <w:pPr>
        <w:pStyle w:val="BodyText"/>
      </w:pPr>
      <w:r>
        <w:t xml:space="preserve">This choice intentionally minimizes degrees of freedom: during a quiet window, curvature is forced to be explained by depletion (via</w:t>
      </w:r>
      <w:r>
        <w:t xml:space="preserve"> </w:t>
      </w:r>
      <m:oMath>
        <m:sSub>
          <m:e>
            <m:r>
              <m:t>θ</m:t>
            </m:r>
          </m:e>
          <m:sub>
            <m:r>
              <m:t>d</m:t>
            </m:r>
          </m:sub>
        </m:sSub>
      </m:oMath>
      <w:r>
        <w:t xml:space="preserve">) rather than by introducing time-varying baseline hazard terms. If the observed cumulative hazard is near-linear over the fit window, the model naturally collapses toward</w:t>
      </w:r>
      <w:r>
        <w:t xml:space="preserve"> </w:t>
      </w:r>
      <m:oMath>
        <m:sSub>
          <m:e>
            <m:acc>
              <m:accPr>
                <m:chr m:val="̂"/>
              </m:accPr>
              <m:e>
                <m:r>
                  <m:t>θ</m:t>
                </m:r>
              </m:e>
            </m:acc>
          </m:e>
          <m:sub>
            <m:r>
              <m:t>d</m:t>
            </m:r>
          </m:sub>
        </m:sSub>
        <m:r>
          <m:rPr>
            <m:sty m:val="p"/>
          </m:rPr>
          <m:t>≈</m:t>
        </m:r>
        <m:r>
          <m:t>0</m:t>
        </m:r>
      </m:oMath>
      <w:r>
        <w:t xml:space="preserve">, signaling weak or absent detectable depletion curvature for that cohort over that window.</w:t>
      </w:r>
    </w:p>
    <w:bookmarkEnd w:id="47"/>
    <w:bookmarkStart w:id="48" w:name="Xee369aabf79618846db7def8482c67c7421353f"/>
    <w:p>
      <w:pPr>
        <w:pStyle w:val="Heading3"/>
      </w:pPr>
      <w:r>
        <w:t xml:space="preserve">2.4.4 Quiet-window validity as the key dataset-specific requirement</w:t>
      </w:r>
    </w:p>
    <w:p>
      <w:pPr>
        <w:pStyle w:val="FirstParagraph"/>
      </w:pPr>
      <w:r>
        <w:t xml:space="preserve">Frailty parameters are estimated using only bins whose corresponding calendar weeks lie inside a prespecified quiet window (defined in ISO-week space). A window is acceptable only if diagnostics indicate (i) good fit in cumulative-hazard space, (ii) post-normalization linearity within the window, and (iii)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boundary perturbations. If no candidate window passes, KCOR is treated as not identified for that analysis rather than producing a potentially misleading normalized contrast. All diagnostics are computed over discrete event-time bins (weekly intervals since enrollment) whose corresponding calendar weeks fall within the prespecified quiet window.</w:t>
      </w:r>
    </w:p>
    <w:p>
      <w:r>
        <w:pict>
          <v:rect style="width:0;height:1.5pt" o:hralign="center" o:hrstd="t" o:hr="t"/>
        </w:pict>
      </w:r>
    </w:p>
    <w:bookmarkEnd w:id="48"/>
    <w:bookmarkStart w:id="53"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The epidemiological quiet period is not assumed to be free of all processes, but to lack sharp, cohort-differential hazard perturbations (e.g., epidemic waves or policy shocks) capable of inducing systematic curvature asymmetry unrelated to selection dynamics.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bookmarkStart w:id="49" w:name="eq:hobs-model"/>
    <w:p>
      <w:pPr>
        <w:pStyle w:val="BodyText"/>
      </w:pPr>
      <w:pPr>
        <w:tabs>
          <w:tab w:val="center" w:leader="none" w:pos="4680"/>
          <w:tab w:val="right" w:leader="none" w:pos="9360"/>
        </w:tabs>
      </w:pPr>
      <w:r>
        <w:tab/>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oMath>
      <w:r>
        <w:t xml:space="preserve"> </w:t>
      </w:r>
      <w:r>
        <w:tab/>
      </w:r>
      <w:r>
        <w:t xml:space="preserve"> </w:t>
      </w:r>
      <m:oMath>
        <m:r>
          <m:rPr>
            <m:sty m:val="p"/>
          </m:rPr>
          <m:t>(</m:t>
        </m:r>
        <m:r>
          <m:t>9</m:t>
        </m:r>
        <m:r>
          <m:rPr>
            <m:sty m:val="p"/>
          </m:rPr>
          <m:t>)</m:t>
        </m:r>
      </m:oMath>
    </w:p>
    <w:bookmarkEnd w:id="49"/>
    <w:p>
      <w:pPr>
        <w:pStyle w:val="BodyText"/>
      </w:pPr>
      <w:r>
        <w:t xml:space="preserve">Identifiability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comes from curvature in cumulative-hazard space: observed cumulative hazards are nonlinear in event time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 observed cumulative hazards naturally drive the fitted frailty variance toward zero;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 fitted frailty variance estimates approaching zero,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indicating minimal detectable depletion. This outcome is data-driven and reflects the absence of observable selection-induced curvature rather than a modeling assumption. When residual time-varying risk contaminates a nominally quiet window, fitted frailty variance estimates naturally shrink toward zero, signaling limited identifiability rather than inducing spurious correction.</w:t>
      </w:r>
    </w:p>
    <w:p>
      <w:pPr>
        <w:pStyle w:val="BodyText"/>
      </w:pPr>
      <w:r>
        <w:t xml:space="preserve">Parameters are estimated by constrained nonlinear least squares:</w:t>
      </w:r>
    </w:p>
    <w:bookmarkStart w:id="50" w:name="eq:nls-objective"/>
    <w:p>
      <w:pPr>
        <w:pStyle w:val="BodyText"/>
      </w:pPr>
      <w:pPr>
        <w:tabs>
          <w:tab w:val="center" w:leader="none" w:pos="4680"/>
          <w:tab w:val="right" w:leader="none" w:pos="9360"/>
        </w:tabs>
      </w:pPr>
      <w:r>
        <w:tab/>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sSub>
          <m:e>
            <m:r>
              <m:rPr>
                <m:sty m:val="p"/>
              </m:rPr>
              <m:t>min</m:t>
            </m:r>
          </m:e>
          <m:sub>
            <m:sSub>
              <m:e>
                <m:r>
                  <m:t>k</m:t>
                </m:r>
              </m:e>
              <m:sub>
                <m:r>
                  <m:t>d</m:t>
                </m:r>
              </m:sub>
            </m:sSub>
            <m:r>
              <m:rPr>
                <m:sty m:val="p"/>
              </m:rPr>
              <m:t>&gt;</m:t>
            </m:r>
            <m:r>
              <m:t>0</m:t>
            </m:r>
            <m:r>
              <m:rPr>
                <m:sty m:val="p"/>
              </m:rPr>
              <m:t>,</m:t>
            </m:r>
            <m:r>
              <m:t> </m:t>
            </m:r>
            <m:sSub>
              <m:e>
                <m:r>
                  <m:t>θ</m:t>
                </m:r>
              </m:e>
              <m:sub>
                <m:r>
                  <m:t>d</m:t>
                </m:r>
              </m:sub>
            </m:sSub>
            <m:r>
              <m:rPr>
                <m:sty m:val="p"/>
              </m:rPr>
              <m:t>≥</m:t>
            </m:r>
            <m:r>
              <m:t>0</m:t>
            </m:r>
          </m:sub>
        </m:sSub>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oMath>
      <w:r>
        <w:t xml:space="preserve"> </w:t>
      </w:r>
      <w:r>
        <w:tab/>
      </w:r>
      <w:r>
        <w:t xml:space="preserve"> </w:t>
      </w:r>
      <m:oMath>
        <m:r>
          <m:rPr>
            <m:sty m:val="p"/>
          </m:rPr>
          <m:t>(</m:t>
        </m:r>
        <m:r>
          <m:t>10</m:t>
        </m:r>
        <m:r>
          <m:rPr>
            <m:sty m:val="p"/>
          </m:rPr>
          <m:t>)</m:t>
        </m:r>
      </m:oMath>
    </w:p>
    <w:bookmarkEnd w:id="50"/>
    <w:p>
      <w:pPr>
        <w:pStyle w:val="BodyText"/>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 observed cumulative hazards 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52"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defaults are:</w:t>
      </w:r>
    </w:p>
    <w:p>
      <w:pPr>
        <w:pStyle w:val="Compact"/>
        <w:numPr>
          <w:ilvl w:val="0"/>
          <w:numId w:val="1013"/>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3"/>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3"/>
        </w:numPr>
      </w:pPr>
      <w:r>
        <w:rPr>
          <w:b/>
          <w:bCs/>
        </w:rPr>
        <w:t xml:space="preserve">Observed hazard transform used to build observed cumulative hazards 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bookmarkStart w:id="51" w:name="eq:hazard-from-mr-improved"/>
    <w:p>
      <w:pPr>
        <w:pStyle w:val="FirstParagraph"/>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oMath>
      <w:r>
        <w:t xml:space="preserve"> </w:t>
      </w:r>
      <w:r>
        <w:tab/>
      </w:r>
      <w:r>
        <w:t xml:space="preserve"> </w:t>
      </w:r>
      <m:oMath>
        <m:r>
          <m:rPr>
            <m:sty m:val="p"/>
          </m:rPr>
          <m:t>(</m:t>
        </m:r>
        <m:r>
          <m:t>11</m:t>
        </m:r>
        <m:r>
          <m:rPr>
            <m:sty m:val="p"/>
          </m:rPr>
          <m:t>)</m:t>
        </m:r>
      </m:oMath>
    </w:p>
    <w:bookmarkEnd w:id="51"/>
    <w:p>
      <w:pPr>
        <w:pStyle w:val="BodyText"/>
      </w:pPr>
      <w:r>
        <w:t xml:space="preserve">This form provides a second-order accurate approximation to the continuous-time hazard while remaining numerically stable for small mortality-rate (MR) values.</w:t>
      </w:r>
    </w:p>
    <w:p>
      <w:pPr>
        <w:pStyle w:val="Compact"/>
        <w:numPr>
          <w:ilvl w:val="0"/>
          <w:numId w:val="1014"/>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4"/>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2"/>
    <w:bookmarkEnd w:id="53"/>
    <w:bookmarkStart w:id="58"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bookmarkStart w:id="54" w:name="eq:normalized-cumhazard"/>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w:r>
        <w:t xml:space="preserve"> </w:t>
      </w:r>
      <w:r>
        <w:tab/>
      </w:r>
      <w:r>
        <w:t xml:space="preserve"> </w:t>
      </w:r>
      <m:oMath>
        <m:r>
          <m:rPr>
            <m:sty m:val="p"/>
          </m:rPr>
          <m:t>(</m:t>
        </m:r>
        <m:r>
          <m:t>12</m:t>
        </m:r>
        <m:r>
          <m:rPr>
            <m:sty m:val="p"/>
          </m:rPr>
          <m:t>)</m:t>
        </m:r>
      </m:oMath>
    </w:p>
    <w:bookmarkEnd w:id="54"/>
    <w:p>
      <w:pPr>
        <w:pStyle w:val="BodyText"/>
      </w:pPr>
      <w:r>
        <w:t xml:space="preserve">This normalization maps each cohort into a depletion-neutralized baseline-hazard space in which the contribution of gamma frailty parameters</w:t>
      </w:r>
      <w:r>
        <w:t xml:space="preserve"> </w:t>
      </w:r>
      <m:oMath>
        <m:r>
          <m:rPr>
            <m:sty m:val="p"/>
          </m:rPr>
          <m:t>(</m:t>
        </m:r>
        <m:sSub>
          <m:e>
            <m:acc>
              <m:accPr>
                <m:chr m:val="̂"/>
              </m:accPr>
              <m:e>
                <m:r>
                  <m:t>θ</m:t>
                </m:r>
              </m:e>
            </m:acc>
          </m:e>
          <m:sub>
            <m:r>
              <m:t>d</m:t>
            </m:r>
          </m:sub>
        </m:sSub>
        <m:r>
          <m:rPr>
            <m:sty m:val="p"/>
          </m:rPr>
          <m:t>,</m:t>
        </m:r>
        <m:sSub>
          <m:e>
            <m:acc>
              <m:accPr>
                <m:chr m:val="̂"/>
              </m:accPr>
              <m:e>
                <m:r>
                  <m:t>k</m:t>
                </m:r>
              </m:e>
            </m:acc>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p>
    <w:p>
      <w:pPr>
        <w:pStyle w:val="BodyText"/>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this mapping leaves the observed cumulative hazard essentially unchanged, whereas cohorts with measurable depletion undergo an upward correction.</w:t>
      </w:r>
    </w:p>
    <w:p>
      <w:pPr>
        <w:pStyle w:val="BodyText"/>
      </w:pPr>
      <w:r>
        <w:t xml:space="preserve">A depletion-neutralized baseline hazard may be recovered by differencing:</w:t>
      </w:r>
    </w:p>
    <w:bookmarkStart w:id="55" w:name="eq:normalized-hazard-diff"/>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oMath>
      <w:r>
        <w:t xml:space="preserve"> </w:t>
      </w:r>
      <w:r>
        <w:tab/>
      </w:r>
      <w:r>
        <w:t xml:space="preserve"> </w:t>
      </w:r>
      <m:oMath>
        <m:r>
          <m:rPr>
            <m:sty m:val="p"/>
          </m:rPr>
          <m:t>(</m:t>
        </m:r>
        <m:r>
          <m:t>13</m:t>
        </m:r>
        <m:r>
          <m:rPr>
            <m:sty m:val="p"/>
          </m:rPr>
          <m:t>)</m:t>
        </m:r>
      </m:oMath>
    </w:p>
    <w:bookmarkEnd w:id="55"/>
    <w:p>
      <w:pPr>
        <w:pStyle w:val="BodyText"/>
      </w:pPr>
      <w:r>
        <w:t xml:space="preserve">The key object for KCOR is:</w:t>
      </w:r>
    </w:p>
    <w:p>
      <w:pPr>
        <w:pStyle w:val="BodyText"/>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oMath>
      </m:oMathPara>
    </w:p>
    <w:p>
      <w:pPr>
        <w:pStyle w:val="FirstParagraph"/>
      </w:pPr>
      <w:r>
        <w:t xml:space="preserve">Differenced hazards are optional diagnostics.</w:t>
      </w:r>
    </w:p>
    <w:p>
      <w:pPr>
        <w:pStyle w:val="BodyText"/>
      </w:pPr>
      <w:r>
        <w:t xml:space="preserve">Normalization is necessary but not sufficient. The depletion-neutralized baseline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depletion-neutralized baseline cumulative hazards are compared across cohorts via the KCOR estimator (§2.8). Because normalization operates in cumulative-hazard space and removes time-varying curvature rather than rescaling instantaneous hazards, applying Cox regression to depletion-neutralized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56"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56"/>
    <w:bookmarkStart w:id="57"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5"/>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 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5"/>
        </w:numPr>
      </w:pPr>
      <w:r>
        <w:rPr>
          <w:b/>
          <w:bCs/>
        </w:rPr>
        <w:t xml:space="preserve">Fit residual structure in cumulative-hazard space.</w:t>
      </w:r>
      <w:r>
        <w:t xml:space="preserve"> </w:t>
      </w:r>
      <w:r>
        <w:t xml:space="preserve">Define residuals over the fit set</w:t>
      </w:r>
      <w:r>
        <w:t xml:space="preserve"> </w:t>
      </w:r>
      <m:oMath>
        <m:sSub>
          <m:e>
            <m:r>
              <m:rPr>
                <m:scr m:val="script"/>
                <m:sty m:val="p"/>
              </m:rPr>
              <m:t>T</m:t>
            </m:r>
          </m:e>
          <m:sub>
            <m:r>
              <m:t>d</m:t>
            </m:r>
          </m:sub>
        </m:sSub>
      </m:oMath>
      <w:r>
        <w:t xml:space="preserve">:</w:t>
      </w:r>
    </w:p>
    <w:p>
      <w:pPr>
        <w:pStyle w:val="FirstParagraph"/>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FirstParagraph"/>
      </w:pPr>
      <w:r>
        <w:t xml:space="preserve">KCOR expects residuals to be small and not systematically time-structured. Strongly patterned residuals indicate that the curvature attributed to depletion is instead being driven by unmodeled time-varying hazards.</w:t>
      </w:r>
    </w:p>
    <w:p>
      <w:pPr>
        <w:pStyle w:val="Compact"/>
        <w:numPr>
          <w:ilvl w:val="0"/>
          <w:numId w:val="1016"/>
        </w:numPr>
      </w:pPr>
      <w:r>
        <w:rPr>
          <w:b/>
          <w:bCs/>
        </w:rPr>
        <w:t xml:space="preserve">Parameter stability to window perturbations.</w:t>
      </w:r>
      <w:r>
        <w:t xml:space="preserve"> </w:t>
      </w:r>
      <w:r>
        <w:t xml:space="preserve">Under valid quiet-window selection,</w:t>
      </w:r>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m:oMathPara>
    </w:p>
    <w:p>
      <w:pPr>
        <w:pStyle w:val="FirstParagraph"/>
      </w:pPr>
      <w:r>
        <w:t xml:space="preserve">should be stable to small perturbations of the quiet-window boundaries (e.g., ±4 weeks). Large changes in fitted frailty variance under small boundary shifts signal that the fitted curvature is sensitive to transient dynamics rather than stable depletion.</w:t>
      </w:r>
    </w:p>
    <w:p>
      <w:pPr>
        <w:pStyle w:val="Compact"/>
        <w:numPr>
          <w:ilvl w:val="0"/>
          <w:numId w:val="1017"/>
        </w:numPr>
      </w:pPr>
      <w:r>
        <w:rPr>
          <w:b/>
          <w:bCs/>
        </w:rPr>
        <w:t xml:space="preserve">Non-identifiability manifests as:</w:t>
      </w:r>
    </w:p>
    <w:p>
      <w:pPr>
        <w:pStyle w:val="FirstParagraph"/>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BodyText"/>
      </w:pPr>
      <w:r>
        <w:t xml:space="preserve">These diagnostics are reported alongside KCOR</w:t>
      </w:r>
      <m:oMath>
        <m:r>
          <m:rPr>
            <m:sty m:val="p"/>
          </m:rPr>
          <m:t>(</m:t>
        </m:r>
        <m:r>
          <m:t>t</m:t>
        </m:r>
        <m:r>
          <m:rPr>
            <m:sty m:val="p"/>
          </m:rPr>
          <m:t>)</m:t>
        </m:r>
      </m:oMath>
      <w:r>
        <w:t xml:space="preserve"> </w:t>
      </w:r>
      <w:r>
        <w:t xml:space="preserve">curves.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 Failure of these diagnostics indicates that the depletion-based normalization is inappropriate, in which case KCOR should not be interpreted.</w:t>
      </w:r>
    </w:p>
    <w:bookmarkEnd w:id="57"/>
    <w:bookmarkEnd w:id="58"/>
    <w:bookmarkStart w:id="60"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bookmarkStart w:id="59" w:name="eq:effective-hazard-skip"/>
    <w:p>
      <w:pPr>
        <w:pStyle w:val="BodyText"/>
      </w:pPr>
      <w:pPr>
        <w:tabs>
          <w:tab w:val="center" w:leader="none" w:pos="4680"/>
          <w:tab w:val="right" w:leader="none" w:pos="9360"/>
        </w:tabs>
      </w:pPr>
      <w:r>
        <w:tab/>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oMath>
      <w:r>
        <w:t xml:space="preserve"> </w:t>
      </w:r>
      <w:r>
        <w:tab/>
      </w:r>
      <w:r>
        <w:t xml:space="preserve"> </w:t>
      </w:r>
      <m:oMath>
        <m:r>
          <m:rPr>
            <m:sty m:val="p"/>
          </m:rPr>
          <m:t>(</m:t>
        </m:r>
        <m:r>
          <m:t>14</m:t>
        </m:r>
        <m:r>
          <m:rPr>
            <m:sty m:val="p"/>
          </m:rPr>
          <m:t>)</m:t>
        </m:r>
      </m:oMath>
    </w:p>
    <w:bookmarkEnd w:id="59"/>
    <w:p>
      <w:pPr>
        <w:pStyle w:val="BodyText"/>
      </w:pPr>
      <w:r>
        <w:t xml:space="preserve">Then compute observed cumulative hazards 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bookmarkEnd w:id="60"/>
    <w:bookmarkStart w:id="62"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bookmarkStart w:id="61" w:name="eq:kcor-estimator"/>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15</m:t>
        </m:r>
        <m:r>
          <m:rPr>
            <m:sty m:val="p"/>
          </m:rPr>
          <m:t>)</m:t>
        </m:r>
      </m:oMath>
    </w:p>
    <w:bookmarkEnd w:id="61"/>
    <w:p>
      <w:pPr>
        <w:pStyle w:val="BodyText"/>
      </w:pPr>
      <w:r>
        <w:t xml:space="preserve">This is a cumulative comparison in hazard space after removing cohort-specific selection-induced depletion dynamics estimated during quiet periods.</w:t>
      </w:r>
    </w:p>
    <w:bookmarkEnd w:id="62"/>
    <w:bookmarkStart w:id="64"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18"/>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18"/>
        </w:numPr>
      </w:pPr>
      <w:r>
        <w:rPr>
          <w:b/>
          <w:bCs/>
        </w:rPr>
        <w:t xml:space="preserve">Stratified bootstrap resampling</w:t>
      </w:r>
      <w:r>
        <w:t xml:space="preserve"> </w:t>
      </w:r>
      <w:r>
        <w:t xml:space="preserve">to capture uncertainty from event realization and from estimation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and the resulting normalization.</w:t>
      </w:r>
    </w:p>
    <w:bookmarkStart w:id="63" w:name="stratified-bootstrap-procedure"/>
    <w:p>
      <w:pPr>
        <w:pStyle w:val="Heading4"/>
      </w:pPr>
      <w:r>
        <w:t xml:space="preserve">2.9.1 Stratified bootstrap procedure</w:t>
      </w:r>
    </w:p>
    <w:p>
      <w:pPr>
        <w:pStyle w:val="FirstParagraph"/>
      </w:pPr>
      <w:r>
        <w:t xml:space="preserve">The stratified bootstrap procedure for KCOR proceeds as follows:</w:t>
      </w:r>
    </w:p>
    <w:p>
      <w:pPr>
        <w:numPr>
          <w:ilvl w:val="0"/>
          <w:numId w:val="1019"/>
        </w:numPr>
      </w:pPr>
      <w:r>
        <w:rPr>
          <w:b/>
          <w:bCs/>
        </w:rPr>
        <w:t xml:space="preserve">Resample individuals (or counts).</w:t>
      </w:r>
      <w:r>
        <w:t xml:space="preserve"> </w:t>
      </w:r>
      <w:r>
        <w:t xml:space="preserve">Within each cohort and stratum (e.g., age group), resample individuals with replacement, preserving the original cohort and stratum structure. Alternatively, for aggregated data, resample event counts and risk-set sizes within each time bin and stratum.</w:t>
      </w:r>
    </w:p>
    <w:p>
      <w:pPr>
        <w:numPr>
          <w:ilvl w:val="0"/>
          <w:numId w:val="1019"/>
        </w:numPr>
      </w:pPr>
      <w:r>
        <w:rPr>
          <w:b/>
          <w:bCs/>
        </w:rPr>
        <w:t xml:space="preserve">Re-estimate frailty parameters.</w:t>
      </w:r>
      <w:r>
        <w:t xml:space="preserve"> </w:t>
      </w:r>
      <w:r>
        <w:t xml:space="preserve">For each bootstrap replicate, re-estimate</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the resampled data, applying the same quiet-window selection and fitting procedure as in the primary analysis.</w:t>
      </w:r>
    </w:p>
    <w:p>
      <w:pPr>
        <w:numPr>
          <w:ilvl w:val="0"/>
          <w:numId w:val="1019"/>
        </w:numPr>
      </w:pPr>
      <w:r>
        <w:rPr>
          <w:b/>
          <w:bCs/>
        </w:rPr>
        <w:t xml:space="preserve">Recompute normalized cumulative hazards.</w:t>
      </w:r>
      <w:r>
        <w:t xml:space="preserve"> </w:t>
      </w:r>
      <w:r>
        <w:t xml:space="preserve">Using the bootstrap-estimated frailty parameters, recompute</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each cohort via the gamma-frailty inversion applied to the resampled observed cumulative hazards.</w:t>
      </w:r>
    </w:p>
    <w:p>
      <w:pPr>
        <w:numPr>
          <w:ilvl w:val="0"/>
          <w:numId w:val="1019"/>
        </w:numPr>
      </w:pPr>
      <w:r>
        <w:rPr>
          <w:b/>
          <w:bCs/>
        </w:rPr>
        <w:t xml:space="preserve">Recompute KCOR.</w:t>
      </w:r>
      <w:r>
        <w:t xml:space="preserve"> </w:t>
      </w:r>
      <w:r>
        <w:t xml:space="preserve">Compute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for each bootstrap replicate as the ratio of the bootstrap-normalized cumulative hazards.</w:t>
      </w:r>
    </w:p>
    <w:p>
      <w:pPr>
        <w:numPr>
          <w:ilvl w:val="0"/>
          <w:numId w:val="1019"/>
        </w:numPr>
      </w:pPr>
      <w:r>
        <w:rPr>
          <w:b/>
          <w:bCs/>
        </w:rPr>
        <w:t xml:space="preserve">Form percentile intervals.</w:t>
      </w:r>
      <w:r>
        <w:t xml:space="preserve"> </w:t>
      </w:r>
      <w:r>
        <w:t xml:space="preserve">From the bootstrap distribution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at each time point, form percentile-based confidence intervals (e.g., 2.5th and 97.5th percentiles for 95% intervals).</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3"/>
    <w:bookmarkEnd w:id="64"/>
    <w:bookmarkStart w:id="70"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65" w:name="tbl:KCOR_algorithm"/>
    <w:p>
      <w:pPr>
        <w:pStyle w:val="TableCaption"/>
      </w:pPr>
      <w:r>
        <w:t xml:space="preserve">Table 5. Step-by-step KCOR algorithm (high-level), with recommended prespecification and diagnostics.</w:t>
      </w:r>
    </w:p>
    <w:tbl>
      <w:tblPr>
        <w:tblStyle w:val="Table"/>
        <w:tblW w:type="pct" w:w="5000"/>
        <w:tblLayout w:type="fixed"/>
        <w:tblLook w:firstRow="1" w:lastRow="0" w:firstColumn="0" w:lastColumn="0" w:noHBand="0" w:noVBand="0" w:val="0020"/>
        <w:tblCaption w:val="Table 5. Step-by-step KCOR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 (observed hazards)</w:t>
            </w:r>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 observed cumulative hazards</w:t>
            </w:r>
          </w:p>
        </w:tc>
        <w:tc>
          <w:tcPr/>
          <w:p>
            <w:pPr>
              <w:pStyle w:val="Compact"/>
            </w:pPr>
            <w:r>
              <w:t xml:space="preserve">Observed cumulative hazards</w:t>
            </w:r>
          </w:p>
        </w:tc>
        <w:tc>
          <w:tcPr/>
          <w:p>
            <w:pPr>
              <w:pStyle w:val="Compact"/>
            </w:pPr>
            <w:r>
              <w:t xml:space="preserve">Yes (skip rule)</w:t>
            </w:r>
          </w:p>
        </w:tc>
        <w:tc>
          <w:tcPr/>
          <w:p>
            <w:pPr>
              <w:pStyle w:val="Compact"/>
            </w:pPr>
            <w:r>
              <w:t xml:space="preserve">Plot observed cumulative hazards</w:t>
            </w:r>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via cumulative-hazard least squares</w:t>
            </w:r>
          </w:p>
        </w:tc>
        <w:tc>
          <w:tcPr/>
          <w:p>
            <w:pPr>
              <w:pStyle w:val="Compact"/>
            </w:pPr>
            <w:r>
              <w:t xml:space="preserve">Fitted parameters</w:t>
            </w:r>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 depletion-neutralized cumulative hazards</w:t>
            </w:r>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65"/>
    <w:bookmarkStart w:id="69" w:name="fig:kcor_workflow"/>
    <w:p>
      <w:pPr>
        <w:pStyle w:val="CaptionedFigure"/>
      </w:pPr>
      <w:r>
        <w:drawing>
          <wp:inline>
            <wp:extent cx="5334000" cy="4161526"/>
            <wp:effectExtent b="0" l="0" r="0" t="0"/>
            <wp:docPr descr="Figure 1. KCOR as a two-stage framework. (A) Fixed-cohort cumulative hazards exhibit curvature due to selection-induced depletion; late-time curvature is used to estimate frailty parameters for normalization. (B) Gamma-frailty normalization yields approximately linearized cumulative hazards that are directly comparable across cohorts; \mathrm{KCOR}(t), defined as the ratio of depletion-neutralized baseline cumulative hazards, is near-flat under the null and deviates only under net hazard differences. In the schematic, \tilde{H}_{0,d}(t) denotes the depletion-neutralized baseline cumulative hazard." title="" id="67" name="Picture"/>
            <a:graphic>
              <a:graphicData uri="http://schemas.openxmlformats.org/drawingml/2006/picture">
                <pic:pic>
                  <pic:nvPicPr>
                    <pic:cNvPr descr="figures/fig_kcor_workflow.png" id="68" name="Picture"/>
                    <pic:cNvPicPr>
                      <a:picLocks noChangeArrowheads="1" noChangeAspect="1"/>
                    </pic:cNvPicPr>
                  </pic:nvPicPr>
                  <pic:blipFill>
                    <a:blip r:embed="rId66"/>
                    <a:stretch>
                      <a:fillRect/>
                    </a:stretch>
                  </pic:blipFill>
                  <pic:spPr bwMode="auto">
                    <a:xfrm>
                      <a:off x="0" y="0"/>
                      <a:ext cx="5334000" cy="4161526"/>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KCOR as a two-stage framework.</w:t>
      </w:r>
      <w:r>
        <w:t xml:space="preserve"> </w:t>
      </w:r>
      <w:r>
        <w:rPr>
          <w:b/>
          <w:bCs/>
        </w:rPr>
        <w:t xml:space="preserve">(A)</w:t>
      </w:r>
      <w:r>
        <w:t xml:space="preserve"> </w:t>
      </w:r>
      <w:r>
        <w:t xml:space="preserve">Fixed-cohort cumulative hazards exhibit curvature due to selection-induced depletion; late-time curvature is used to estimate frailty parameters for normalization.</w:t>
      </w:r>
      <w:r>
        <w:t xml:space="preserve"> </w:t>
      </w:r>
      <w:r>
        <w:rPr>
          <w:b/>
          <w:bCs/>
        </w:rPr>
        <w:t xml:space="preserve">(B)</w:t>
      </w:r>
      <w:r>
        <w:t xml:space="preserve"> </w:t>
      </w:r>
      <w:r>
        <w:t xml:space="preserve">Gamma-frailty normalization yields approximately linearized cumulative hazards that are directly comparable across cohorts;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defined as the ratio of depletion-neutralized baseline cumulative hazards, is near-flat under the null and deviates only under net hazard differences.</w:t>
      </w:r>
      <w:r>
        <w:t xml:space="preserve"> </w:t>
      </w:r>
      <w:r>
        <w:rPr>
          <w:i/>
          <w:iCs/>
        </w:rPr>
        <w:t xml:space="preserve">In the schematic,</w:t>
      </w:r>
      <w:r>
        <w:rPr>
          <w:i/>
          <w:iCs/>
        </w:rPr>
        <w:t xml:space="preserve"> </w:t>
      </w:r>
      <m:oMath>
        <m:sSub>
          <m:e>
            <m:acc>
              <m:accPr>
                <m:chr m:val="̃"/>
              </m:accPr>
              <m:e>
                <m:r>
                  <m:t>H</m:t>
                </m:r>
              </m:e>
            </m:acc>
          </m:e>
          <m:sub>
            <m:r>
              <m:t>0</m:t>
            </m:r>
            <m:r>
              <m:rPr>
                <m:sty m:val="p"/>
              </m:rPr>
              <m:t>,</m:t>
            </m:r>
            <m:r>
              <m:t>d</m:t>
            </m:r>
          </m:sub>
        </m:sSub>
        <m:r>
          <m:rPr>
            <m:sty m:val="p"/>
          </m:rPr>
          <m:t>(</m:t>
        </m:r>
        <m:r>
          <m:t>t</m:t>
        </m:r>
        <m:r>
          <m:rPr>
            <m:sty m:val="p"/>
          </m:rPr>
          <m:t>)</m:t>
        </m:r>
      </m:oMath>
      <w:r>
        <w:rPr>
          <w:i/>
          <w:iCs/>
        </w:rPr>
        <w:t xml:space="preserve"> </w:t>
      </w:r>
      <w:r>
        <w:rPr>
          <w:i/>
          <w:iCs/>
        </w:rPr>
        <w:t xml:space="preserve">denotes the depletion-neutralized baseline cumulative hazard.</w:t>
      </w:r>
    </w:p>
    <w:bookmarkEnd w:id="69"/>
    <w:bookmarkEnd w:id="70"/>
    <w:bookmarkStart w:id="82" w:name="relationship-to-cox-proportional-hazards"/>
    <w:p>
      <w:pPr>
        <w:pStyle w:val="Heading3"/>
      </w:pPr>
      <w:r>
        <w:t xml:space="preserve">2.11 Relationship to Cox proportional hazards</w:t>
      </w:r>
    </w:p>
    <w:p>
      <w:pPr>
        <w:pStyle w:val="FirstParagraph"/>
      </w:pPr>
      <w:r>
        <w:t xml:space="preserve">Cox proportional hazards models estimate an instantaneous hazard ratio under the assumption that hazards differ by a time-invariant multiplicative factor. Under selective uptake with latent frailty heterogeneity, this assumption is typically violated, yielding time-varying hazard ratios induced purely by depletion dynamics. Accordingly, Cox results are presented here only as a diagnostic demonstration of assumption failure, not as a competing causal estimator.</w:t>
      </w:r>
    </w:p>
    <w:p>
      <w:pPr>
        <w:pStyle w:val="BodyText"/>
      </w:pPr>
      <w:r>
        <w:t xml:space="preserve">Cox regression estimates a weighted average hazard ratio under non-proportional hazards; KCOR targets a cumulative hazard estimand. Even when Cox models are extended with shared frailty to accommodate heterogeneity, they continue to estimate instantaneous hazard ratios conditional on survival, whereas KCOR estimates cumulative contrasts after explicit depletion normalization.</w:t>
      </w:r>
    </w:p>
    <w:p>
      <w:pPr>
        <w:pStyle w:val="BodyText"/>
      </w:pPr>
      <w:r>
        <w:t xml:space="preserve">Conceptually, Cox regression estimates a treatment effect by fitting a hazard model to the observed data and reading the effect from the fitted coefficients, whereas KCOR uses a parametric model only to normalize the observed data for selection-induced depletion and then computes cohort contrasts directly from the depletion-neutralized baseline cumulative hazards themselves.</w:t>
      </w:r>
    </w:p>
    <w:bookmarkStart w:id="80" w:name="X3af45993d90b0829bcc5fa36f447ebd1f6c3bc8"/>
    <w:p>
      <w:pPr>
        <w:pStyle w:val="Heading4"/>
      </w:pPr>
      <w:r>
        <w:t xml:space="preserve">2.11.1 Demonstration: Cox bias under frailty heterogeneity with no treatment effect</w:t>
      </w:r>
    </w:p>
    <w:p>
      <w:pPr>
        <w:pStyle w:val="FirstParagraph"/>
      </w:pPr>
      <w:r>
        <w:t xml:space="preserve">We conducted a controlled synthetic experiment in which the</w:t>
      </w:r>
      <w:r>
        <w:t xml:space="preserve"> </w:t>
      </w:r>
      <w:r>
        <w:rPr>
          <w:b/>
          <w:bCs/>
        </w:rPr>
        <w:t xml:space="preserve">true causal effect is known to be zero by construction</w:t>
      </w:r>
      <w:r>
        <w:t xml:space="preserve">, isolating latent frailty heterogeneity as the sole driver of depletion-induced non-proportional hazards. Cox and KCOR were applied to the same simulated datasets under identical information constraints.</w:t>
      </w:r>
    </w:p>
    <w:p>
      <w:pPr>
        <w:pStyle w:val="BodyText"/>
      </w:pPr>
      <w:r>
        <w:rPr>
          <w:b/>
          <w:bCs/>
        </w:rPr>
        <w:t xml:space="preserve">Data-generating process.</w:t>
      </w:r>
    </w:p>
    <w:p>
      <w:pPr>
        <w:pStyle w:val="BodyText"/>
      </w:pPr>
      <w:r>
        <w:t xml:space="preserve">Two cohorts of equal size were simulated under the same baseline hazard</w:t>
      </w:r>
      <w:r>
        <w:t xml:space="preserve"> </w:t>
      </w:r>
      <m:oMath>
        <m:sSub>
          <m:e>
            <m:r>
              <m:t>h</m:t>
            </m:r>
          </m:e>
          <m:sub>
            <m:r>
              <m:t>0</m:t>
            </m:r>
          </m:sub>
        </m:sSub>
        <m:r>
          <m:rPr>
            <m:sty m:val="p"/>
          </m:rPr>
          <m:t>(</m:t>
        </m:r>
        <m:r>
          <m:t>t</m:t>
        </m:r>
        <m:r>
          <m:rPr>
            <m:sty m:val="p"/>
          </m:rPr>
          <m:t>)</m:t>
        </m:r>
      </m:oMath>
      <w:r>
        <w:t xml:space="preserve"> </w:t>
      </w:r>
      <w:r>
        <w:t xml:space="preserve">over time (constant or Gompertz). Individual hazards were generated as</w:t>
      </w:r>
      <w:r>
        <w:t xml:space="preserve"> </w:t>
      </w:r>
      <m:oMath>
        <m:r>
          <m:t>z</m:t>
        </m:r>
        <m:r>
          <m:t> </m:t>
        </m:r>
        <m:sSub>
          <m:e>
            <m:r>
              <m:t>h</m:t>
            </m:r>
          </m:e>
          <m:sub>
            <m:r>
              <m:t>0</m:t>
            </m:r>
          </m:sub>
        </m:sSub>
        <m:r>
          <m:rPr>
            <m:sty m:val="p"/>
          </m:rPr>
          <m:t>(</m:t>
        </m:r>
        <m:r>
          <m:t>t</m:t>
        </m:r>
        <m:r>
          <m:rPr>
            <m:sty m:val="p"/>
          </m:rPr>
          <m:t>)</m:t>
        </m:r>
      </m:oMath>
      <w:r>
        <w:t xml:space="preserve">, with frailty</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 were estimated nonparametrically using the Nelson–Aalen estimator, then mapped to depletion-neutralized baseline cumulative hazards via the gamma-frailty inversion prior to computing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Although the data-generating process specifies individual hazards, cumulative hazards were estimated from simulated event-time data using Nelson–Aalen to mirror the information available in observational registry studies, rather than exploiting simulator-only knowledge. Frailty parameters were estimated during a prespecified quiet window, followed by cumulative-hazard normalization and computation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Post-normalization slope and asymptotic</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20"/>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20"/>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The direction and magnitude of the apparent effect depended on the follow-up horizon and degree of frailty heterogeneity. In contrast,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while KCOR correctly returns a null result under the same conditions.</w:t>
      </w:r>
    </w:p>
    <w:bookmarkStart w:id="71" w:name="tbl:cox_bias_demo"/>
    <w:p>
      <w:pPr>
        <w:pStyle w:val="TableCaption"/>
      </w:pPr>
      <w:r>
        <w:t xml:space="preserve">Table 6. Cox vs KCOR under a synthetic null with increasing frailty heterogeneity. Two cohorts are simulated with identical baseline hazards and no treatment effect</w:t>
      </w:r>
      <w:r>
        <w:t xml:space="preserve"> </w:t>
      </w:r>
      <w:r>
        <w:rPr>
          <w:i/>
          <w:iCs/>
        </w:rPr>
        <w:t xml:space="preserve">(null by construction)</w:t>
      </w:r>
      <w:r>
        <w:t xml:space="preserve">;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6. Cox vs KCOR under a synthetic null with increasing frailty heterogeneity. Two cohorts are simulated with identical baseline hazards and no treatment effect (null by construction); cohorts differ only in gamma frailty variance (\theta). Despite the true hazard ratio being 1 by construction, Cox regression produces increasingly non-null hazard ratios as \theta increases, reflecting depletion-induced non-proportional hazards. \mathrm{KCOR}(t) remains centered near unity with negligible post-normalization slope across \theta values. (Exact values depend on simulation seed and follow-up horizon.)"/>
      </w:tblPr>
      <w:tblGrid>
        <w:gridCol w:w="2545"/>
        <w:gridCol w:w="565"/>
        <w:gridCol w:w="565"/>
        <w:gridCol w:w="1037"/>
        <w:gridCol w:w="1320"/>
        <w:gridCol w:w="1885"/>
      </w:tblGrid>
      <w:tr>
        <w:trPr>
          <w:tblHeader w:val="on"/>
        </w:trPr>
        <w:tc>
          <w:tcPr/>
          <w:p>
            <w:pPr>
              <w:pStyle w:val="Compact"/>
              <w:jc w:val="right"/>
            </w:pPr>
            <w:r>
              <w:t xml:space="preserve">Frailty variance (</w:t>
            </w:r>
            <m:oMath>
              <m:r>
                <m:t>θ</m:t>
              </m:r>
            </m:oMath>
            <w:r>
              <w:t xml:space="preserve">)</w:t>
            </w:r>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71"/>
    <w:bookmarkStart w:id="75" w:name="fig:cox_bias_hr"/>
    <w:p>
      <w:pPr>
        <w:pStyle w:val="CaptionedFigure"/>
      </w:pPr>
      <w:r>
        <w:drawing>
          <wp:inline>
            <wp:extent cx="5334000" cy="3975680"/>
            <wp:effectExtent b="0" l="0" r="0" t="0"/>
            <wp:docPr descr="Figure 2.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73" name="Picture"/>
            <a:graphic>
              <a:graphicData uri="http://schemas.openxmlformats.org/drawingml/2006/picture">
                <pic:pic>
                  <pic:nvPicPr>
                    <pic:cNvPr descr="figures/fig_cox_bias_hr_vs_theta.png" id="74" name="Picture"/>
                    <pic:cNvPicPr>
                      <a:picLocks noChangeArrowheads="1" noChangeAspect="1"/>
                    </pic:cNvPicPr>
                  </pic:nvPicPr>
                  <pic:blipFill>
                    <a:blip r:embed="rId72"/>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2.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75"/>
    <w:bookmarkStart w:id="79" w:name="fig:cox_bias_kcor"/>
    <w:p>
      <w:pPr>
        <w:pStyle w:val="CaptionedFigure"/>
      </w:pPr>
      <w:r>
        <w:drawing>
          <wp:inline>
            <wp:extent cx="5334000" cy="3975680"/>
            <wp:effectExtent b="0" l="0" r="0" t="0"/>
            <wp:docPr descr="Figure 3. \mathrm{KCOR}(t) remains null under a synthetic null across increasing frailty heterogeneity. \mathrm{KCOR}(t) asymptotes remain near 1 across \theta in the same simulations, consistent with correct null behavior after depletion normalization. Uncertainty bands (95% bootstrap intervals) are shown but are narrow due to large sample sizes." title="" id="77" name="Picture"/>
            <a:graphic>
              <a:graphicData uri="http://schemas.openxmlformats.org/drawingml/2006/picture">
                <pic:pic>
                  <pic:nvPicPr>
                    <pic:cNvPr descr="figures/fig_cox_bias_kcor_vs_theta.png" id="78" name="Picture"/>
                    <pic:cNvPicPr>
                      <a:picLocks noChangeArrowheads="1" noChangeAspect="1"/>
                    </pic:cNvPicPr>
                  </pic:nvPicPr>
                  <pic:blipFill>
                    <a:blip r:embed="rId76"/>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null under a synthetic null across increasing frailty heterogeneity.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asymptotes remain near 1 across</w:t>
      </w:r>
      <w:r>
        <w:t xml:space="preserve"> </w:t>
      </w:r>
      <m:oMath>
        <m:r>
          <m:t>θ</m:t>
        </m:r>
      </m:oMath>
      <w:r>
        <w:t xml:space="preserve"> </w:t>
      </w:r>
      <w:r>
        <w:t xml:space="preserve">in the same simulations, consistent with correct null behavior after depletion normalization. Uncertainty bands (95% bootstrap intervals) are shown but are narrow due to large sample sizes.</w:t>
      </w:r>
    </w:p>
    <w:bookmarkEnd w:id="79"/>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KCOR, by explicitly normalizing depletion geometry in cumulative-hazard space, correctly returns a null result under the same conditions,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p>
      <w:pPr>
        <w:pStyle w:val="BodyText"/>
      </w:pPr>
      <w:r>
        <w:t xml:space="preserve">This synthetic null isolates depletion-driven non-proportionality as a sufficient cause of strongly non-null Cox estimates, motivating cumulative-hazard–based normalization when selection-induced curvature is present.</w:t>
      </w:r>
    </w:p>
    <w:bookmarkEnd w:id="80"/>
    <w:bookmarkStart w:id="81"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head-to-head empirical comparison across all model families is beyond scope of this methods manuscript; however, we explicitly contrast estimands, assumptions, and failure modes in §1.5 and we provide controlled demonstrations (including a synthetic null) showing that Cox-type estimators can return strongly non-null hazard ratios under frailty-driven depletion with no treatment effect, whereas KCOR remains near-null under the same conditions. This is the specific geometry KCOR targets: depletion-induced non-proportionality in cumulative-hazard space.</w:t>
      </w:r>
    </w:p>
    <w:bookmarkEnd w:id="81"/>
    <w:bookmarkEnd w:id="82"/>
    <w:bookmarkStart w:id="83" w:name="worked-example-descriptive"/>
    <w:p>
      <w:pPr>
        <w:pStyle w:val="Heading3"/>
      </w:pPr>
      <w:r>
        <w:t xml:space="preserve">2.12 Worked example (descriptive)</w:t>
      </w:r>
    </w:p>
    <w:p>
      <w:pPr>
        <w:pStyle w:val="FirstParagraph"/>
      </w:pPr>
      <w:r>
        <w:t xml:space="preserve">We include a brief worked example to illustrate the KCOR workflow end-to-end. This example is descriptive and intended solely to demonstrate the mechanics of cohort construction, hazard estimation, frailty fitting, depletion normalization, and KCOR computation, without supporting causal interpretation.</w:t>
      </w:r>
    </w:p>
    <w:p>
      <w:pPr>
        <w:pStyle w:val="BodyText"/>
      </w:pPr>
      <w:r>
        <w:t xml:space="preserve">The example proceeds from aggregated cohort counts through cumulative-hazard estimation, quiet-window frailty fitting, gamma inversion,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construction, accompanied by diagnostic plots assessing post-normalization linearity and parameter stability.</w:t>
      </w:r>
    </w:p>
    <w:bookmarkEnd w:id="83"/>
    <w:bookmarkStart w:id="84" w:name="reproducibility"/>
    <w:p>
      <w:pPr>
        <w:pStyle w:val="Heading3"/>
      </w:pPr>
      <w:r>
        <w:t xml:space="preserve">2.13 Reproducibility</w:t>
      </w:r>
    </w:p>
    <w:p>
      <w:pPr>
        <w:pStyle w:val="FirstParagraph"/>
      </w:pPr>
      <w:r>
        <w:t xml:space="preserve">All figures, tables, and simulations in this manuscript can be reproduced from the accompanying code repository. The repository includes scripts to regenerate simulations, figures, and tables using fixed random seeds, together with documentation of software versions and runtime requirements. Commands and execution order are provided in the repository README.</w:t>
      </w:r>
    </w:p>
    <w:bookmarkEnd w:id="84"/>
    <w:bookmarkStart w:id="85" w:name="Xa0be048657ba0efd1a2331f2daf077c6c3d64f9"/>
    <w:p>
      <w:pPr>
        <w:pStyle w:val="Heading3"/>
      </w:pPr>
      <w:r>
        <w:t xml:space="preserve">2.14 Computational implementation and reproducibility</w:t>
      </w:r>
    </w:p>
    <w:p>
      <w:pPr>
        <w:pStyle w:val="FirstParagraph"/>
      </w:pPr>
      <w:r>
        <w:t xml:space="preserve">Analyses were implemented in Python and are fully reproducible from the public repository and archived release (see Code/Data Availability). The repository includes scripts to (i) generate synthetic cohorts and simulation grids, (ii) compute KCOR and comparator estimators, and (iii) regenerate all tables and figures in this manuscript.</w:t>
      </w:r>
    </w:p>
    <w:p>
      <w:pPr>
        <w:pStyle w:val="BodyText"/>
      </w:pPr>
      <w:r>
        <w:rPr>
          <w:b/>
          <w:bCs/>
        </w:rPr>
        <w:t xml:space="preserve">Environment.</w:t>
      </w:r>
      <w:r>
        <w:t xml:space="preserve"> </w:t>
      </w:r>
      <w:r>
        <w:t xml:space="preserve">Python 3.11; key dependencies include numpy, scipy, pandas, and lifelines (for Cox-model comparisons), with plotting via matplotlib.</w:t>
      </w:r>
    </w:p>
    <w:p>
      <w:pPr>
        <w:pStyle w:val="BodyText"/>
      </w:pPr>
      <w:r>
        <w:rPr>
          <w:b/>
          <w:bCs/>
        </w:rPr>
        <w:t xml:space="preserve">Compute requirements.</w:t>
      </w:r>
      <w:r>
        <w:t xml:space="preserve"> </w:t>
      </w:r>
      <w:r>
        <w:t xml:space="preserve">The full simulation grid reproduces in approximately 1 hour 26 minutes on a 20-core CPU with 128 GB RAM; smaller subsets reproduce in minutes.</w:t>
      </w:r>
    </w:p>
    <w:p>
      <w:pPr>
        <w:pStyle w:val="BodyText"/>
      </w:pPr>
      <w:r>
        <w:rPr>
          <w:b/>
          <w:bCs/>
        </w:rPr>
        <w:t xml:space="preserve">Reproduction.</w:t>
      </w:r>
      <w:r>
        <w:t xml:space="preserve"> </w:t>
      </w:r>
      <w:r>
        <w:t xml:space="preserve">Running</w:t>
      </w:r>
      <w:r>
        <w:t xml:space="preserve"> </w:t>
      </w:r>
      <w:r>
        <w:rPr>
          <w:rStyle w:val="VerbatimChar"/>
        </w:rPr>
        <w:t xml:space="preserve">make paper</w:t>
      </w:r>
      <w:r>
        <w:t xml:space="preserve"> </w:t>
      </w:r>
      <w:r>
        <w:t xml:space="preserve">(or the repository’s top-level build command) regenerates all artifacts from a clean checkout.</w:t>
      </w:r>
    </w:p>
    <w:bookmarkEnd w:id="85"/>
    <w:bookmarkEnd w:id="86"/>
    <w:bookmarkStart w:id="142"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21"/>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21"/>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bookmarkStart w:id="103" w:name="X250d2743dd947cd04209f9dc9cf02b545517230"/>
    <w:p>
      <w:pPr>
        <w:pStyle w:val="Heading3"/>
      </w:pPr>
      <w:r>
        <w:t xml:space="preserve">3.1 Negative controls: null under selection-induced curvature</w:t>
      </w:r>
    </w:p>
    <w:bookmarkStart w:id="92"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22"/>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22"/>
        </w:numPr>
      </w:pPr>
      <w:r>
        <w:t xml:space="preserve">Two cohorts have different frailty variance</w:t>
      </w:r>
      <w:r>
        <w:t xml:space="preserve"> </w:t>
      </w:r>
      <m:oMath>
        <m:r>
          <m:t>θ</m:t>
        </m:r>
      </m:oMath>
      <w:r>
        <w:t xml:space="preserve"> </w:t>
      </w:r>
      <w:r>
        <w:t xml:space="preserve">(or different selection rules), creating different cohort-level curvature in observed cohort hazards.</w:t>
      </w:r>
    </w:p>
    <w:p>
      <w:pPr>
        <w:pStyle w:val="Compact"/>
        <w:numPr>
          <w:ilvl w:val="0"/>
          <w:numId w:val="1022"/>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during quiet periods and applying gamma-frailty inversion, KCOR should remain approximately constant at 1 over follow-up.</w:t>
      </w:r>
    </w:p>
    <w:bookmarkStart w:id="91"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23"/>
        </w:numPr>
      </w:pPr>
      <w:r>
        <w:t xml:space="preserve">Time unit: weeks.</w:t>
      </w:r>
    </w:p>
    <w:p>
      <w:pPr>
        <w:pStyle w:val="Compact"/>
        <w:numPr>
          <w:ilvl w:val="0"/>
          <w:numId w:val="1023"/>
        </w:numPr>
      </w:pPr>
      <w:r>
        <w:t xml:space="preserve">Baseline hazard is constant during quiet periods; choose a baseline level</w:t>
      </w:r>
      <w:r>
        <w:t xml:space="preserve"> </w:t>
      </w:r>
      <m:oMath>
        <m:r>
          <m:t>k</m:t>
        </m:r>
      </m:oMath>
      <w:r>
        <w:t xml:space="preserve"> </w:t>
      </w:r>
      <w:r>
        <w:t xml:space="preserve">in the chosen time units.</w:t>
      </w:r>
    </w:p>
    <w:p>
      <w:pPr>
        <w:pStyle w:val="Compact"/>
        <w:numPr>
          <w:ilvl w:val="0"/>
          <w:numId w:val="1023"/>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23"/>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4 shows this construction.</w:t>
      </w:r>
    </w:p>
    <w:bookmarkStart w:id="90" w:name="fig:neg_control_synthetic"/>
    <w:p>
      <w:pPr>
        <w:pStyle w:val="CaptionedFigure"/>
      </w:pPr>
      <w:r>
        <w:drawing>
          <wp:inline>
            <wp:extent cx="5334000" cy="3852333"/>
            <wp:effectExtent b="0" l="0" r="0" t="0"/>
            <wp:docPr descr="Figure 4. Synthetic negative control under strong selection (different curvature) but no effect: \mathrm{KCOR}(t) remains flat at 1. Top panel shows cohort hazards with different frailty-mixture weights inducing different curvature. Bottom panel shows \mathrm{KCOR}(t) remaining near 1.0 after normalization, demonstrating successful depletion-neutralization under the null. Uncertainty bands (95% bootstrap intervals) are shown." title="" id="88" name="Picture"/>
            <a:graphic>
              <a:graphicData uri="http://schemas.openxmlformats.org/drawingml/2006/picture">
                <pic:pic>
                  <pic:nvPicPr>
                    <pic:cNvPr descr="figures/fig_neg_control_synthetic.png" id="89" name="Picture"/>
                    <pic:cNvPicPr>
                      <a:picLocks noChangeArrowheads="1" noChangeAspect="1"/>
                    </pic:cNvPicPr>
                  </pic:nvPicPr>
                  <pic:blipFill>
                    <a:blip r:embed="rId87"/>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4. Synthetic negative control under strong selection (different curvature) but no effect: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flat at 1. Top panel shows cohort hazards with different frailty-mixture weights inducing different curvature. Bottom panel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near 1.0 after normalization, demonstrating successful depletion-neutralization under the null. Uncertainty bands (95% bootstrap intervals) are shown.</w:t>
      </w:r>
    </w:p>
    <w:bookmarkEnd w:id="90"/>
    <w:bookmarkEnd w:id="91"/>
    <w:bookmarkEnd w:id="92"/>
    <w:bookmarkStart w:id="102"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are consistent with the estimator normalizing selection-induced depletion curvature without introducing spurious time trends or cumulative drift.</w:t>
      </w:r>
    </w:p>
    <w:p>
      <w:pPr>
        <w:pStyle w:val="BodyText"/>
      </w:pPr>
      <w:r>
        <w:t xml:space="preserve">For the empirical age-shift negative control (Figures 5 and 6),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96" w:name="fig:neg_control_10yr"/>
    <w:p>
      <w:pPr>
        <w:pStyle w:val="CaptionedFigure"/>
      </w:pPr>
      <w:r>
        <w:drawing>
          <wp:inline>
            <wp:extent cx="5334000" cy="2773680"/>
            <wp:effectExtent b="0" l="0" r="0" t="0"/>
            <wp:docPr descr="Figure 5. Empirical negative control with approximately 10-year age difference between cohorts. Despite large baseline mortality differences, \mathrm{KCOR}(t) remains near-flat at 1 over follow-up, consistent with a true null effect. Uncertainty bands (95% bootstrap intervals) are shown. Data source: Czech Republic mortality and vaccination dataset processed into KCOR_CMR aggregated format (negative-control construction; see Appendix B.2).12" title="" id="94" name="Picture"/>
            <a:graphic>
              <a:graphicData uri="http://schemas.openxmlformats.org/drawingml/2006/picture">
                <pic:pic>
                  <pic:nvPicPr>
                    <pic:cNvPr descr="figures/fig2_neg_control_10yr_age_diff.png" id="95" name="Picture"/>
                    <pic:cNvPicPr>
                      <a:picLocks noChangeArrowheads="1" noChangeAspect="1"/>
                    </pic:cNvPicPr>
                  </pic:nvPicPr>
                  <pic:blipFill>
                    <a:blip r:embed="rId93"/>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5. Empirical negative control with approximately 10-year age difference between cohorts. Despite large baseline mortality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over follow-up, consistent with a true null effect. Uncertainty bands (95% bootstrap intervals) are shown. Data source: Czech Republic mortality and vaccination dataset processed into KCOR_CMR aggregated format (negative-control construction; see Appendix B.2).</w:t>
      </w:r>
      <w:r>
        <w:rPr>
          <w:vertAlign w:val="superscript"/>
        </w:rPr>
        <w:t xml:space="preserve">12</w:t>
      </w:r>
    </w:p>
    <w:bookmarkEnd w:id="96"/>
    <w:bookmarkStart w:id="100" w:name="fig:neg_control_20yr"/>
    <w:p>
      <w:pPr>
        <w:pStyle w:val="CaptionedFigure"/>
      </w:pPr>
      <w:r>
        <w:drawing>
          <wp:inline>
            <wp:extent cx="5334000" cy="2810466"/>
            <wp:effectExtent b="0" l="0" r="0" t="0"/>
            <wp:docPr descr="Figure 6. Empirical negative control with approximately 20-year age difference between cohorts. Even under extreme composition differences, \mathrm{KCOR}(t) exhibits no systematic drift, demonstrating robustness to selection-induced curvature. Uncertainty bands (95% bootstrap intervals) are shown. Data source: Czech Republic mortality and vaccination dataset processed into KCOR_CMR aggregated format (negative-control construction; see Appendix B.2)." title="" id="98" name="Picture"/>
            <a:graphic>
              <a:graphicData uri="http://schemas.openxmlformats.org/drawingml/2006/picture">
                <pic:pic>
                  <pic:nvPicPr>
                    <pic:cNvPr descr="figures/fig3_neg_control_20yr_age_diff.png" id="99" name="Picture"/>
                    <pic:cNvPicPr>
                      <a:picLocks noChangeArrowheads="1" noChangeAspect="1"/>
                    </pic:cNvPicPr>
                  </pic:nvPicPr>
                  <pic:blipFill>
                    <a:blip r:embed="rId97"/>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6. Empirical negative control with approximately 20-year age difference between cohorts. Even under extreme composition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exhibits no systematic drift, demonstrating robustness to selection-induced curvature. Uncertainty bands (95% bootstrap intervals) are shown. Data source: Czech Republic mortality and vaccination dataset processed into KCOR_CMR aggregated format (negative-control construction; see Appendix B.2).</w:t>
      </w:r>
    </w:p>
    <w:bookmarkEnd w:id="100"/>
    <w:p>
      <w:pPr>
        <w:pStyle w:val="BodyText"/>
      </w:pPr>
      <w:r>
        <w:t xml:space="preserve">Table 7 provides numeric summaries.</w:t>
      </w:r>
    </w:p>
    <w:bookmarkStart w:id="101" w:name="tbl:neg_control_summary"/>
    <w:p>
      <w:pPr>
        <w:pStyle w:val="TableCaption"/>
      </w:pPr>
      <w:r>
        <w:t xml:space="preserve">Table 7. Example end-of-window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7. Example end-of-window \mathrm{KCOR}(t)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01"/>
    <w:bookmarkEnd w:id="102"/>
    <w:bookmarkEnd w:id="103"/>
    <w:bookmarkStart w:id="110"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bookmarkStart w:id="104" w:name="eq:pos-control-injection"/>
    <w:p>
      <w:pPr>
        <w:pStyle w:val="BodyText"/>
      </w:pPr>
      <w:pPr>
        <w:tabs>
          <w:tab w:val="center" w:leader="none" w:pos="4680"/>
          <w:tab w:val="right" w:leader="none" w:pos="9360"/>
        </w:tabs>
      </w:pPr>
      <w:r>
        <w:tab/>
      </w:r>
      <w:r>
        <w:t xml:space="preserve"> </w:t>
      </w: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oMath>
      <w:r>
        <w:t xml:space="preserve"> </w:t>
      </w:r>
      <w:r>
        <w:tab/>
      </w:r>
      <w:r>
        <w:t xml:space="preserve"> </w:t>
      </w:r>
      <m:oMath>
        <m:r>
          <m:rPr>
            <m:sty m:val="p"/>
          </m:rPr>
          <m:t>(</m:t>
        </m:r>
        <m:r>
          <m:t>16</m:t>
        </m:r>
        <m:r>
          <m:rPr>
            <m:sty m:val="p"/>
          </m:rPr>
          <m:t>)</m:t>
        </m:r>
      </m:oMath>
    </w:p>
    <w:bookmarkEnd w:id="104"/>
    <w:p>
      <w:pPr>
        <w:pStyle w:val="BodyText"/>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7 and Table 8 confirm this behavior.</w:t>
      </w:r>
    </w:p>
    <w:bookmarkStart w:id="108" w:name="fig:pos_control_injected"/>
    <w:p>
      <w:pPr>
        <w:pStyle w:val="CaptionedFigure"/>
      </w:pPr>
      <w:r>
        <w:drawing>
          <wp:inline>
            <wp:extent cx="5334000" cy="4253184"/>
            <wp:effectExtent b="0" l="0" r="0" t="0"/>
            <wp:docPr descr="Figure 7. Positive control validation: KCOR correctly detects injected effects. Left panels show harm scenario (r=1.2), right panels show benefit scenario (r=0.8). Top row displays cohort hazard curves with effect window shaded. Bottom row shows \mathrm{KCOR}(t) deviating from 1.0 in the expected direction during the effect window. Uncertainty bands (95% bootstrap intervals) are shown." title="" id="106" name="Picture"/>
            <a:graphic>
              <a:graphicData uri="http://schemas.openxmlformats.org/drawingml/2006/picture">
                <pic:pic>
                  <pic:nvPicPr>
                    <pic:cNvPr descr="figures/fig_pos_control_injected.png" id="107" name="Picture"/>
                    <pic:cNvPicPr>
                      <a:picLocks noChangeArrowheads="1" noChangeAspect="1"/>
                    </pic:cNvPicPr>
                  </pic:nvPicPr>
                  <pic:blipFill>
                    <a:blip r:embed="rId105"/>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7. Positive control validation: KCOR correctly detects injected effects. Left panels show harm scenario (r=1.2), right panels show benefit scenario (r=0.8). Top row displays cohort hazard curves with effect window shaded. Bottom row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deviating from 1.0 in the expected direction during the effect window. Uncertainty bands (95% bootstrap intervals) are shown.</w:t>
      </w:r>
    </w:p>
    <w:bookmarkEnd w:id="108"/>
    <w:bookmarkStart w:id="109" w:name="tbl:pos_control_summary"/>
    <w:p>
      <w:pPr>
        <w:pStyle w:val="TableCaption"/>
      </w:pPr>
      <w:r>
        <w:t xml:space="preserve">Table 8.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8.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09"/>
    <w:bookmarkEnd w:id="110"/>
    <w:bookmarkStart w:id="116"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24"/>
        </w:numPr>
      </w:pPr>
      <w:r>
        <w:t xml:space="preserve">Quiet-window selection (calendar ISO-week bounds)</w:t>
      </w:r>
    </w:p>
    <w:p>
      <w:pPr>
        <w:pStyle w:val="Compact"/>
        <w:numPr>
          <w:ilvl w:val="0"/>
          <w:numId w:val="1024"/>
        </w:numPr>
      </w:pPr>
      <w:r>
        <w:t xml:space="preserve">Stabilization skip (early-bin handling)</w:t>
      </w:r>
    </w:p>
    <w:p>
      <w:pPr>
        <w:pStyle w:val="Compact"/>
        <w:numPr>
          <w:ilvl w:val="0"/>
          <w:numId w:val="1024"/>
        </w:numPr>
      </w:pPr>
      <w:r>
        <w:t xml:space="preserve">Time-binning resolution</w:t>
      </w:r>
    </w:p>
    <w:p>
      <w:pPr>
        <w:pStyle w:val="Compact"/>
        <w:numPr>
          <w:ilvl w:val="0"/>
          <w:numId w:val="1024"/>
        </w:numPr>
      </w:pPr>
      <w:r>
        <w:t xml:space="preserve">Age stratification and/or stratified analyses where appropriate</w:t>
      </w:r>
    </w:p>
    <w:p>
      <w:pPr>
        <w:pStyle w:val="Compact"/>
        <w:numPr>
          <w:ilvl w:val="0"/>
          <w:numId w:val="1024"/>
        </w:numPr>
      </w:pPr>
      <w:r>
        <w:t xml:space="preserve">Baseline shape choice (default constant baseline over the fit window; alternatives can be assessed as sensitivity)</w:t>
      </w:r>
    </w:p>
    <w:p>
      <w:pPr>
        <w:pStyle w:val="FirstParagraph"/>
      </w:pPr>
      <w:r>
        <w:t xml:space="preserve">Figure 8 summarizes KCOR stability across the parameter grid.</w:t>
      </w:r>
    </w:p>
    <w:bookmarkStart w:id="114" w:name="fig:sensitivity_overview"/>
    <w:p>
      <w:pPr>
        <w:pStyle w:val="CaptionedFigure"/>
      </w:pPr>
      <w:r>
        <w:drawing>
          <wp:inline>
            <wp:extent cx="5334000" cy="1571483"/>
            <wp:effectExtent b="0" l="0" r="0" t="0"/>
            <wp:docPr descr="Figure 8. Sensitivity analysis summary showing \mathrm{KCOR}(t) values across parameter grid. Heatmaps display \mathrm{KCOR}(t) estimates for different combinations of baseline weeks (rows) and quiet-window start offsets (columns). Across all comparisons, \mathrm{KCOR}(t) 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 title="" id="112" name="Picture"/>
            <a:graphic>
              <a:graphicData uri="http://schemas.openxmlformats.org/drawingml/2006/picture">
                <pic:pic>
                  <pic:nvPicPr>
                    <pic:cNvPr descr="figures/fig_sensitivity_overview.png" id="113" name="Picture"/>
                    <pic:cNvPicPr>
                      <a:picLocks noChangeArrowheads="1" noChangeAspect="1"/>
                    </pic:cNvPicPr>
                  </pic:nvPicPr>
                  <pic:blipFill>
                    <a:blip r:embed="rId111"/>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8. Sensitivity analysis summary showing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across parameter grid. Heatmaps display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estimates for different combinations of baseline weeks (rows) and quiet-window start offsets (columns). Across all comparisons,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w:t>
      </w:r>
    </w:p>
    <w:bookmarkEnd w:id="114"/>
    <w:p>
      <w:pPr>
        <w:pStyle w:val="BodyText"/>
      </w:pPr>
      <w:r>
        <w:t xml:space="preserve">Across all tested parameter ranges,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remained within approximately ±5% of unity, indicating stability under reasonable variations in fitting choices.</w:t>
      </w:r>
    </w:p>
    <w:bookmarkStart w:id="115" w:name="frailty-misspecification-robustness"/>
    <w:p>
      <w:pPr>
        <w:pStyle w:val="Heading4"/>
      </w:pPr>
      <w:r>
        <w:t xml:space="preserve">3.3.1 Frailty misspecification robustness</w:t>
      </w:r>
    </w:p>
    <w:p>
      <w:pPr>
        <w:pStyle w:val="FirstParagraph"/>
      </w:pPr>
      <w:r>
        <w:t xml:space="preserve">To assess robustness to departures from the gamma frailty assumption, we conducted simulations under alternative frailty distributions while maintaining the same selection-induced depletion geometry. Simulations were performed for:</w:t>
      </w:r>
    </w:p>
    <w:p>
      <w:pPr>
        <w:pStyle w:val="Compact"/>
        <w:numPr>
          <w:ilvl w:val="0"/>
          <w:numId w:val="1025"/>
        </w:numPr>
      </w:pPr>
      <w:r>
        <w:rPr>
          <w:b/>
          <w:bCs/>
        </w:rPr>
        <w:t xml:space="preserve">Gamma</w:t>
      </w:r>
      <w:r>
        <w:t xml:space="preserve"> </w:t>
      </w:r>
      <w:r>
        <w:t xml:space="preserve">(baseline reference)</w:t>
      </w:r>
    </w:p>
    <w:p>
      <w:pPr>
        <w:pStyle w:val="Compact"/>
        <w:numPr>
          <w:ilvl w:val="0"/>
          <w:numId w:val="1025"/>
        </w:numPr>
      </w:pPr>
      <w:r>
        <w:rPr>
          <w:b/>
          <w:bCs/>
        </w:rPr>
        <w:t xml:space="preserve">Lognormal</w:t>
      </w:r>
      <w:r>
        <w:t xml:space="preserve"> </w:t>
      </w:r>
      <w:r>
        <w:t xml:space="preserve">frailty</w:t>
      </w:r>
    </w:p>
    <w:p>
      <w:pPr>
        <w:pStyle w:val="Compact"/>
        <w:numPr>
          <w:ilvl w:val="0"/>
          <w:numId w:val="1025"/>
        </w:numPr>
      </w:pPr>
      <w:r>
        <w:rPr>
          <w:b/>
          <w:bCs/>
        </w:rPr>
        <w:t xml:space="preserve">Two-point mixture</w:t>
      </w:r>
      <w:r>
        <w:t xml:space="preserve"> </w:t>
      </w:r>
      <w:r>
        <w:t xml:space="preserve">(discrete frailty)</w:t>
      </w:r>
    </w:p>
    <w:p>
      <w:pPr>
        <w:pStyle w:val="Compact"/>
        <w:numPr>
          <w:ilvl w:val="0"/>
          <w:numId w:val="1025"/>
        </w:numPr>
      </w:pPr>
      <w:r>
        <w:rPr>
          <w:b/>
          <w:bCs/>
        </w:rPr>
        <w:t xml:space="preserve">Bimodal</w:t>
      </w:r>
      <w:r>
        <w:t xml:space="preserve"> </w:t>
      </w:r>
      <w:r>
        <w:t xml:space="preserve">frailty distributions</w:t>
      </w:r>
    </w:p>
    <w:p>
      <w:pPr>
        <w:pStyle w:val="Compact"/>
        <w:numPr>
          <w:ilvl w:val="0"/>
          <w:numId w:val="1025"/>
        </w:numPr>
      </w:pPr>
      <w:r>
        <w:rPr>
          <w:b/>
          <w:bCs/>
        </w:rPr>
        <w:t xml:space="preserve">Correlated frailty</w:t>
      </w:r>
      <w:r>
        <w:t xml:space="preserve"> </w:t>
      </w:r>
      <w:r>
        <w:t xml:space="preserve">(within-subgroup correlation)</w:t>
      </w:r>
    </w:p>
    <w:p>
      <w:pPr>
        <w:pStyle w:val="FirstParagraph"/>
      </w:pPr>
      <w:r>
        <w:t xml:space="preserve">For each frailty specification, we report bias (deviation from true cumulative hazard ratio), variance (trajectory stability), coverage (proportion of simulations where uncertainty intervals contain the true value), and diagnostic failure rate (proportion of simulations where quiet-window diagnostics indicated non-identifiability).</w:t>
      </w:r>
    </w:p>
    <w:p>
      <w:pPr>
        <w:pStyle w:val="BodyText"/>
      </w:pPr>
      <w:r>
        <w:t xml:space="preserve">Under frailty misspecification, KCOR fails gracefully by attenuating toward unity or by failing diagnostic criteria, rather than producing spurious large effects. When the alternative frailty distribution produces similar depletion geometry to gamma frailty, KCOR normalization remains approximately valid, with bias remaining small and diagnostics indicating successful identification. When the alternative frailty structure produces substantially different depletion geometry, KCOR diagnostics (poor cumulative-hazard fit, residual autocorrelation, parameter instability) correctly signal that the gamma-frailty approximation is inadequate,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either remain near-unity (reflecting attenuation) or are not computed when diagnostic thresholds are not met.</w:t>
      </w:r>
    </w:p>
    <w:bookmarkEnd w:id="115"/>
    <w:bookmarkEnd w:id="116"/>
    <w:bookmarkStart w:id="139" w:name="Xc4d8adb0ad5f1ae7badc4f43956d4ea2b8d625b"/>
    <w:p>
      <w:pPr>
        <w:pStyle w:val="Heading3"/>
      </w:pPr>
      <w:r>
        <w:t xml:space="preserve">3.4 Simulation grid: operating characteristics and failure-mode diagnostics</w:t>
      </w:r>
    </w:p>
    <w:p>
      <w:pPr>
        <w:pStyle w:val="FirstParagraph"/>
      </w:pPr>
      <w:r>
        <w:t xml:space="preserve">Simulation studies are structured according to the ADEMP framework: aims (assessing robustness to selection-induced depletion), data-generating mechanisms (frailty heterogeneity with controlled selection and external hazard structure), estimands (cumulative hazard contrasts for KCOR; method-specific contrasts for comparators), methods (KCOR and selected competing approaches), and performance measures (bias, variance, stability across time, and diagnostic failure detection).</w:t>
      </w:r>
    </w:p>
    <w:p>
      <w:pPr>
        <w:pStyle w:val="BodyText"/>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within ±5% of unity over the diagnostic window (weeks 20–100), excluding early transients. These findings are consistent with the conceptual discussion of RMST in §1.3.2, which emphasizes that RMST does not remove selection-induced depletion. See Figures 9 and 10 below.</w:t>
      </w:r>
    </w:p>
    <w:p>
      <w:pPr>
        <w:pStyle w:val="BodyText"/>
      </w:pPr>
      <w:r>
        <w:rPr>
          <w:b/>
          <w:bCs/>
        </w:rPr>
        <w:t xml:space="preserve">Joint frailty and treatment-effect simulation (S7).</w:t>
      </w:r>
      <w:r>
        <w:br/>
      </w:r>
      <w:r>
        <w:t xml:space="preserve">Figure 11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S7 also includes an intentional violation of temporal separability in which the treatment window overlaps the quiet window. In this overlap variant,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no longer stabilize during the nominal quiet period, and fit diagnostics degrade (Figure 12), including increased cumulative-hazard fit error and reduced post-normalization linearity. In these cases,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20" w:name="fig:sim_grid_overview"/>
    <w:p>
      <w:pPr>
        <w:pStyle w:val="CaptionedFigure"/>
      </w:pPr>
      <w:r>
        <w:drawing>
          <wp:inline>
            <wp:extent cx="5334000" cy="4247078"/>
            <wp:effectExtent b="0" l="0" r="0" t="0"/>
            <wp:docPr descr="Figure 9. Simulation grid overview: \mathrm{KCOR}(t) trajectories across prespecified scenarios, including gamma-frailty null with strong selection, injected hazard increase and decrease, non-gamma frailty, quiet-window contamination, and sparse-event regimes. Under true null, \mathrm{KCOR}(t) remains near-flat at 1; injected effects are detected in the expected direction; adverse regimes are accompanied by degraded diagnostics and reduced interpretability. Uncertainty bands (95% bootstrap intervals) are shown where applicable." title="" id="118" name="Picture"/>
            <a:graphic>
              <a:graphicData uri="http://schemas.openxmlformats.org/drawingml/2006/picture">
                <pic:pic>
                  <pic:nvPicPr>
                    <pic:cNvPr descr="figures/fig_sim_grid_overview.png" id="119" name="Picture"/>
                    <pic:cNvPicPr>
                      <a:picLocks noChangeArrowheads="1" noChangeAspect="1"/>
                    </pic:cNvPicPr>
                  </pic:nvPicPr>
                  <pic:blipFill>
                    <a:blip r:embed="rId117"/>
                    <a:stretch>
                      <a:fillRect/>
                    </a:stretch>
                  </pic:blipFill>
                  <pic:spPr bwMode="auto">
                    <a:xfrm>
                      <a:off x="0" y="0"/>
                      <a:ext cx="5334000" cy="4247078"/>
                    </a:xfrm>
                    <a:prstGeom prst="rect">
                      <a:avLst/>
                    </a:prstGeom>
                    <a:noFill/>
                    <a:ln w="9525">
                      <a:noFill/>
                      <a:headEnd/>
                      <a:tailEnd/>
                    </a:ln>
                  </pic:spPr>
                </pic:pic>
              </a:graphicData>
            </a:graphic>
          </wp:inline>
        </w:drawing>
      </w:r>
    </w:p>
    <w:p>
      <w:pPr>
        <w:pStyle w:val="ImageCaption"/>
      </w:pPr>
      <w:r>
        <w:t xml:space="preserve">Figure 9. Simulation grid overview: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across prespecified scenarios, including gamma-frailty null with strong selection, injected hazard increase and decrease, non-gamma frailty, quiet-window contamination, and sparse-event regimes. Under true null,</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injected effects are detected in the expected direction; adverse regimes are accompanied by degraded diagnostics and reduced interpretability. Uncertainty bands (95% bootstrap intervals) are shown where applicable.</w:t>
      </w:r>
    </w:p>
    <w:bookmarkEnd w:id="120"/>
    <w:bookmarkStart w:id="124" w:name="fig:sim_grid_diagnostics"/>
    <w:p>
      <w:pPr>
        <w:pStyle w:val="CaptionedFigure"/>
      </w:pPr>
      <w:r>
        <w:drawing>
          <wp:inline>
            <wp:extent cx="5334000" cy="2490038"/>
            <wp:effectExtent b="0" l="0" r="0" t="0"/>
            <wp:docPr descr="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 title="" id="122" name="Picture"/>
            <a:graphic>
              <a:graphicData uri="http://schemas.openxmlformats.org/drawingml/2006/picture">
                <pic:pic>
                  <pic:nvPicPr>
                    <pic:cNvPr descr="figures/fig_sim_grid_diagnostics.png" id="123" name="Picture"/>
                    <pic:cNvPicPr>
                      <a:picLocks noChangeArrowheads="1" noChangeAspect="1"/>
                    </pic:cNvPicPr>
                  </pic:nvPicPr>
                  <pic:blipFill>
                    <a:blip r:embed="rId121"/>
                    <a:stretch>
                      <a:fillRect/>
                    </a:stretch>
                  </pic:blipFill>
                  <pic:spPr bwMode="auto">
                    <a:xfrm>
                      <a:off x="0" y="0"/>
                      <a:ext cx="5334000" cy="2490038"/>
                    </a:xfrm>
                    <a:prstGeom prst="rect">
                      <a:avLst/>
                    </a:prstGeom>
                    <a:noFill/>
                    <a:ln w="9525">
                      <a:noFill/>
                      <a:headEnd/>
                      <a:tailEnd/>
                    </a:ln>
                  </pic:spPr>
                </pic:pic>
              </a:graphicData>
            </a:graphic>
          </wp:inline>
        </w:drawing>
      </w:r>
    </w:p>
    <w:p>
      <w:pPr>
        <w:pStyle w:val="ImageCaption"/>
      </w:pPr>
      <w:r>
        <w:t xml:space="preserve">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w:t>
      </w:r>
    </w:p>
    <w:bookmarkEnd w:id="124"/>
    <w:bookmarkStart w:id="128" w:name="fig:s7_overview"/>
    <w:p>
      <w:pPr>
        <w:pStyle w:val="CaptionedFigure"/>
      </w:pPr>
      <w:r>
        <w:drawing>
          <wp:inline>
            <wp:extent cx="5334000" cy="1391685"/>
            <wp:effectExtent b="0" l="0" r="0" t="0"/>
            <wp:docPr descr="Figure 11. S7 simulation results: \mathrm{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mathrm{KCOR}(t) 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 title="" id="126" name="Picture"/>
            <a:graphic>
              <a:graphicData uri="http://schemas.openxmlformats.org/drawingml/2006/picture">
                <pic:pic>
                  <pic:nvPicPr>
                    <pic:cNvPr descr="figures/fig_s7_overview.png" id="127" name="Picture"/>
                    <pic:cNvPicPr>
                      <a:picLocks noChangeArrowheads="1" noChangeAspect="1"/>
                    </pic:cNvPicPr>
                  </pic:nvPicPr>
                  <pic:blipFill>
                    <a:blip r:embed="rId125"/>
                    <a:stretch>
                      <a:fillRect/>
                    </a:stretch>
                  </pic:blipFill>
                  <pic:spPr bwMode="auto">
                    <a:xfrm>
                      <a:off x="0" y="0"/>
                      <a:ext cx="5334000" cy="1391685"/>
                    </a:xfrm>
                    <a:prstGeom prst="rect">
                      <a:avLst/>
                    </a:prstGeom>
                    <a:noFill/>
                    <a:ln w="9525">
                      <a:noFill/>
                      <a:headEnd/>
                      <a:tailEnd/>
                    </a:ln>
                  </pic:spPr>
                </pic:pic>
              </a:graphicData>
            </a:graphic>
          </wp:inline>
        </w:drawing>
      </w:r>
    </w:p>
    <w:p>
      <w:pPr>
        <w:pStyle w:val="ImageCaption"/>
      </w:pPr>
      <w:r>
        <w:t xml:space="preserve">Figure 11. S7 simulation results: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w:t>
      </w:r>
    </w:p>
    <w:bookmarkEnd w:id="128"/>
    <w:bookmarkStart w:id="132" w:name="fig:s7_diagnostics"/>
    <w:p>
      <w:pPr>
        <w:pStyle w:val="CaptionedFigure"/>
      </w:pPr>
      <w:r>
        <w:drawing>
          <wp:inline>
            <wp:extent cx="5334000" cy="4431300"/>
            <wp:effectExtent b="0" l="0" r="0" t="0"/>
            <wp:docPr descr="Figure 12. S7 simulation diagnostics: Fitted frailty variance parameters (\hat{\theta}_0, \hat{\theta}_1), fit quality (RMSE), and convergence status across S7 scenarios. The overlap variant shows degraded fit quality, correctly signaling violation of temporal separability assumptions." title="" id="130" name="Picture"/>
            <a:graphic>
              <a:graphicData uri="http://schemas.openxmlformats.org/drawingml/2006/picture">
                <pic:pic>
                  <pic:nvPicPr>
                    <pic:cNvPr descr="figures/fig_s7_diagnostics.png" id="131" name="Picture"/>
                    <pic:cNvPicPr>
                      <a:picLocks noChangeArrowheads="1" noChangeAspect="1"/>
                    </pic:cNvPicPr>
                  </pic:nvPicPr>
                  <pic:blipFill>
                    <a:blip r:embed="rId129"/>
                    <a:stretch>
                      <a:fillRect/>
                    </a:stretch>
                  </pic:blipFill>
                  <pic:spPr bwMode="auto">
                    <a:xfrm>
                      <a:off x="0" y="0"/>
                      <a:ext cx="5334000" cy="4431300"/>
                    </a:xfrm>
                    <a:prstGeom prst="rect">
                      <a:avLst/>
                    </a:prstGeom>
                    <a:noFill/>
                    <a:ln w="9525">
                      <a:noFill/>
                      <a:headEnd/>
                      <a:tailEnd/>
                    </a:ln>
                  </pic:spPr>
                </pic:pic>
              </a:graphicData>
            </a:graphic>
          </wp:inline>
        </w:drawing>
      </w:r>
    </w:p>
    <w:p>
      <w:pPr>
        <w:pStyle w:val="ImageCaption"/>
      </w:pPr>
      <w:r>
        <w:t xml:space="preserve">Figure 12. S7 simulation diagnostics: Fitted frailty variance parameters (</w:t>
      </w:r>
      <m:oMath>
        <m:sSub>
          <m:e>
            <m:acc>
              <m:accPr>
                <m:chr m:val="̂"/>
              </m:accPr>
              <m:e>
                <m:r>
                  <m:t>θ</m:t>
                </m:r>
              </m:e>
            </m:acc>
          </m:e>
          <m:sub>
            <m:r>
              <m:t>0</m:t>
            </m:r>
          </m:sub>
        </m:sSub>
      </m:oMath>
      <w:r>
        <w:t xml:space="preserve">,</w:t>
      </w:r>
      <w:r>
        <w:t xml:space="preserve"> </w:t>
      </w:r>
      <m:oMath>
        <m:sSub>
          <m:e>
            <m:acc>
              <m:accPr>
                <m:chr m:val="̂"/>
              </m:accPr>
              <m:e>
                <m:r>
                  <m:t>θ</m:t>
                </m:r>
              </m:e>
            </m:acc>
          </m:e>
          <m:sub>
            <m:r>
              <m:t>1</m:t>
            </m:r>
          </m:sub>
        </m:sSub>
      </m:oMath>
      <w:r>
        <w:t xml:space="preserve">), fit quality (RMSE), and convergence status across S7 scenarios. The overlap variant shows degraded fit quality, correctly signaling violation of temporal separability assumptions.</w:t>
      </w:r>
    </w:p>
    <w:bookmarkEnd w:id="132"/>
    <w:bookmarkStart w:id="136" w:name="fig:skip_weeks_sensitivity"/>
    <w:p>
      <w:pPr>
        <w:pStyle w:val="CaptionedFigure"/>
      </w:pPr>
      <w:r>
        <w:drawing>
          <wp:inline>
            <wp:extent cx="5334000" cy="3170886"/>
            <wp:effectExtent b="0" l="0" r="0" t="0"/>
            <wp:docPr descr="Figure 13. Skip-window sensitivity illustrates dynamic selection effects in early follow-up. \mathrm{KCOR}(t) computed on the same fixed-cohort comparison using skip windows of 0, 4, and 8 weeks. Early-time departures that attenuate with larger skip windows are consistent with dynamic selection immediately following cohort entry; later-time behavior is comparatively stable." title="" id="134" name="Picture"/>
            <a:graphic>
              <a:graphicData uri="http://schemas.openxmlformats.org/drawingml/2006/picture">
                <pic:pic>
                  <pic:nvPicPr>
                    <pic:cNvPr descr="figures/fig_skip_weeks_sensitivity.png" id="135" name="Picture"/>
                    <pic:cNvPicPr>
                      <a:picLocks noChangeArrowheads="1" noChangeAspect="1"/>
                    </pic:cNvPicPr>
                  </pic:nvPicPr>
                  <pic:blipFill>
                    <a:blip r:embed="rId133"/>
                    <a:stretch>
                      <a:fillRect/>
                    </a:stretch>
                  </pic:blipFill>
                  <pic:spPr bwMode="auto">
                    <a:xfrm>
                      <a:off x="0" y="0"/>
                      <a:ext cx="5334000" cy="3170886"/>
                    </a:xfrm>
                    <a:prstGeom prst="rect">
                      <a:avLst/>
                    </a:prstGeom>
                    <a:noFill/>
                    <a:ln w="9525">
                      <a:noFill/>
                      <a:headEnd/>
                      <a:tailEnd/>
                    </a:ln>
                  </pic:spPr>
                </pic:pic>
              </a:graphicData>
            </a:graphic>
          </wp:inline>
        </w:drawing>
      </w:r>
    </w:p>
    <w:p>
      <w:pPr>
        <w:pStyle w:val="ImageCaption"/>
      </w:pPr>
      <w:r>
        <w:t xml:space="preserve">Figure 13. Skip-window sensitivity illustrates dynamic selection effects in early follow-up.</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36"/>
    <w:p>
      <w:pPr>
        <w:pStyle w:val="BodyText"/>
      </w:pPr>
      <w:r>
        <w:rPr>
          <w:b/>
          <w:bCs/>
        </w:rPr>
        <w:t xml:space="preserve">Comparison with alternative estimands.</w:t>
      </w:r>
      <w:r>
        <w:br/>
      </w:r>
      <w:r>
        <w:t xml:space="preserve">Table 9 summarizes KCOR, Cox, and RMST behavior under the same simulation settings. We compare KCOR with restricted mean survival time (RMST) and time-varying Cox regression on the same simulation outputs. To make the comparison explicit, we computed RMST up to τ for the same simulation settings. As shown in Table 9, RMST summarizes survival differences that may reflect depletion rather than treatment effect in selection-only regimes because it aggregates survival differences produced by differential depletion, even when the true treatment effect is null. RMST summarizes survival experience up to a prespecified horizon but reflects depletion-induced differences from the underlying survival curves, as survival functions reflect populations whose composition evolves differently over time across cohorts under selection-induced frailty heterogeneity. Time-varying Cox models improve fit to non-proportional hazards but do not normalize selection geometry; they capture time-varying hazard ratios without removing depletion-induced curvature. KCOR remains stable under selection-only regimes because normalization precedes comparison: frailty parameters are estimated during quiet windows and used to invert observed cumulative hazards into depletion-neutralized baseline cumulative hazards prior to cohort contrast. This comparison emphasizes that KCOR targets a specific estimand—cumulative hazard ratios after depletion normalization—rather than claiming global superiority over alternative methods.</w:t>
      </w:r>
    </w:p>
    <w:p>
      <w:pPr>
        <w:pStyle w:val="BodyText"/>
      </w:pPr>
      <w:r>
        <w:rPr>
          <w:b/>
          <w:bCs/>
        </w:rPr>
        <w:t xml:space="preserve">Simulation evaluation followed an ADEMP structure</w:t>
      </w:r>
      <w:r>
        <w:t xml:space="preserve">: the</w:t>
      </w:r>
      <w:r>
        <w:t xml:space="preserve"> </w:t>
      </w:r>
      <w:r>
        <w:rPr>
          <w:i/>
          <w:iCs/>
        </w:rPr>
        <w:t xml:space="preserve">aim</w:t>
      </w:r>
      <w:r>
        <w:t xml:space="preserve"> </w:t>
      </w:r>
      <w:r>
        <w:t xml:space="preserve">was to assess robustness to selection-induced depletion;</w:t>
      </w:r>
      <w:r>
        <w:t xml:space="preserve"> </w:t>
      </w:r>
      <w:r>
        <w:rPr>
          <w:i/>
          <w:iCs/>
        </w:rPr>
        <w:t xml:space="preserve">data-generating mechanisms</w:t>
      </w:r>
      <w:r>
        <w:t xml:space="preserve"> </w:t>
      </w:r>
      <w:r>
        <w:t xml:space="preserve">varied frailty heterogeneity and selection strength under both null and non-null conditions;</w:t>
      </w:r>
      <w:r>
        <w:t xml:space="preserve"> </w:t>
      </w:r>
      <w:r>
        <w:rPr>
          <w:i/>
          <w:iCs/>
        </w:rPr>
        <w:t xml:space="preserve">estimands</w:t>
      </w:r>
      <w:r>
        <w:t xml:space="preserve"> </w:t>
      </w:r>
      <w:r>
        <w:t xml:space="preserve">were method-specific (KCOR, RMST, and time-varying Cox);</w:t>
      </w:r>
      <w:r>
        <w:t xml:space="preserve"> </w:t>
      </w:r>
      <w:r>
        <w:rPr>
          <w:i/>
          <w:iCs/>
        </w:rPr>
        <w:t xml:space="preserve">methods</w:t>
      </w:r>
      <w:r>
        <w:t xml:space="preserve"> </w:t>
      </w:r>
      <w:r>
        <w:t xml:space="preserve">were applied to identical simulated datasets; and</w:t>
      </w:r>
      <w:r>
        <w:t xml:space="preserve"> </w:t>
      </w:r>
      <w:r>
        <w:rPr>
          <w:i/>
          <w:iCs/>
        </w:rPr>
        <w:t xml:space="preserve">performance</w:t>
      </w:r>
      <w:r>
        <w:t xml:space="preserve"> </w:t>
      </w:r>
      <w:r>
        <w:t xml:space="preserve">was assessed via deviation from the null, trajectory stability, and interpretability under known selection structure. Under selection-only scenarios, KCOR remained centered near the null with low instability, whereas RMST and time-varying Cox exhibited systematic non-null behavior that increased with depletion strength, consistent with inherited selection effects rather than true signal (Table 9).</w:t>
      </w:r>
    </w:p>
    <w:p>
      <w:pPr>
        <w:pStyle w:val="BodyText"/>
      </w:pPr>
      <w:r>
        <w:t xml:space="preserve">In simulations where apparent effects arise solely from selection-induced depletion, KCOR was the only method to remain stable and near-null, while RMST and time-varying Cox produced non-null contrasts that varied with frailty strength, reflecting residual depletion geometry rather than causal signal (Table 9). Across selection-only scenarios, KCOR was the only estimand whose median deviation from the null remained approximately zero across the full frailty grid, whereas RMST and time-varying Cox produced systematic non-null contrasts that increased with frailty strength (Table 9).</w:t>
      </w:r>
    </w:p>
    <w:bookmarkStart w:id="137" w:name="tbl:comparison_estimands"/>
    <w:p>
      <w:pPr>
        <w:pStyle w:val="TableCaption"/>
      </w:pPr>
      <w:r>
        <w:t xml:space="preserve">Table 9.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w:t>
      </w:r>
    </w:p>
    <w:tbl>
      <w:tblPr>
        <w:tblStyle w:val="Table"/>
        <w:tblW w:type="pct" w:w="5000"/>
        <w:tblLayout w:type="fixed"/>
        <w:tblLook w:firstRow="1" w:lastRow="0" w:firstColumn="0" w:lastColumn="0" w:noHBand="0" w:noVBand="0" w:val="0020"/>
        <w:tblCaption w:val="Table 9.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
      </w:tblPr>
      <w:tblGrid>
        <w:gridCol w:w="627"/>
        <w:gridCol w:w="1254"/>
        <w:gridCol w:w="2509"/>
        <w:gridCol w:w="1646"/>
        <w:gridCol w:w="1881"/>
      </w:tblGrid>
      <w:tr>
        <w:trPr>
          <w:tblHeader w:val="on"/>
        </w:trPr>
        <w:tc>
          <w:tcPr/>
          <w:p>
            <w:pPr>
              <w:pStyle w:val="Compact"/>
            </w:pPr>
            <w:r>
              <w:t xml:space="preserve">Method</w:t>
            </w:r>
          </w:p>
        </w:tc>
        <w:tc>
          <w:tcPr/>
          <w:p>
            <w:pPr>
              <w:pStyle w:val="Compact"/>
            </w:pPr>
            <w:r>
              <w:t xml:space="preserve">Target estimand</w:t>
            </w:r>
          </w:p>
        </w:tc>
        <w:tc>
          <w:tcPr/>
          <w:p>
            <w:pPr>
              <w:pStyle w:val="Compact"/>
            </w:pPr>
            <w:r>
              <w:t xml:space="preserve">Deviation from null (selection-only scenarios)</w:t>
            </w:r>
          </w:p>
        </w:tc>
        <w:tc>
          <w:tcPr/>
          <w:p>
            <w:pPr>
              <w:pStyle w:val="Compact"/>
            </w:pPr>
            <w:r>
              <w:t xml:space="preserve">Variance/instability</w:t>
            </w:r>
          </w:p>
        </w:tc>
        <w:tc>
          <w:tcPr/>
          <w:p>
            <w:pPr>
              <w:pStyle w:val="Compact"/>
            </w:pPr>
            <w:r>
              <w:t xml:space="preserve">Interpretability notes</w:t>
            </w:r>
          </w:p>
        </w:tc>
      </w:tr>
      <w:tr>
        <w:tc>
          <w:tcPr/>
          <w:p>
            <w:pPr>
              <w:pStyle w:val="Compact"/>
            </w:pPr>
            <w:r>
              <w:rPr>
                <w:b/>
                <w:bCs/>
              </w:rPr>
              <w:t xml:space="preserve">KCOR</w:t>
            </w:r>
          </w:p>
        </w:tc>
        <w:tc>
          <w:tcPr/>
          <w:p>
            <w:pPr>
              <w:pStyle w:val="Compact"/>
            </w:pPr>
            <w:r>
              <w:t xml:space="preserve">Cumulative hazard ratio (depletion-normalized)</w:t>
            </w:r>
          </w:p>
        </w:tc>
        <w:tc>
          <w:tcPr/>
          <w:p>
            <w:pPr>
              <w:pStyle w:val="Compact"/>
            </w:pPr>
            <w:r>
              <w:t xml:space="preserve">Near zero (median KCOR ≈ 1.0)</w:t>
            </w:r>
          </w:p>
        </w:tc>
        <w:tc>
          <w:tcPr/>
          <w:p>
            <w:pPr>
              <w:pStyle w:val="Compact"/>
            </w:pPr>
            <w:r>
              <w:t xml:space="preserve">Low (stable trajectory)</w:t>
            </w:r>
          </w:p>
        </w:tc>
        <w:tc>
          <w:tcPr/>
          <w:p>
            <w:pPr>
              <w:pStyle w:val="Compact"/>
            </w:pPr>
            <w:r>
              <w:t xml:space="preserve">Stable under selection-induced depletion; normalization precedes comparison</w:t>
            </w:r>
          </w:p>
        </w:tc>
      </w:tr>
      <w:tr>
        <w:tc>
          <w:tcPr/>
          <w:p>
            <w:pPr>
              <w:pStyle w:val="Compact"/>
            </w:pPr>
            <w:r>
              <w:rPr>
                <w:b/>
                <w:bCs/>
              </w:rPr>
              <w:t xml:space="preserve">RMST</w:t>
            </w:r>
          </w:p>
        </w:tc>
        <w:tc>
          <w:tcPr/>
          <w:p>
            <w:pPr>
              <w:pStyle w:val="Compact"/>
            </w:pPr>
            <w:r>
              <w:t xml:space="preserve">Restricted mean survival time</w:t>
            </w:r>
          </w:p>
        </w:tc>
        <w:tc>
          <w:tcPr/>
          <w:p>
            <w:pPr>
              <w:pStyle w:val="Compact"/>
            </w:pPr>
            <w:r>
              <w:t xml:space="preserve">Non-zero (depends on depletion strength)</w:t>
            </w:r>
          </w:p>
        </w:tc>
        <w:tc>
          <w:tcPr/>
          <w:p>
            <w:pPr>
              <w:pStyle w:val="Compact"/>
            </w:pPr>
            <w:r>
              <w:t xml:space="preserve">Moderate (depends on depletion strength)</w:t>
            </w:r>
          </w:p>
        </w:tc>
        <w:tc>
          <w:tcPr/>
          <w:p>
            <w:pPr>
              <w:pStyle w:val="Compact"/>
            </w:pPr>
            <w:r>
              <w:t xml:space="preserve">Summarizes survival differences that may reflect depletion rather than treatment effect; does not normalize selection geometry</w:t>
            </w:r>
          </w:p>
        </w:tc>
      </w:tr>
      <w:tr>
        <w:tc>
          <w:tcPr/>
          <w:p>
            <w:pPr>
              <w:pStyle w:val="Compact"/>
            </w:pPr>
            <w:r>
              <w:rPr>
                <w:b/>
                <w:bCs/>
              </w:rPr>
              <w:t xml:space="preserve">Cox (time-varying)</w:t>
            </w:r>
            <w:r>
              <w:t xml:space="preserve"> </w:t>
            </w:r>
            <w:r>
              <w:t xml:space="preserve">(diagnostic comparator)</w:t>
            </w:r>
          </w:p>
        </w:tc>
        <w:tc>
          <w:tcPr/>
          <w:p>
            <w:pPr>
              <w:pStyle w:val="Compact"/>
            </w:pPr>
            <w:r>
              <w:t xml:space="preserve">Time-varying hazard ratio</w:t>
            </w:r>
          </w:p>
        </w:tc>
        <w:tc>
          <w:tcPr/>
          <w:p>
            <w:pPr>
              <w:pStyle w:val="Compact"/>
            </w:pPr>
            <w:r>
              <w:t xml:space="preserve">Non-zero under frailty heterogeneity</w:t>
            </w:r>
          </w:p>
        </w:tc>
        <w:tc>
          <w:tcPr/>
          <w:p>
            <w:pPr>
              <w:pStyle w:val="Compact"/>
            </w:pPr>
            <w:r>
              <w:t xml:space="preserve">Moderate (HR instability across time windows)</w:t>
            </w:r>
          </w:p>
        </w:tc>
        <w:tc>
          <w:tcPr/>
          <w:p>
            <w:pPr>
              <w:pStyle w:val="Compact"/>
            </w:pPr>
            <w:r>
              <w:t xml:space="preserve">Improves fit to non-proportional hazards but does not normalize selection geometry; inherits depletion structure</w:t>
            </w:r>
          </w:p>
        </w:tc>
      </w:tr>
    </w:tbl>
    <w:bookmarkEnd w:id="137"/>
    <w:p/>
    <w:bookmarkStart w:id="138" w:name="tbl:bootstrap_coverage"/>
    <w:p>
      <w:pPr>
        <w:pStyle w:val="TableCaption"/>
      </w:pPr>
      <w:r>
        <w:t xml:space="preserve">Table 10. Bootstrap coverage for KCOR uncertainty intervals. Coverage is evaluated across simulation scenarios using stratified bootstrap resampling. Nominal 95% confidence intervals are compared to empirical coverage (proportion of simulations where the true value lies within the interval).</w:t>
      </w:r>
    </w:p>
    <w:tbl>
      <w:tblPr>
        <w:tblStyle w:val="Table"/>
        <w:tblW w:type="pct" w:w="5000"/>
        <w:tblLayout w:type="fixed"/>
        <w:tblLook w:firstRow="1" w:lastRow="0" w:firstColumn="0" w:lastColumn="0" w:noHBand="0" w:noVBand="0" w:val="0020"/>
        <w:tblCaption w:val="Table 10. Bootstrap coverage for KCOR uncertainty intervals. Coverage is evaluated across simulation scenarios using stratified bootstrap resampling. Nominal 95% confidence intervals are compared to empirical coverage (proportion of simulations where the true value lies within the interval)."/>
      </w:tblPr>
      <w:tblGrid>
        <w:gridCol w:w="1494"/>
        <w:gridCol w:w="2540"/>
        <w:gridCol w:w="2839"/>
        <w:gridCol w:w="1046"/>
      </w:tblGrid>
      <w:tr>
        <w:trPr>
          <w:tblHeader w:val="on"/>
        </w:trPr>
        <w:tc>
          <w:tcPr/>
          <w:p>
            <w:pPr>
              <w:pStyle w:val="Compact"/>
            </w:pPr>
            <w:r>
              <w:t xml:space="preserve">Scenario</w:t>
            </w:r>
          </w:p>
        </w:tc>
        <w:tc>
          <w:tcPr/>
          <w:p>
            <w:pPr>
              <w:pStyle w:val="Compact"/>
            </w:pPr>
            <w:r>
              <w:t xml:space="preserve">Nominal coverage</w:t>
            </w:r>
          </w:p>
        </w:tc>
        <w:tc>
          <w:tcPr/>
          <w:p>
            <w:pPr>
              <w:pStyle w:val="Compact"/>
            </w:pPr>
            <w:r>
              <w:t xml:space="preserve">Empirical coverage</w:t>
            </w:r>
          </w:p>
        </w:tc>
        <w:tc>
          <w:tcPr/>
          <w:p>
            <w:pPr>
              <w:pStyle w:val="Compact"/>
            </w:pPr>
            <w:r>
              <w:t xml:space="preserve">Notes</w:t>
            </w:r>
          </w:p>
        </w:tc>
      </w:tr>
      <w:tr>
        <w:tc>
          <w:tcPr/>
          <w:p>
            <w:pPr>
              <w:pStyle w:val="Compact"/>
            </w:pPr>
            <w:r>
              <w:t xml:space="preserve">Gamma-frailty null</w:t>
            </w:r>
          </w:p>
        </w:tc>
        <w:tc>
          <w:tcPr/>
          <w:p>
            <w:pPr>
              <w:pStyle w:val="Compact"/>
            </w:pPr>
            <w:r>
              <w:t xml:space="preserve">95%</w:t>
            </w:r>
          </w:p>
        </w:tc>
        <w:tc>
          <w:tcPr/>
          <w:p>
            <w:pPr>
              <w:pStyle w:val="Compact"/>
            </w:pPr>
            <w:r>
              <w:t xml:space="preserve">[coverage value]</w:t>
            </w:r>
          </w:p>
        </w:tc>
        <w:tc>
          <w:tcPr/>
          <w:p>
            <w:pPr>
              <w:pStyle w:val="Compact"/>
            </w:pPr>
            <w:r>
              <w:t xml:space="preserve">Coverage evaluated under selection-only conditions</w:t>
            </w:r>
          </w:p>
        </w:tc>
      </w:tr>
      <w:tr>
        <w:tc>
          <w:tcPr/>
          <w:p>
            <w:pPr>
              <w:pStyle w:val="Compact"/>
            </w:pPr>
            <w:r>
              <w:t xml:space="preserve">Injected effect (harm)</w:t>
            </w:r>
          </w:p>
        </w:tc>
        <w:tc>
          <w:tcPr/>
          <w:p>
            <w:pPr>
              <w:pStyle w:val="Compact"/>
            </w:pPr>
            <w:r>
              <w:t xml:space="preserve">95%</w:t>
            </w:r>
          </w:p>
        </w:tc>
        <w:tc>
          <w:tcPr/>
          <w:p>
            <w:pPr>
              <w:pStyle w:val="Compact"/>
            </w:pPr>
            <w:r>
              <w:t xml:space="preserve">[coverage value]</w:t>
            </w:r>
          </w:p>
        </w:tc>
        <w:tc>
          <w:tcPr/>
          <w:p>
            <w:pPr>
              <w:pStyle w:val="Compact"/>
            </w:pPr>
            <w:r>
              <w:t xml:space="preserve">Coverage evaluated under known treatment effect</w:t>
            </w:r>
          </w:p>
        </w:tc>
      </w:tr>
      <w:tr>
        <w:tc>
          <w:tcPr/>
          <w:p>
            <w:pPr>
              <w:pStyle w:val="Compact"/>
            </w:pPr>
            <w:r>
              <w:t xml:space="preserve">Injected effect (benefit)</w:t>
            </w:r>
          </w:p>
        </w:tc>
        <w:tc>
          <w:tcPr/>
          <w:p>
            <w:pPr>
              <w:pStyle w:val="Compact"/>
            </w:pPr>
            <w:r>
              <w:t xml:space="preserve">95%</w:t>
            </w:r>
          </w:p>
        </w:tc>
        <w:tc>
          <w:tcPr/>
          <w:p>
            <w:pPr>
              <w:pStyle w:val="Compact"/>
            </w:pPr>
            <w:r>
              <w:t xml:space="preserve">[coverage value]</w:t>
            </w:r>
          </w:p>
        </w:tc>
        <w:tc>
          <w:tcPr/>
          <w:p>
            <w:pPr>
              <w:pStyle w:val="Compact"/>
            </w:pPr>
            <w:r>
              <w:t xml:space="preserve">Coverage evaluated under known treatment effect</w:t>
            </w:r>
          </w:p>
        </w:tc>
      </w:tr>
      <w:tr>
        <w:tc>
          <w:tcPr/>
          <w:p>
            <w:pPr>
              <w:pStyle w:val="Compact"/>
            </w:pPr>
            <w:r>
              <w:t xml:space="preserve">Non-gamma frailty</w:t>
            </w:r>
          </w:p>
        </w:tc>
        <w:tc>
          <w:tcPr/>
          <w:p>
            <w:pPr>
              <w:pStyle w:val="Compact"/>
            </w:pPr>
            <w:r>
              <w:t xml:space="preserve">95%</w:t>
            </w:r>
          </w:p>
        </w:tc>
        <w:tc>
          <w:tcPr/>
          <w:p>
            <w:pPr>
              <w:pStyle w:val="Compact"/>
            </w:pPr>
            <w:r>
              <w:t xml:space="preserve">[coverage value]</w:t>
            </w:r>
          </w:p>
        </w:tc>
        <w:tc>
          <w:tcPr/>
          <w:p>
            <w:pPr>
              <w:pStyle w:val="Compact"/>
            </w:pPr>
            <w:r>
              <w:t xml:space="preserve">Coverage under frailty misspecification</w:t>
            </w:r>
          </w:p>
        </w:tc>
      </w:tr>
      <w:tr>
        <w:tc>
          <w:tcPr/>
          <w:p>
            <w:pPr>
              <w:pStyle w:val="Compact"/>
            </w:pPr>
            <w:r>
              <w:t xml:space="preserve">Sparse events</w:t>
            </w:r>
          </w:p>
        </w:tc>
        <w:tc>
          <w:tcPr/>
          <w:p>
            <w:pPr>
              <w:pStyle w:val="Compact"/>
            </w:pPr>
            <w:r>
              <w:t xml:space="preserve">95%</w:t>
            </w:r>
          </w:p>
        </w:tc>
        <w:tc>
          <w:tcPr/>
          <w:p>
            <w:pPr>
              <w:pStyle w:val="Compact"/>
            </w:pPr>
            <w:r>
              <w:t xml:space="preserve">[coverage value]</w:t>
            </w:r>
          </w:p>
        </w:tc>
        <w:tc>
          <w:tcPr/>
          <w:p>
            <w:pPr>
              <w:pStyle w:val="Compact"/>
            </w:pPr>
            <w:r>
              <w:t xml:space="preserve">Coverage under reduced event counts</w:t>
            </w:r>
          </w:p>
        </w:tc>
      </w:tr>
    </w:tbl>
    <w:bookmarkEnd w:id="138"/>
    <w:bookmarkEnd w:id="139"/>
    <w:bookmarkStart w:id="140"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in later windows behave as expected under negative and positive controls.</w:t>
      </w:r>
    </w:p>
    <w:p>
      <w:pPr>
        <w:pStyle w:val="BodyText"/>
      </w:pPr>
      <w:r>
        <w:rPr>
          <w:b/>
          <w:bCs/>
        </w:rPr>
        <w:t xml:space="preserve">Skip-window sensitivity.</w:t>
      </w:r>
      <w:r>
        <w:t xml:space="preserve"> </w:t>
      </w:r>
      <w:r>
        <w:t xml:space="preserve">Figure 13 illustrates dynamic selection effects by comparing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40"/>
    <w:bookmarkStart w:id="141"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p>
      <w:pPr>
        <w:pStyle w:val="BodyText"/>
      </w:pPr>
      <w:r>
        <w:t xml:space="preserve">An applied illustration using Czech national records is provided in the Supplement to demonstrate end-to-end use of KCOR on administrative data; the primary validation in the main text is based on synthetic and empirical control experiments designed to probe failure modes.</w:t>
      </w:r>
    </w:p>
    <w:p>
      <w:pPr>
        <w:pStyle w:val="BodyText"/>
      </w:pPr>
      <w:r>
        <w:t xml:space="preserve">As a validation check, adequacy of the gamma-frailty normalization was assessed using quiet-window fit diagnostics, including the estimated frailty variance, residual dispersion, maximum deviation from linearity, and residual drift per year. For the all-ages cohort—which represents the most heterogeneous and challenging case—these diagnostics showed minimal residual curvature and negligible drift, indicating that gamma frailty adequately explains the observed hazard curvature during the quiet window. Full diagnostic outputs for all cohorts are reported in KCOR_summary.xlsx.</w:t>
      </w:r>
    </w:p>
    <w:bookmarkEnd w:id="141"/>
    <w:bookmarkEnd w:id="142"/>
    <w:bookmarkStart w:id="148" w:name="discussion"/>
    <w:p>
      <w:pPr>
        <w:pStyle w:val="Heading2"/>
      </w:pPr>
      <w:r>
        <w:t xml:space="preserve">4. Discussion</w:t>
      </w:r>
    </w:p>
    <w:p>
      <w:pPr>
        <w:pStyle w:val="FirstParagraph"/>
      </w:pPr>
      <w:r>
        <w:t xml:space="preserve">In this discussion, KCOR is understood as a normalization-and-comparison framework designed to remove selection-induced depletion curvature in cumulative-hazard space and then report a cumulative cohort contrast (KCOR). It does not claim to identify a treatment-specific causal effect under arbitrary baseline and time-varying confounding, and it should be interpreted in conjunction with prespecified controls, diagnostics, and sensitivity analyses.</w:t>
      </w:r>
    </w:p>
    <w:p>
      <w:pPr>
        <w:pStyle w:val="BodyText"/>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43" w:name="X2b15ce1fa8c24db54c476cf8c57606fbe96819a"/>
    <w:p>
      <w:pPr>
        <w:pStyle w:val="Heading3"/>
      </w:pPr>
      <w:r>
        <w:t xml:space="preserve">Limits of attribution and non-identifiability</w:t>
      </w:r>
    </w:p>
    <w:p>
      <w:pPr>
        <w:pStyle w:val="FirstParagraph"/>
      </w:pPr>
      <w:r>
        <w:t xml:space="preserve">KCOR does not uniquely identify the biological, behavioral, or clinical mechanisms responsible for observed hazard heterogeneity. In particular, curvature in the cumulative hazard may arise from multiple sources, including selection on latent frailty, behavior change, seasonality, treatment effects, reporting artifacts, or their combination. Depletion of susceptibles is therefore used as a parsimonious working model whose adequacy is evaluated through diagnostics and negative controls, rather than assumed as a causal truth. KCOR’s estimand is whether a cumulative outcome contrast persists after removal of curvature consistent with selection-induced depletion, not attribution of that curvature to a specific mechanism.</w:t>
      </w:r>
    </w:p>
    <w:bookmarkEnd w:id="143"/>
    <w:bookmarkStart w:id="144" w:name="what-kcor-estimates"/>
    <w:p>
      <w:pPr>
        <w:pStyle w:val="Heading3"/>
      </w:pPr>
      <w:r>
        <w:t xml:space="preserve">4.1 What KCOR estimates</w:t>
      </w:r>
    </w:p>
    <w:p>
      <w:pPr>
        <w:pStyle w:val="FirstParagraph"/>
      </w:pPr>
      <w:r>
        <w:rPr>
          <w:i/>
          <w:iCs/>
        </w:rPr>
        <w:t xml:space="preserve">Table 3 clarifies that KCOR differs from non-proportional hazards methods not in flexibility, but in estimand and direction of inference.</w:t>
      </w:r>
      <w:r>
        <w:t xml:space="preserve"> </w:t>
      </w:r>
      <w:r>
        <w:t xml:space="preserve">KCOR operates at a specific but critical layer of the retrospective inference stack: it both neutralizes selection-induced depletion dynamics and defines how the resulting depletion-neutralized baseline cumulative hazards must be compared. The method’s strength is not the frailty inversion in isolation, but the fact that inversion, diagnostics, and cumulative comparison are mathematically and operationally coupled. Once cohorts are mapped into depletion-neutralized baseline cumulative hazard space,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Stabilization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As emphasized earlier (§1.6), KCOR is a diagnostic and normalization estimator rather than a causal estimator; interpretation of its cumulative hazard ratio estimand is contingent on the stated assumptions. Whereas Cox regression infers treatment effects through fitted model coefficients, KCOR uses modeling only to normalize selection effects, allowing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zero—whereas KCOR remains centered near unity with negligible post-normalization slope.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26"/>
        </w:numPr>
      </w:pPr>
      <w:r>
        <w:t xml:space="preserve">selection-induced depletion dynamics can be estimated during quiet periods using a gamma-frailty mixture model, and</w:t>
      </w:r>
    </w:p>
    <w:p>
      <w:pPr>
        <w:pStyle w:val="Compact"/>
        <w:numPr>
          <w:ilvl w:val="0"/>
          <w:numId w:val="1026"/>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A useful way to view KCOR is as an intermediate layer between purely descriptive hazard summaries and fully identified causal estimators. KCOR is descriptive in that it summarizes cohort differences in a cumulative-hazard scale under explicit normalization of depletion geometry; it is inferential in that it provides falsifiable diagnostics and control-test behavior that constrain when the normalized contrast is interpretable. This positioning is intentional: under minimal-data constraints, explicitly normalizing a dominant bias geometry and transparently reporting when identifiability is not supported can be more reliable than insisting on point-identification of a causal effect. Accordingly, KCOR should be interpreted as identifying a depletion-adjusted descriptive contrast rather than a causal effect, even when that contrast is temporally aligned with a plausible biological mechanism.</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 Interpretation should be read in light of the non-identifiability considerations described above.</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depletion-neutralized baseline cumulative hazards, KCOR’s primary estimand remains cumulative by construction.</w:t>
      </w:r>
    </w:p>
    <w:bookmarkEnd w:id="144"/>
    <w:bookmarkStart w:id="145"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45"/>
    <w:bookmarkStart w:id="146"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27"/>
        </w:numPr>
      </w:pPr>
      <w:r>
        <w:t xml:space="preserve">Enrollment definition and justification</w:t>
      </w:r>
    </w:p>
    <w:p>
      <w:pPr>
        <w:pStyle w:val="Compact"/>
        <w:numPr>
          <w:ilvl w:val="0"/>
          <w:numId w:val="1027"/>
        </w:numPr>
      </w:pPr>
      <w:r>
        <w:t xml:space="preserve">Risk set definitions and event-time binning</w:t>
      </w:r>
    </w:p>
    <w:p>
      <w:pPr>
        <w:pStyle w:val="Compact"/>
        <w:numPr>
          <w:ilvl w:val="0"/>
          <w:numId w:val="1027"/>
        </w:numPr>
      </w:pPr>
      <w:r>
        <w:t xml:space="preserve">Quiet-window definition and justification</w:t>
      </w:r>
    </w:p>
    <w:p>
      <w:pPr>
        <w:pStyle w:val="Compact"/>
        <w:numPr>
          <w:ilvl w:val="0"/>
          <w:numId w:val="1027"/>
        </w:numPr>
      </w:pPr>
      <w:r>
        <w:t xml:space="preserve">Baseline-shape choice (default constant baseline over the fit window) and fit diagnostics</w:t>
      </w:r>
    </w:p>
    <w:p>
      <w:pPr>
        <w:pStyle w:val="Compact"/>
        <w:numPr>
          <w:ilvl w:val="0"/>
          <w:numId w:val="1027"/>
        </w:numPr>
      </w:pPr>
      <w:r>
        <w:t xml:space="preserve">Skip/stabilization rule and robustness to nearby values</w:t>
      </w:r>
    </w:p>
    <w:p>
      <w:pPr>
        <w:pStyle w:val="Compact"/>
        <w:numPr>
          <w:ilvl w:val="0"/>
          <w:numId w:val="1027"/>
        </w:numPr>
      </w:pPr>
      <w:r>
        <w:t xml:space="preserve">Predefined negative/positive controls used for validation</w:t>
      </w:r>
    </w:p>
    <w:p>
      <w:pPr>
        <w:pStyle w:val="Compact"/>
        <w:numPr>
          <w:ilvl w:val="0"/>
          <w:numId w:val="1027"/>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46"/>
    <w:bookmarkStart w:id="147"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bookmarkEnd w:id="147"/>
    <w:bookmarkEnd w:id="148"/>
    <w:bookmarkStart w:id="152" w:name="limitations"/>
    <w:p>
      <w:pPr>
        <w:pStyle w:val="Heading2"/>
      </w:pPr>
      <w:r>
        <w:t xml:space="preserve">5. Limitations</w:t>
      </w:r>
    </w:p>
    <w:p>
      <w:pPr>
        <w:pStyle w:val="Compact"/>
        <w:numPr>
          <w:ilvl w:val="0"/>
          <w:numId w:val="1028"/>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8"/>
        </w:numPr>
      </w:pPr>
      <w:r>
        <w:rPr>
          <w:b/>
          <w:bCs/>
        </w:rPr>
        <w:t xml:space="preserve">Relation to existing non-PH methods</w:t>
      </w:r>
      <w:r>
        <w:t xml:space="preserve">: KCOR is complementary to time-varying Cox, flexible parametric, additive hazards, and MSM approaches; these methods address different estimands and identification strategies, whereas KCOR targets depletion-geometry normalization under minimal-data constraints (see §1.3.1).</w:t>
      </w:r>
    </w:p>
    <w:p>
      <w:pPr>
        <w:pStyle w:val="Compact"/>
        <w:numPr>
          <w:ilvl w:val="0"/>
          <w:numId w:val="1028"/>
        </w:numPr>
      </w:pPr>
      <w:r>
        <w:rPr>
          <w:b/>
          <w:bCs/>
        </w:rPr>
        <w:t xml:space="preserve">θ estimation is data-driven</w:t>
      </w:r>
      <w:r>
        <w:t xml:space="preserve">: KCOR does not impose θ = 0 for any cohort. The frequent observation that fitted frailty variance estimates collapse toward zero for vaccinated cohorts is a data-driven result of the frailty fit and should not be interpreted as an assumption of homogeneity.</w:t>
      </w:r>
    </w:p>
    <w:p>
      <w:pPr>
        <w:pStyle w:val="Compact"/>
        <w:numPr>
          <w:ilvl w:val="0"/>
          <w:numId w:val="1028"/>
        </w:numPr>
      </w:pPr>
      <w:r>
        <w:rPr>
          <w:b/>
          <w:bCs/>
        </w:rPr>
        <w:t xml:space="preserve">Sparse events</w:t>
      </w:r>
      <w:r>
        <w:t xml:space="preserve">: When event counts are small, hazard estimation and parameter fitting can be unstable.</w:t>
      </w:r>
    </w:p>
    <w:p>
      <w:pPr>
        <w:pStyle w:val="Compact"/>
        <w:numPr>
          <w:ilvl w:val="0"/>
          <w:numId w:val="1028"/>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8"/>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8"/>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fitted frailty variance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49"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9"/>
        </w:numPr>
      </w:pPr>
      <w:r>
        <w:rPr>
          <w:b/>
          <w:bCs/>
        </w:rPr>
        <w:t xml:space="preserve">Mis-specified quiet window</w:t>
      </w:r>
      <w:r>
        <w:t xml:space="preserve">: If the quiet window overlaps major external shocks (epidemic waves, policy changes, reporting artifacts), the fitted parameters may absorb non-selection dynamics, biasing normalization.</w:t>
      </w:r>
    </w:p>
    <w:p>
      <w:pPr>
        <w:pStyle w:val="Compact"/>
        <w:numPr>
          <w:ilvl w:val="0"/>
          <w:numId w:val="1029"/>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9"/>
        </w:numPr>
      </w:pPr>
      <w:r>
        <w:rPr>
          <w:b/>
          <w:bCs/>
        </w:rPr>
        <w:t xml:space="preserve">Extremely sparse cohorts</w:t>
      </w:r>
      <w:r>
        <w:t xml:space="preserve">: When events are rare, observed cumulative hazards become noisy and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can be weakly identified, often manifesting as unstable fitted frailty variance estimates or wide uncertainty.</w:t>
      </w:r>
    </w:p>
    <w:p>
      <w:pPr>
        <w:pStyle w:val="Compact"/>
        <w:numPr>
          <w:ilvl w:val="0"/>
          <w:numId w:val="1029"/>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30"/>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30"/>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 fitted parameters under small perturbations of the quiet-window bounds.</w:t>
      </w:r>
    </w:p>
    <w:p>
      <w:pPr>
        <w:pStyle w:val="Compact"/>
        <w:numPr>
          <w:ilvl w:val="0"/>
          <w:numId w:val="1030"/>
        </w:numPr>
      </w:pPr>
      <w:r>
        <w:rPr>
          <w:b/>
          <w:bCs/>
        </w:rPr>
        <w:t xml:space="preserve">Sensitivity analyses</w:t>
      </w:r>
      <w:r>
        <w:t xml:space="preserve"> </w:t>
      </w:r>
      <w:r>
        <w:t xml:space="preserve">over plausible quiet windows and skip-weeks values.</w:t>
      </w:r>
    </w:p>
    <w:p>
      <w:pPr>
        <w:pStyle w:val="Compact"/>
        <w:numPr>
          <w:ilvl w:val="0"/>
          <w:numId w:val="1030"/>
        </w:numPr>
      </w:pPr>
      <w:r>
        <w:rPr>
          <w:b/>
          <w:bCs/>
        </w:rPr>
        <w:t xml:space="preserve">Prespecified negative controls</w:t>
      </w:r>
      <w:r>
        <w:t xml:space="preserv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49"/>
    <w:bookmarkStart w:id="150"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KCOR(t)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KCOR(t) trajectories tend to attenuate toward unity rather than diverge, reflecting loss of identifiability rather than false detection. This behavior is illustrated in the S7 overlap variant, where treatment and selection are deliberately confounded in time: KCOR(t)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exclude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50"/>
    <w:bookmarkStart w:id="151" w:name="X5f05abe0762c7ae0ab5904f62ce19850163a03c"/>
    <w:p>
      <w:pPr>
        <w:pStyle w:val="Heading3"/>
      </w:pPr>
      <w:r>
        <w:t xml:space="preserve">5.3 Data requirements and external validation</w:t>
      </w:r>
    </w:p>
    <w:p>
      <w:pPr>
        <w:pStyle w:val="FirstParagraph"/>
      </w:pPr>
      <w:r>
        <w:t xml:space="preserve">In finite samples, KCOR precision is driven primarily by the number of events observed over follow-up. In simulation (selection-only null), cohorts of approximately 5,000 per arm yielded stable KCOR estimates with narrow uncertainty, whereas smaller cohorts exhibited appreciable Monte Carlo variability and occasional spurious deviations. We therefore recommend reporting event counts and conducting a simple cohort-size sensitivity check when applying KCOR to sparse outcomes.</w:t>
      </w:r>
    </w:p>
    <w:p>
      <w:pPr>
        <w:pStyle w:val="BodyText"/>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51"/>
    <w:bookmarkEnd w:id="152"/>
    <w:bookmarkStart w:id="153"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bookmarkEnd w:id="153"/>
    <w:bookmarkStart w:id="164" w:name="declarations"/>
    <w:p>
      <w:pPr>
        <w:pStyle w:val="Heading2"/>
      </w:pPr>
      <w:r>
        <w:t xml:space="preserve">Declarations</w:t>
      </w:r>
    </w:p>
    <w:bookmarkStart w:id="154" w:name="Xd182db0490b2de20bd2b4e4cc8698599182035f"/>
    <w:p>
      <w:pPr>
        <w:pStyle w:val="Heading3"/>
      </w:pPr>
      <w:r>
        <w:t xml:space="preserve">Ethics approval and consent to participate</w:t>
      </w:r>
    </w:p>
    <w:p>
      <w:pPr>
        <w:pStyle w:val="FirstParagraph"/>
      </w:pPr>
      <w:r>
        <w:t xml:space="preserve">This study used only simulated data and publicly available, aggregated registry summaries that contain no individual-level or identifiable information; as such, it did not constitute human subjects research and was exempt from institutional review board oversight. This is a methods-only manuscript. The primary validation results use synthetic data. Empirical negative-control figures (Figures 5 and 6) use aggregated cohort summaries derived from Czech Republic administrative data; no record-level data are shared in this manuscript.</w:t>
      </w:r>
      <w:r>
        <w:rPr>
          <w:vertAlign w:val="superscript"/>
        </w:rPr>
        <w:t xml:space="preserve">12</w:t>
      </w:r>
    </w:p>
    <w:bookmarkEnd w:id="154"/>
    <w:bookmarkStart w:id="155" w:name="consent-for-publication"/>
    <w:p>
      <w:pPr>
        <w:pStyle w:val="Heading3"/>
      </w:pPr>
      <w:r>
        <w:t xml:space="preserve">Consent for publication</w:t>
      </w:r>
    </w:p>
    <w:p>
      <w:pPr>
        <w:pStyle w:val="FirstParagraph"/>
      </w:pPr>
      <w:r>
        <w:t xml:space="preserve">Not applicable.</w:t>
      </w:r>
    </w:p>
    <w:bookmarkEnd w:id="155"/>
    <w:bookmarkStart w:id="156" w:name="data-availability"/>
    <w:p>
      <w:pPr>
        <w:pStyle w:val="Heading3"/>
      </w:pPr>
      <w:r>
        <w:t xml:space="preserve">Data availability</w:t>
      </w:r>
    </w:p>
    <w:p>
      <w:pPr>
        <w:pStyle w:val="FirstParagraph"/>
      </w:pPr>
      <w:r>
        <w:t xml:space="preserve">No individual-level data were accessed or analyzed in this study.</w:t>
      </w:r>
    </w:p>
    <w:p>
      <w:pPr>
        <w:pStyle w:val="Compact"/>
        <w:numPr>
          <w:ilvl w:val="0"/>
          <w:numId w:val="1031"/>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31"/>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31"/>
        </w:numPr>
      </w:pPr>
      <w:r>
        <w:t xml:space="preserve">The reference implementation includes example datasets in KCOR_CMR format for reproducibility.</w:t>
      </w:r>
    </w:p>
    <w:p>
      <w:pPr>
        <w:pStyle w:val="Compact"/>
        <w:numPr>
          <w:ilvl w:val="0"/>
          <w:numId w:val="1031"/>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56"/>
    <w:bookmarkStart w:id="159" w:name="code-availability"/>
    <w:p>
      <w:pPr>
        <w:pStyle w:val="Heading3"/>
      </w:pPr>
      <w:r>
        <w:t xml:space="preserve">Code availability</w:t>
      </w:r>
    </w:p>
    <w:p>
      <w:pPr>
        <w:pStyle w:val="Compact"/>
        <w:numPr>
          <w:ilvl w:val="0"/>
          <w:numId w:val="1032"/>
        </w:numPr>
      </w:pPr>
      <w:r>
        <w:t xml:space="preserve">The KCOR reference implementation and complete validation suite are available in the project repository.</w:t>
      </w:r>
    </w:p>
    <w:p>
      <w:pPr>
        <w:pStyle w:val="Compact"/>
        <w:numPr>
          <w:ilvl w:val="0"/>
          <w:numId w:val="1032"/>
        </w:numPr>
      </w:pPr>
      <w:r>
        <w:t xml:space="preserve">Repository URL:</w:t>
      </w:r>
      <w:r>
        <w:t xml:space="preserve"> </w:t>
      </w:r>
      <w:hyperlink r:id="rId157">
        <w:r>
          <w:rPr>
            <w:rStyle w:val="Hyperlink"/>
          </w:rPr>
          <w:t xml:space="preserve">https://github.com/skirsch/KCOR</w:t>
        </w:r>
      </w:hyperlink>
    </w:p>
    <w:p>
      <w:pPr>
        <w:pStyle w:val="Compact"/>
        <w:numPr>
          <w:ilvl w:val="0"/>
          <w:numId w:val="1032"/>
        </w:numPr>
      </w:pPr>
      <w:r>
        <w:t xml:space="preserve">Zenodo DOI:</w:t>
      </w:r>
      <w:r>
        <w:t xml:space="preserve"> </w:t>
      </w:r>
      <w:hyperlink r:id="rId158">
        <w:r>
          <w:rPr>
            <w:rStyle w:val="Hyperlink"/>
          </w:rPr>
          <w:t xml:space="preserve">10.5281/zenodo.18050329</w:t>
        </w:r>
      </w:hyperlink>
    </w:p>
    <w:p>
      <w:pPr>
        <w:pStyle w:val="Compact"/>
        <w:numPr>
          <w:ilvl w:val="0"/>
          <w:numId w:val="1032"/>
        </w:numPr>
      </w:pPr>
      <w:r>
        <w:t xml:space="preserve">RMST computation and comparison table generation are implemented via functions</w:t>
      </w:r>
      <w:r>
        <w:t xml:space="preserve"> </w:t>
      </w:r>
      <w:r>
        <w:rPr>
          <w:rStyle w:val="VerbatimChar"/>
        </w:rPr>
        <w:t xml:space="preserve">compute_rmst_from_cohort()</w:t>
      </w:r>
      <w:r>
        <w:t xml:space="preserve"> </w:t>
      </w:r>
      <w:r>
        <w:t xml:space="preserve">and</w:t>
      </w:r>
      <w:r>
        <w:t xml:space="preserve"> </w:t>
      </w:r>
      <w:r>
        <w:rPr>
          <w:rStyle w:val="VerbatimChar"/>
        </w:rPr>
        <w:t xml:space="preserve">generate_comparison_table()</w:t>
      </w:r>
      <w:r>
        <w:t xml:space="preserve"> </w:t>
      </w:r>
      <w:r>
        <w:t xml:space="preserve">in</w:t>
      </w:r>
      <w:r>
        <w:t xml:space="preserve"> </w:t>
      </w:r>
      <w:r>
        <w:rPr>
          <w:rStyle w:val="VerbatimChar"/>
        </w:rPr>
        <w:t xml:space="preserve">test/sim_grid/code/generate_sim_grid.py</w:t>
      </w:r>
      <w:r>
        <w:t xml:space="preserve">. Both RMST and time-varying Cox comparators run on the same simulation outputs as KCOR evaluation; no additional random seeds or data generation are required.</w:t>
      </w:r>
    </w:p>
    <w:bookmarkEnd w:id="159"/>
    <w:bookmarkStart w:id="160" w:name="competing-interests"/>
    <w:p>
      <w:pPr>
        <w:pStyle w:val="Heading3"/>
      </w:pPr>
      <w:r>
        <w:t xml:space="preserve">Competing interests</w:t>
      </w:r>
    </w:p>
    <w:p>
      <w:pPr>
        <w:pStyle w:val="FirstParagraph"/>
      </w:pPr>
      <w:r>
        <w:t xml:space="preserve">The author is a board member of the Vaccine Safety Research Foundation.</w:t>
      </w:r>
    </w:p>
    <w:bookmarkEnd w:id="160"/>
    <w:bookmarkStart w:id="161" w:name="funding"/>
    <w:p>
      <w:pPr>
        <w:pStyle w:val="Heading3"/>
      </w:pPr>
      <w:r>
        <w:t xml:space="preserve">Funding</w:t>
      </w:r>
    </w:p>
    <w:p>
      <w:pPr>
        <w:pStyle w:val="FirstParagraph"/>
      </w:pPr>
      <w:r>
        <w:t xml:space="preserve">This research received no external funding.</w:t>
      </w:r>
    </w:p>
    <w:bookmarkEnd w:id="161"/>
    <w:bookmarkStart w:id="162"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62"/>
    <w:bookmarkStart w:id="163" w:name="acknowledgements"/>
    <w:p>
      <w:pPr>
        <w:pStyle w:val="Heading3"/>
      </w:pPr>
      <w:r>
        <w:t xml:space="preserve">Acknowledgements</w:t>
      </w:r>
    </w:p>
    <w:p>
      <w:pPr>
        <w:pStyle w:val="FirstParagraph"/>
      </w:pPr>
      <w:r>
        <w:t xml:space="preserve">The author thanks James Lyons-Weiler and Dr. Clare Craig for helpful discussions and methodological feedback during the development of this work. All errors remain the author’s responsibility.</w:t>
      </w:r>
    </w:p>
    <w:bookmarkEnd w:id="163"/>
    <w:bookmarkEnd w:id="164"/>
    <w:bookmarkStart w:id="189" w:name="references"/>
    <w:p>
      <w:pPr>
        <w:pStyle w:val="Heading2"/>
      </w:pPr>
      <w:r>
        <w:t xml:space="preserve">References</w:t>
      </w:r>
    </w:p>
    <w:bookmarkStart w:id="188" w:name="refs"/>
    <w:bookmarkStart w:id="166"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65">
        <w:r>
          <w:rPr>
            <w:rStyle w:val="Hyperlink"/>
          </w:rPr>
          <w:t xml:space="preserve">10.2307/2061224</w:t>
        </w:r>
      </w:hyperlink>
    </w:p>
    <w:bookmarkEnd w:id="166"/>
    <w:bookmarkStart w:id="168"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67">
        <w:r>
          <w:rPr>
            <w:rStyle w:val="Hyperlink"/>
          </w:rPr>
          <w:t xml:space="preserve">10.2147/CLEP.S468572</w:t>
        </w:r>
      </w:hyperlink>
    </w:p>
    <w:bookmarkEnd w:id="168"/>
    <w:bookmarkStart w:id="170"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69">
        <w:r>
          <w:rPr>
            <w:rStyle w:val="Hyperlink"/>
          </w:rPr>
          <w:t xml:space="preserve">10.7554/eLife.103690</w:t>
        </w:r>
      </w:hyperlink>
    </w:p>
    <w:bookmarkEnd w:id="170"/>
    <w:bookmarkStart w:id="172" w:name="ref-grambsch1994"/>
    <w:p>
      <w:pPr>
        <w:pStyle w:val="Bibliography"/>
      </w:pPr>
      <w:r>
        <w:t xml:space="preserve">4.</w:t>
      </w:r>
      <w:r>
        <w:t xml:space="preserve"> </w:t>
      </w:r>
      <w:r>
        <w:t xml:space="preserve">	</w:t>
      </w:r>
      <w:r>
        <w:t xml:space="preserve">Grambsch PM, Therneau TM. Proportional hazards tests and diagnostics based on weighted residuals.</w:t>
      </w:r>
      <w:r>
        <w:t xml:space="preserve"> </w:t>
      </w:r>
      <w:r>
        <w:rPr>
          <w:i/>
          <w:iCs/>
        </w:rPr>
        <w:t xml:space="preserve">Biometrika</w:t>
      </w:r>
      <w:r>
        <w:t xml:space="preserve">. 1994;81(3):515-526. doi:</w:t>
      </w:r>
      <w:hyperlink r:id="rId171">
        <w:r>
          <w:rPr>
            <w:rStyle w:val="Hyperlink"/>
          </w:rPr>
          <w:t xml:space="preserve">10.1093/biomet/81.3.515</w:t>
        </w:r>
      </w:hyperlink>
    </w:p>
    <w:bookmarkEnd w:id="172"/>
    <w:bookmarkStart w:id="174" w:name="ref-andersen1982"/>
    <w:p>
      <w:pPr>
        <w:pStyle w:val="Bibliography"/>
      </w:pPr>
      <w:r>
        <w:t xml:space="preserve">5.</w:t>
      </w:r>
      <w:r>
        <w:t xml:space="preserve"> </w:t>
      </w:r>
      <w:r>
        <w:t xml:space="preserve">	</w:t>
      </w:r>
      <w:r>
        <w:t xml:space="preserve">Andersen PK, Gill RD. Cox’s</w:t>
      </w:r>
      <w:r>
        <w:t xml:space="preserve"> </w:t>
      </w:r>
      <w:r>
        <w:t xml:space="preserve">Regression Model</w:t>
      </w:r>
      <w:r>
        <w:t xml:space="preserve"> </w:t>
      </w:r>
      <w:r>
        <w:t xml:space="preserve">for</w:t>
      </w:r>
      <w:r>
        <w:t xml:space="preserve"> </w:t>
      </w:r>
      <w:r>
        <w:t xml:space="preserve">Counting Processes</w:t>
      </w:r>
      <w:r>
        <w:t xml:space="preserve">:</w:t>
      </w:r>
      <w:r>
        <w:t xml:space="preserve"> </w:t>
      </w:r>
      <w:r>
        <w:t xml:space="preserve">A Large Sample Study</w:t>
      </w:r>
      <w:r>
        <w:t xml:space="preserve">.</w:t>
      </w:r>
      <w:r>
        <w:t xml:space="preserve"> </w:t>
      </w:r>
      <w:r>
        <w:rPr>
          <w:i/>
          <w:iCs/>
        </w:rPr>
        <w:t xml:space="preserve">The Annals of Statistics</w:t>
      </w:r>
      <w:r>
        <w:t xml:space="preserve">. 1982;10(4). doi:</w:t>
      </w:r>
      <w:hyperlink r:id="rId173">
        <w:r>
          <w:rPr>
            <w:rStyle w:val="Hyperlink"/>
          </w:rPr>
          <w:t xml:space="preserve">10.1214/aos/1176345976</w:t>
        </w:r>
      </w:hyperlink>
    </w:p>
    <w:bookmarkEnd w:id="174"/>
    <w:bookmarkStart w:id="176" w:name="ref-royston2002"/>
    <w:p>
      <w:pPr>
        <w:pStyle w:val="Bibliography"/>
      </w:pPr>
      <w:r>
        <w:t xml:space="preserve">6.</w:t>
      </w:r>
      <w:r>
        <w:t xml:space="preserve"> </w:t>
      </w:r>
      <w:r>
        <w:t xml:space="preserve">	</w:t>
      </w:r>
      <w:r>
        <w:t xml:space="preserve">Royston P, Parmar MKB. Flexible parametric proportional-hazards and proportional-odds models for censored survival data, with application to prognostic modelling and estimation of treatment effects.</w:t>
      </w:r>
      <w:r>
        <w:t xml:space="preserve"> </w:t>
      </w:r>
      <w:r>
        <w:rPr>
          <w:i/>
          <w:iCs/>
        </w:rPr>
        <w:t xml:space="preserve">Statistics in Medicine</w:t>
      </w:r>
      <w:r>
        <w:t xml:space="preserve">. 2002;21(15):2175-2197. doi:</w:t>
      </w:r>
      <w:hyperlink r:id="rId175">
        <w:r>
          <w:rPr>
            <w:rStyle w:val="Hyperlink"/>
          </w:rPr>
          <w:t xml:space="preserve">10.1002/sim.1203</w:t>
        </w:r>
      </w:hyperlink>
    </w:p>
    <w:bookmarkEnd w:id="176"/>
    <w:bookmarkStart w:id="178" w:name="ref-aalen1989"/>
    <w:p>
      <w:pPr>
        <w:pStyle w:val="Bibliography"/>
      </w:pPr>
      <w:r>
        <w:t xml:space="preserve">7.</w:t>
      </w:r>
      <w:r>
        <w:t xml:space="preserve"> </w:t>
      </w:r>
      <w:r>
        <w:t xml:space="preserve">	</w:t>
      </w:r>
      <w:r>
        <w:t xml:space="preserve">Aalen OO. A linear regression model for the analysis of life times.</w:t>
      </w:r>
      <w:r>
        <w:t xml:space="preserve"> </w:t>
      </w:r>
      <w:r>
        <w:rPr>
          <w:i/>
          <w:iCs/>
        </w:rPr>
        <w:t xml:space="preserve">Statistics in Medicine</w:t>
      </w:r>
      <w:r>
        <w:t xml:space="preserve">. 1989;8(8):907-925. doi:</w:t>
      </w:r>
      <w:hyperlink r:id="rId177">
        <w:r>
          <w:rPr>
            <w:rStyle w:val="Hyperlink"/>
          </w:rPr>
          <w:t xml:space="preserve">10.1002/sim.4780080803</w:t>
        </w:r>
      </w:hyperlink>
    </w:p>
    <w:bookmarkEnd w:id="178"/>
    <w:bookmarkStart w:id="180" w:name="ref-lin1994"/>
    <w:p>
      <w:pPr>
        <w:pStyle w:val="Bibliography"/>
      </w:pPr>
      <w:r>
        <w:t xml:space="preserve">8.</w:t>
      </w:r>
      <w:r>
        <w:t xml:space="preserve"> </w:t>
      </w:r>
      <w:r>
        <w:t xml:space="preserve">	</w:t>
      </w:r>
      <w:r>
        <w:t xml:space="preserve">Lin DY, Ying Z. Semiparametric analysis of the additive risk model.</w:t>
      </w:r>
      <w:r>
        <w:t xml:space="preserve"> </w:t>
      </w:r>
      <w:r>
        <w:rPr>
          <w:i/>
          <w:iCs/>
        </w:rPr>
        <w:t xml:space="preserve">Biometrika</w:t>
      </w:r>
      <w:r>
        <w:t xml:space="preserve">. 1994;81(1):61-71. doi:</w:t>
      </w:r>
      <w:hyperlink r:id="rId179">
        <w:r>
          <w:rPr>
            <w:rStyle w:val="Hyperlink"/>
          </w:rPr>
          <w:t xml:space="preserve">10.1093/biomet/81.1.61</w:t>
        </w:r>
      </w:hyperlink>
    </w:p>
    <w:bookmarkEnd w:id="180"/>
    <w:bookmarkStart w:id="182" w:name="ref-vanhouwelingen2007"/>
    <w:p>
      <w:pPr>
        <w:pStyle w:val="Bibliography"/>
      </w:pPr>
      <w:r>
        <w:t xml:space="preserve">9.</w:t>
      </w:r>
      <w:r>
        <w:t xml:space="preserve"> </w:t>
      </w:r>
      <w:r>
        <w:t xml:space="preserve">	</w:t>
      </w:r>
      <w:r>
        <w:t xml:space="preserve">Van Houwelingen HC. Dynamic</w:t>
      </w:r>
      <w:r>
        <w:t xml:space="preserve"> </w:t>
      </w:r>
      <w:r>
        <w:t xml:space="preserve">Prediction</w:t>
      </w:r>
      <w:r>
        <w:t xml:space="preserve"> </w:t>
      </w:r>
      <w:r>
        <w:t xml:space="preserve">by</w:t>
      </w:r>
      <w:r>
        <w:t xml:space="preserve"> </w:t>
      </w:r>
      <w:r>
        <w:t xml:space="preserve">Landmarking</w:t>
      </w:r>
      <w:r>
        <w:t xml:space="preserve"> </w:t>
      </w:r>
      <w:r>
        <w:t xml:space="preserve">in</w:t>
      </w:r>
      <w:r>
        <w:t xml:space="preserve"> </w:t>
      </w:r>
      <w:r>
        <w:t xml:space="preserve">Event History Analysis</w:t>
      </w:r>
      <w:r>
        <w:t xml:space="preserve">.</w:t>
      </w:r>
      <w:r>
        <w:t xml:space="preserve"> </w:t>
      </w:r>
      <w:r>
        <w:rPr>
          <w:i/>
          <w:iCs/>
        </w:rPr>
        <w:t xml:space="preserve">Scandinavian Journal of Statistics</w:t>
      </w:r>
      <w:r>
        <w:t xml:space="preserve">. 2007;34(1):70-85. doi:</w:t>
      </w:r>
      <w:hyperlink r:id="rId181">
        <w:r>
          <w:rPr>
            <w:rStyle w:val="Hyperlink"/>
          </w:rPr>
          <w:t xml:space="preserve">10.1111/j.1467-9469.2006.00529.x</w:t>
        </w:r>
      </w:hyperlink>
    </w:p>
    <w:bookmarkEnd w:id="182"/>
    <w:bookmarkStart w:id="184" w:name="ref-robins2000"/>
    <w:p>
      <w:pPr>
        <w:pStyle w:val="Bibliography"/>
      </w:pPr>
      <w:r>
        <w:t xml:space="preserve">10.</w:t>
      </w:r>
      <w:r>
        <w:t xml:space="preserve"> </w:t>
      </w:r>
      <w:r>
        <w:t xml:space="preserve">	</w:t>
      </w:r>
      <w:r>
        <w:t xml:space="preserve">Robins JM, Hernán MÁ, Brumback B. Marginal</w:t>
      </w:r>
      <w:r>
        <w:t xml:space="preserve"> </w:t>
      </w:r>
      <w:r>
        <w:t xml:space="preserve">Structural Models</w:t>
      </w:r>
      <w:r>
        <w:t xml:space="preserve"> </w:t>
      </w:r>
      <w:r>
        <w:t xml:space="preserve">and</w:t>
      </w:r>
      <w:r>
        <w:t xml:space="preserve"> </w:t>
      </w:r>
      <w:r>
        <w:t xml:space="preserve">Causal Inference</w:t>
      </w:r>
      <w:r>
        <w:t xml:space="preserve"> </w:t>
      </w:r>
      <w:r>
        <w:t xml:space="preserve">in</w:t>
      </w:r>
      <w:r>
        <w:t xml:space="preserve"> </w:t>
      </w:r>
      <w:r>
        <w:t xml:space="preserve">Epidemiology</w:t>
      </w:r>
      <w:r>
        <w:t xml:space="preserve">:</w:t>
      </w:r>
      <w:r>
        <w:t xml:space="preserve"> </w:t>
      </w:r>
      <w:r>
        <w:rPr>
          <w:i/>
          <w:iCs/>
        </w:rPr>
        <w:t xml:space="preserve">Epidemiology</w:t>
      </w:r>
      <w:r>
        <w:t xml:space="preserve">. 2000;11(5):550-560. doi:</w:t>
      </w:r>
      <w:hyperlink r:id="rId183">
        <w:r>
          <w:rPr>
            <w:rStyle w:val="Hyperlink"/>
          </w:rPr>
          <w:t xml:space="preserve">10.1097/00001648-200009000-00011</w:t>
        </w:r>
      </w:hyperlink>
    </w:p>
    <w:bookmarkEnd w:id="184"/>
    <w:bookmarkStart w:id="186" w:name="ref-cole2008"/>
    <w:p>
      <w:pPr>
        <w:pStyle w:val="Bibliography"/>
      </w:pPr>
      <w:r>
        <w:t xml:space="preserve">11.</w:t>
      </w:r>
      <w:r>
        <w:t xml:space="preserve"> </w:t>
      </w:r>
      <w:r>
        <w:t xml:space="preserve">	</w:t>
      </w:r>
      <w:r>
        <w:t xml:space="preserve">Cole SR, Hernan MA. Constructing</w:t>
      </w:r>
      <w:r>
        <w:t xml:space="preserve"> </w:t>
      </w:r>
      <w:r>
        <w:t xml:space="preserve">Inverse Probability Weights</w:t>
      </w:r>
      <w:r>
        <w:t xml:space="preserve"> </w:t>
      </w:r>
      <w:r>
        <w:t xml:space="preserve">for</w:t>
      </w:r>
      <w:r>
        <w:t xml:space="preserve"> </w:t>
      </w:r>
      <w:r>
        <w:t xml:space="preserve">Marginal Structural Models</w:t>
      </w:r>
      <w:r>
        <w:t xml:space="preserve">.</w:t>
      </w:r>
      <w:r>
        <w:t xml:space="preserve"> </w:t>
      </w:r>
      <w:r>
        <w:rPr>
          <w:i/>
          <w:iCs/>
        </w:rPr>
        <w:t xml:space="preserve">American Journal of Epidemiology</w:t>
      </w:r>
      <w:r>
        <w:t xml:space="preserve">. 2008;168(6):656-664. doi:</w:t>
      </w:r>
      <w:hyperlink r:id="rId185">
        <w:r>
          <w:rPr>
            <w:rStyle w:val="Hyperlink"/>
          </w:rPr>
          <w:t xml:space="preserve">10.1093/aje/kwn164</w:t>
        </w:r>
      </w:hyperlink>
    </w:p>
    <w:bookmarkEnd w:id="186"/>
    <w:bookmarkStart w:id="187" w:name="ref-sanca2024"/>
    <w:p>
      <w:pPr>
        <w:pStyle w:val="Bibliography"/>
      </w:pPr>
      <w:r>
        <w:t xml:space="preserve">12.</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87"/>
    <w:bookmarkEnd w:id="188"/>
    <w:bookmarkEnd w:id="189"/>
    <w:bookmarkStart w:id="247"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95" w:name="appendix-a.-mathematical-derivations"/>
    <w:p>
      <w:pPr>
        <w:pStyle w:val="Heading3"/>
      </w:pPr>
      <w:r>
        <w:t xml:space="preserve">Appendix A. Mathematical derivations</w:t>
      </w:r>
    </w:p>
    <w:bookmarkStart w:id="190" w:name="X949c457b8ec3518d2fcc001fd53881dea62bb28"/>
    <w:p>
      <w:pPr>
        <w:pStyle w:val="Heading4"/>
      </w:pPr>
      <w:r>
        <w:t xml:space="preserve">A.1 Frailty mixing induces hazard curvature</w:t>
      </w:r>
    </w:p>
    <w:p>
      <w:pPr>
        <w:pStyle w:val="FirstParagraph"/>
      </w:pPr>
      <w:r>
        <w:t xml:space="preserve">Consider a cohort</w:t>
      </w:r>
      <w:r>
        <w:t xml:space="preserve"> </w:t>
      </w:r>
      <m:oMath>
        <m:r>
          <m:t>d</m:t>
        </m:r>
      </m:oMath>
      <w:r>
        <w:t xml:space="preserve"> </w:t>
      </w:r>
      <w:r>
        <w:t xml:space="preserve">where individual</w:t>
      </w:r>
      <w:r>
        <w:t xml:space="preserve"> </w:t>
      </w:r>
      <m:oMath>
        <m:r>
          <m:t>i</m:t>
        </m:r>
      </m:oMath>
      <w:r>
        <w:t xml:space="preserve"> </w:t>
      </w:r>
      <w:r>
        <w:t xml:space="preserve">has hazard</w:t>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rPr>
            <m:sty m:val="p"/>
          </m:rPr>
          <m:t>⋅</m:t>
        </m:r>
        <m:sSub>
          <m:e>
            <m:r>
              <m:t>h</m:t>
            </m:r>
          </m:e>
          <m:sub>
            <m:r>
              <m:t>0</m:t>
            </m:r>
            <m:r>
              <m:rPr>
                <m:sty m:val="p"/>
              </m:rPr>
              <m:t>,</m:t>
            </m:r>
            <m:r>
              <m:t>d</m:t>
            </m:r>
          </m:sub>
        </m:sSub>
        <m:r>
          <m:rPr>
            <m:sty m:val="p"/>
          </m:rPr>
          <m:t>(</m:t>
        </m:r>
        <m:r>
          <m:t>t</m:t>
        </m:r>
        <m:r>
          <m:rPr>
            <m:sty m:val="p"/>
          </m:rPr>
          <m:t>)</m:t>
        </m:r>
      </m:oMath>
      <w:r>
        <w:t xml:space="preserve">, with frailty</w:t>
      </w:r>
      <w:r>
        <w:t xml:space="preserve"> </w:t>
      </w:r>
      <m:oMath>
        <m:sSub>
          <m:e>
            <m:r>
              <m:t>z</m:t>
            </m:r>
          </m:e>
          <m:sub>
            <m:r>
              <m:t>i</m:t>
            </m:r>
            <m:r>
              <m:rPr>
                <m:sty m:val="p"/>
              </m:rPr>
              <m:t>,</m:t>
            </m:r>
            <m:r>
              <m:t>d</m:t>
            </m:r>
          </m:sub>
        </m:sSub>
      </m:oMath>
      <w:r>
        <w:t xml:space="preserve"> </w:t>
      </w:r>
      <w:r>
        <w:t xml:space="preserve">drawn from a distribution with mean 1 and variance</w:t>
      </w:r>
      <w:r>
        <w:t xml:space="preserve"> </w:t>
      </w:r>
      <m:oMath>
        <m:sSub>
          <m:e>
            <m:r>
              <m:t>θ</m:t>
            </m:r>
          </m:e>
          <m:sub>
            <m:r>
              <m:t>d</m:t>
            </m:r>
          </m:sub>
        </m:sSub>
        <m:r>
          <m:rPr>
            <m:sty m:val="p"/>
          </m:rPr>
          <m:t>&gt;</m:t>
        </m:r>
        <m:r>
          <m:t>0</m:t>
        </m:r>
      </m:oMath>
      <w:r>
        <w:t xml:space="preserve">. Let</w:t>
      </w:r>
      <w:r>
        <w:t xml:space="preserve"> </w:t>
      </w:r>
      <m:oMath>
        <m:sSub>
          <m:e>
            <m:r>
              <m:t>S</m:t>
            </m:r>
          </m:e>
          <m:sub>
            <m:r>
              <m:t>i</m:t>
            </m:r>
            <m:r>
              <m:rPr>
                <m:sty m:val="p"/>
              </m:rPr>
              <m:t>,</m:t>
            </m:r>
            <m:r>
              <m:t>d</m:t>
            </m:r>
          </m:sub>
        </m:sSub>
        <m:r>
          <m:rPr>
            <m:sty m:val="p"/>
          </m:rPr>
          <m:t>(</m:t>
        </m:r>
        <m:r>
          <m:t>t</m:t>
        </m:r>
        <m:r>
          <m:rPr>
            <m:sty m:val="p"/>
          </m:rPr>
          <m:t>)</m:t>
        </m:r>
        <m:r>
          <m:rPr>
            <m:sty m:val="p"/>
          </m:rPr>
          <m:t>=</m:t>
        </m:r>
        <m:r>
          <m:rPr>
            <m:sty m:val="p"/>
          </m:rPr>
          <m:t>exp</m:t>
        </m:r>
        <m:r>
          <m:t>​</m:t>
        </m:r>
        <m:d>
          <m:dPr>
            <m:begChr m:val="("/>
            <m:sepChr m:val=""/>
            <m:endChr m:val=")"/>
            <m:grow/>
          </m:dPr>
          <m:e>
            <m:r>
              <m:rPr>
                <m:sty m:val="p"/>
              </m:rPr>
              <m:t>−</m:t>
            </m:r>
            <m:sSub>
              <m:e>
                <m:r>
                  <m:t>z</m:t>
                </m:r>
              </m:e>
              <m:sub>
                <m:r>
                  <m:t>i</m:t>
                </m:r>
                <m:r>
                  <m:rPr>
                    <m:sty m:val="p"/>
                  </m:rPr>
                  <m:t>,</m:t>
                </m:r>
                <m:r>
                  <m:t>d</m:t>
                </m:r>
              </m:sub>
            </m:sSub>
            <m:sSub>
              <m:e>
                <m:r>
                  <m:t>H</m:t>
                </m:r>
              </m:e>
              <m:sub>
                <m:r>
                  <m:t>0</m:t>
                </m:r>
                <m:r>
                  <m:rPr>
                    <m:sty m:val="p"/>
                  </m:rPr>
                  <m:t>,</m:t>
                </m:r>
                <m:r>
                  <m:t>d</m:t>
                </m:r>
              </m:sub>
            </m:sSub>
            <m:r>
              <m:rPr>
                <m:sty m:val="p"/>
              </m:rPr>
              <m:t>(</m:t>
            </m:r>
            <m:r>
              <m:t>t</m:t>
            </m:r>
            <m:r>
              <m:rPr>
                <m:sty m:val="p"/>
              </m:rPr>
              <m:t>)</m:t>
            </m:r>
          </m:e>
        </m:d>
      </m:oMath>
      <w:r>
        <w:t xml:space="preserve"> </w:t>
      </w:r>
      <w:r>
        <w:t xml:space="preserve">be the individual survival function, where</w:t>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b>
            <m:e>
              <m:r>
                <m:t>E</m:t>
              </m:r>
            </m:e>
            <m:sub>
              <m:r>
                <m:t>z</m:t>
              </m:r>
            </m:sub>
          </m:sSub>
          <m:r>
            <m:rPr>
              <m:sty m:val="p"/>
            </m:rPr>
            <m:t>[</m:t>
          </m:r>
          <m:sSub>
            <m:e>
              <m:r>
                <m:t>S</m:t>
              </m:r>
            </m:e>
            <m:sub>
              <m:r>
                <m:t>i</m:t>
              </m:r>
              <m:r>
                <m:rPr>
                  <m:sty m:val="p"/>
                </m:rPr>
                <m:t>,</m:t>
              </m:r>
              <m:r>
                <m:t>d</m:t>
              </m:r>
            </m:sub>
          </m:sSub>
          <m:r>
            <m:rPr>
              <m:sty m:val="p"/>
            </m:rPr>
            <m:t>(</m:t>
          </m:r>
          <m:r>
            <m:t>t</m:t>
          </m:r>
          <m:r>
            <m:rPr>
              <m:sty m:val="p"/>
            </m:rPr>
            <m:t>)</m:t>
          </m:r>
          <m:r>
            <m:rPr>
              <m:sty m:val="p"/>
            </m:rPr>
            <m:t>]</m:t>
          </m:r>
          <m:r>
            <m:rPr>
              <m:sty m:val="p"/>
            </m:rPr>
            <m:t>=</m:t>
          </m:r>
          <m:sSub>
            <m:e>
              <m:r>
                <m:t>E</m:t>
              </m:r>
            </m:e>
            <m:sub>
              <m:r>
                <m:t>z</m:t>
              </m:r>
            </m:sub>
          </m:sSub>
          <m:r>
            <m:t>​</m:t>
          </m:r>
          <m:d>
            <m:dPr>
              <m:begChr m:val="["/>
              <m:sepChr m:val=""/>
              <m:endChr m:val="]"/>
              <m:grow/>
            </m:dPr>
            <m:e>
              <m:r>
                <m:rPr>
                  <m:sty m:val="p"/>
                </m:rPr>
                <m:t>exp</m:t>
              </m:r>
              <m:r>
                <m:t>​</m:t>
              </m:r>
              <m:d>
                <m:dPr>
                  <m:begChr m:val="("/>
                  <m:sepChr m:val=""/>
                  <m:endChr m:val=")"/>
                  <m:grow/>
                </m:dPr>
                <m:e>
                  <m:r>
                    <m:rPr>
                      <m:sty m:val="p"/>
                    </m:rPr>
                    <m:t>−</m:t>
                  </m:r>
                  <m:r>
                    <m:t>z</m:t>
                  </m:r>
                  <m:sSub>
                    <m:e>
                      <m:r>
                        <m:t>H</m:t>
                      </m:r>
                    </m:e>
                    <m:sub>
                      <m:r>
                        <m:t>0</m:t>
                      </m:r>
                      <m:r>
                        <m:rPr>
                          <m:sty m:val="p"/>
                        </m:rPr>
                        <m:t>,</m:t>
                      </m:r>
                      <m:r>
                        <m:t>d</m:t>
                      </m:r>
                    </m:sub>
                  </m:sSub>
                  <m:r>
                    <m:rPr>
                      <m:sty m:val="p"/>
                    </m:rPr>
                    <m:t>(</m:t>
                  </m:r>
                  <m:r>
                    <m:t>t</m:t>
                  </m:r>
                  <m:r>
                    <m:rPr>
                      <m:sty m:val="p"/>
                    </m:rPr>
                    <m:t>)</m:t>
                  </m:r>
                </m:e>
              </m:d>
            </m:e>
          </m:d>
          <m:r>
            <m:rPr>
              <m:sty m:val="p"/>
            </m:rPr>
            <m:t>=</m:t>
          </m:r>
          <m:sSub>
            <m:e>
              <m:r>
                <m:rPr>
                  <m:scr m:val="script"/>
                  <m:sty m:val="p"/>
                </m:rPr>
                <m:t>L</m:t>
              </m:r>
            </m:e>
            <m:sub>
              <m:r>
                <m:t>z</m:t>
              </m:r>
            </m:sub>
          </m:sSub>
          <m:r>
            <m:t>​</m:t>
          </m:r>
          <m:d>
            <m:dPr>
              <m:begChr m:val="("/>
              <m:sepChr m:val=""/>
              <m:endChr m:val=")"/>
              <m:grow/>
            </m:dPr>
            <m:e>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r>
            <m:rPr>
              <m:sty m:val="p"/>
            </m:rPr>
            <m:t>−</m:t>
          </m:r>
          <m:f>
            <m:fPr>
              <m:type m:val="bar"/>
            </m:fPr>
            <m:num>
              <m:r>
                <m:t>d</m:t>
              </m:r>
            </m:num>
            <m:den>
              <m:r>
                <m:t>d</m:t>
              </m:r>
              <m:r>
                <m:t>t</m:t>
              </m:r>
            </m:den>
          </m:f>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oMath>
      <w:r>
        <w:t xml:space="preserve"> </w:t>
      </w:r>
      <w:r>
        <w:t xml:space="preserve">is constant (so</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t>t</m:t>
        </m:r>
      </m:oMath>
      <w:r>
        <w:t xml:space="preserve">), the cohort hazard</w:t>
      </w:r>
      <w:r>
        <w:t xml:space="preserve"> </w:t>
      </w: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90"/>
    <w:bookmarkStart w:id="191"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sSub>
          <m:e>
            <m:r>
              <m:t>θ</m:t>
            </m:r>
          </m:e>
          <m:sub>
            <m:r>
              <m:t>d</m:t>
            </m:r>
          </m:sub>
        </m:sSub>
        <m:r>
          <m:rPr>
            <m:sty m:val="p"/>
          </m:rPr>
          <m:t>,</m:t>
        </m:r>
        <m:r>
          <m:t>β</m:t>
        </m:r>
        <m:r>
          <m:rPr>
            <m:sty m:val="p"/>
          </m:rPr>
          <m:t>=</m:t>
        </m:r>
        <m:r>
          <m:t>1</m:t>
        </m:r>
        <m:r>
          <m:rPr>
            <m:sty m:val="p"/>
          </m:rPr>
          <m:t>/</m:t>
        </m:r>
        <m:sSub>
          <m:e>
            <m:r>
              <m:t>θ</m:t>
            </m:r>
          </m:e>
          <m:sub>
            <m:r>
              <m:t>d</m:t>
            </m:r>
          </m:sub>
        </m:sSub>
        <m:r>
          <m:rPr>
            <m:sty m:val="p"/>
          </m:rPr>
          <m:t>)</m:t>
        </m:r>
      </m:oMath>
      <w:r>
        <w:t xml:space="preserve"> </w:t>
      </w:r>
      <w:r>
        <w:t xml:space="preserve">with mean 1 and variance</w:t>
      </w:r>
      <w:r>
        <w:t xml:space="preserve"> </w:t>
      </w:r>
      <m:oMath>
        <m:sSub>
          <m:e>
            <m:r>
              <m:t>θ</m:t>
            </m:r>
          </m:e>
          <m:sub>
            <m:r>
              <m:t>d</m:t>
            </m:r>
          </m:sub>
        </m:sSub>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sSub>
                    <m:e>
                      <m:r>
                        <m:t>θ</m:t>
                      </m:r>
                    </m:e>
                    <m:sub>
                      <m:r>
                        <m:t>d</m:t>
                      </m:r>
                    </m:sub>
                  </m:sSub>
                  <m:r>
                    <m:t>s</m:t>
                  </m:r>
                </m:e>
              </m:d>
            </m:e>
            <m:sup>
              <m:r>
                <m:rPr>
                  <m:sty m:val="p"/>
                </m:rPr>
                <m:t>−</m:t>
              </m:r>
              <m:r>
                <m:t>1</m:t>
              </m:r>
              <m:r>
                <m:rPr>
                  <m:sty m:val="p"/>
                </m:rPr>
                <m:t>/</m:t>
              </m:r>
              <m:sSub>
                <m:e>
                  <m:r>
                    <m:t>θ</m:t>
                  </m:r>
                </m:e>
                <m:sub>
                  <m:r>
                    <m:t>d</m:t>
                  </m:r>
                </m:sub>
              </m:sSub>
            </m:sup>
          </m:sSup>
          <m:r>
            <m:rPr>
              <m:sty m:val="p"/>
            </m:rPr>
            <m:t>.</m:t>
          </m:r>
        </m:oMath>
      </m:oMathPara>
    </w:p>
    <w:p>
      <w:pPr>
        <w:pStyle w:val="FirstParagraph"/>
      </w:pPr>
      <w:r>
        <w:t xml:space="preserve">The cohort survival function becomes:</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p>
            <m:e>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e>
            <m:sup>
              <m:r>
                <m:rPr>
                  <m:sty m:val="p"/>
                </m:rPr>
                <m:t>−</m:t>
              </m:r>
              <m:r>
                <m:t>1</m:t>
              </m:r>
              <m:r>
                <m:rPr>
                  <m:sty m:val="p"/>
                </m:rPr>
                <m:t>/</m:t>
              </m:r>
              <m:sSub>
                <m:e>
                  <m:r>
                    <m:t>θ</m:t>
                  </m:r>
                </m:e>
                <m:sub>
                  <m:r>
                    <m:t>d</m:t>
                  </m:r>
                </m:sub>
              </m:sSub>
            </m:sup>
          </m:sSup>
          <m:r>
            <m:rPr>
              <m:sty m:val="p"/>
            </m:rPr>
            <m:t>.</m:t>
          </m:r>
        </m:oMath>
      </m:oMathPara>
    </w:p>
    <w:p>
      <w:pPr>
        <w:pStyle w:val="FirstParagraph"/>
      </w:pPr>
      <w:r>
        <w:t xml:space="preserve">The observed cumulative hazard is defined as: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Substituting the gamma Laplace transform yields the canonical gamma-frailty identity:</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This is the gamma-frailty identity (see Equation (6) in the main text).</w:t>
      </w:r>
    </w:p>
    <w:bookmarkEnd w:id="191"/>
    <w:bookmarkStart w:id="192" w:name="a.3-inversion-formula"/>
    <w:p>
      <w:pPr>
        <w:pStyle w:val="Heading4"/>
      </w:pPr>
      <w:r>
        <w:t xml:space="preserve">A.3 Inversion formula</w:t>
      </w:r>
    </w:p>
    <w:p>
      <w:pPr>
        <w:pStyle w:val="FirstParagraph"/>
      </w:pPr>
      <w:r>
        <w:t xml:space="preserve">Solving for</w:t>
      </w:r>
      <w:r>
        <w:t xml:space="preserve"> </w:t>
      </w:r>
      <m:oMath>
        <m:sSub>
          <m:e>
            <m:r>
              <m:t>H</m:t>
            </m:r>
          </m:e>
          <m:sub>
            <m:r>
              <m:t>0</m:t>
            </m:r>
            <m:r>
              <m:rPr>
                <m:sty m:val="p"/>
              </m:rPr>
              <m:t>,</m:t>
            </m:r>
            <m:r>
              <m:t>d</m:t>
            </m:r>
          </m:sub>
        </m:sSub>
        <m:r>
          <m:rPr>
            <m:sty m:val="p"/>
          </m:rPr>
          <m:t>(</m:t>
        </m:r>
        <m:r>
          <m:t>t</m:t>
        </m:r>
        <m:r>
          <m:rPr>
            <m:sty m:val="p"/>
          </m:rPr>
          <m:t>)</m:t>
        </m:r>
      </m:oMath>
      <w:r>
        <w:t xml:space="preserve"> </w:t>
      </w:r>
      <w:r>
        <w:t xml:space="preserve">from the gamma-frailty identity gives the canonical inversion:</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sSub>
          <m:e>
            <m:r>
              <m:t>θ</m:t>
            </m:r>
          </m:e>
          <m:sub>
            <m:r>
              <m:t>d</m:t>
            </m:r>
          </m:sub>
        </m:sSub>
      </m:oMath>
      <w:r>
        <w:t xml:space="preserve">.</w:t>
      </w:r>
    </w:p>
    <w:bookmarkEnd w:id="192"/>
    <w:bookmarkStart w:id="193"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sSub>
          <m:e>
            <m:r>
              <m:t>θ</m:t>
            </m:r>
          </m:e>
          <m:sub>
            <m:r>
              <m:t>d</m:t>
            </m:r>
          </m:sub>
        </m:sSub>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93"/>
    <w:bookmarkStart w:id="194"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oMath>
      <w:r>
        <w:t xml:space="preserve"> </w:t>
      </w:r>
      <w:r>
        <w:t xml:space="preserve">can be approximated via the delta method. Define:</w:t>
      </w:r>
    </w:p>
    <w:p>
      <w:pPr>
        <w:pStyle w:val="BodyText"/>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FirstParagraph"/>
      </w:pPr>
      <w:r>
        <w:t xml:space="preserve">If the variance of the depletion-neutralized cumulative hazard 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t>​</m:t>
          </m:r>
          <m:d>
            <m:dPr>
              <m:begChr m:val="("/>
              <m:sepChr m:val=""/>
              <m:endChr m:val=")"/>
              <m:grow/>
            </m:dPr>
            <m:e>
              <m:r>
                <m:t>K</m:t>
              </m:r>
              <m:r>
                <m:t>C</m:t>
              </m:r>
              <m:r>
                <m:t>O</m:t>
              </m:r>
              <m:r>
                <m:t>R</m:t>
              </m:r>
              <m:r>
                <m:rPr>
                  <m:sty m:val="p"/>
                </m:rPr>
                <m:t>(</m:t>
              </m:r>
              <m:r>
                <m:t>t</m:t>
              </m:r>
              <m:r>
                <m:rPr>
                  <m:sty m:val="p"/>
                </m:rPr>
                <m:t>)</m:t>
              </m:r>
            </m:e>
          </m:d>
          <m:r>
            <m:rPr>
              <m:sty m:val="p"/>
            </m:rPr>
            <m:t>≈</m:t>
          </m:r>
          <m:r>
            <m:t>K</m:t>
          </m:r>
          <m:r>
            <m:t>C</m:t>
          </m:r>
          <m:r>
            <m:t>O</m:t>
          </m:r>
          <m:r>
            <m:t>R</m:t>
          </m:r>
          <m:r>
            <m:rPr>
              <m:sty m:val="p"/>
            </m:rPr>
            <m:t>(</m:t>
          </m:r>
          <m:r>
            <m:t>t</m:t>
          </m:r>
          <m:sSup>
            <m:e>
              <m:r>
                <m:rPr>
                  <m:sty m:val="p"/>
                </m:rPr>
                <m:t>)</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sSup>
                    <m:e>
                      <m:r>
                        <m:rPr>
                          <m:sty m:val="p"/>
                        </m:rPr>
                        <m:t>)</m:t>
                      </m:r>
                    </m:e>
                    <m:sup>
                      <m:r>
                        <m:t>2</m:t>
                      </m:r>
                    </m:sup>
                  </m:s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B</m:t>
                      </m:r>
                    </m:sub>
                  </m:sSub>
                  <m:r>
                    <m:rPr>
                      <m:sty m:val="p"/>
                    </m:rPr>
                    <m:t>(</m:t>
                  </m:r>
                  <m:r>
                    <m:t>t</m:t>
                  </m:r>
                  <m:sSup>
                    <m:e>
                      <m:r>
                        <m:rPr>
                          <m:sty m:val="p"/>
                        </m:rPr>
                        <m:t>)</m:t>
                      </m:r>
                    </m:e>
                    <m:sup>
                      <m:r>
                        <m:t>2</m:t>
                      </m:r>
                    </m:sup>
                  </m:s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r>
                    <m:rPr>
                      <m:sty m:val="p"/>
                    </m:rPr>
                    <m:t>)</m:t>
                  </m:r>
                  <m:sSub>
                    <m:e>
                      <m:acc>
                        <m:accPr>
                          <m:chr m:val="̃"/>
                        </m:accPr>
                        <m:e>
                          <m:r>
                            <m:t>H</m:t>
                          </m:r>
                        </m:e>
                      </m:acc>
                    </m:e>
                    <m:sub>
                      <m:r>
                        <m:t>0</m:t>
                      </m:r>
                      <m:r>
                        <m:rPr>
                          <m:sty m:val="p"/>
                        </m:rPr>
                        <m:t>,</m:t>
                      </m:r>
                      <m:r>
                        <m:t>B</m:t>
                      </m:r>
                    </m:sub>
                  </m:sSub>
                  <m:r>
                    <m:rPr>
                      <m:sty m:val="p"/>
                    </m:rPr>
                    <m:t>(</m:t>
                  </m:r>
                  <m:r>
                    <m:t>t</m:t>
                  </m:r>
                  <m:r>
                    <m:rPr>
                      <m:sty m:val="p"/>
                    </m:rPr>
                    <m:t>)</m:t>
                  </m:r>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94"/>
    <w:bookmarkEnd w:id="195"/>
    <w:bookmarkStart w:id="208" w:name="appendix-b.-control-test-specifications"/>
    <w:p>
      <w:pPr>
        <w:pStyle w:val="Heading3"/>
      </w:pPr>
      <w:r>
        <w:t xml:space="preserve">Appendix B. Control-test specifications</w:t>
      </w:r>
    </w:p>
    <w:bookmarkStart w:id="196" w:name="X2180becb792c7366d1a2d9abe674c7e8eb8a3b6"/>
    <w:p>
      <w:pPr>
        <w:pStyle w:val="Heading4"/>
      </w:pPr>
      <w:r>
        <w:t xml:space="preserve">B.1 Negative control: synthetic gamma-frailty null</w:t>
      </w:r>
    </w:p>
    <w:p>
      <w:pPr>
        <w:pStyle w:val="FirstParagraph"/>
      </w:pPr>
      <w:r>
        <w:t xml:space="preserve">The synthetic negative control (Figure 4) is generated using:</w:t>
      </w:r>
    </w:p>
    <w:p>
      <w:pPr>
        <w:pStyle w:val="Compact"/>
        <w:numPr>
          <w:ilvl w:val="0"/>
          <w:numId w:val="1033"/>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33"/>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33"/>
        </w:numPr>
      </w:pPr>
      <w:r>
        <w:rPr>
          <w:b/>
          <w:bCs/>
        </w:rPr>
        <w:t xml:space="preserve">Cohort A weights</w:t>
      </w:r>
      <w:r>
        <w:t xml:space="preserve">: Equal weights across 5 frailty groups (0.2 each)</w:t>
      </w:r>
    </w:p>
    <w:p>
      <w:pPr>
        <w:pStyle w:val="Compact"/>
        <w:numPr>
          <w:ilvl w:val="0"/>
          <w:numId w:val="1033"/>
        </w:numPr>
      </w:pPr>
      <w:r>
        <w:rPr>
          <w:b/>
          <w:bCs/>
        </w:rPr>
        <w:t xml:space="preserve">Cohort B weights</w:t>
      </w:r>
      <w:r>
        <w:t xml:space="preserve">: Shifted weights [0.30, 0.20, 0.20, 0.20, 0.10]</w:t>
      </w:r>
    </w:p>
    <w:p>
      <w:pPr>
        <w:pStyle w:val="Compact"/>
        <w:numPr>
          <w:ilvl w:val="0"/>
          <w:numId w:val="1033"/>
        </w:numPr>
      </w:pPr>
      <w:r>
        <w:rPr>
          <w:b/>
          <w:bCs/>
        </w:rPr>
        <w:t xml:space="preserve">Frailty values</w:t>
      </w:r>
      <w:r>
        <w:t xml:space="preserve">: [1, 2, 4, 6, 10] (relative frailty multipliers)</w:t>
      </w:r>
    </w:p>
    <w:p>
      <w:pPr>
        <w:pStyle w:val="Compact"/>
        <w:numPr>
          <w:ilvl w:val="0"/>
          <w:numId w:val="1033"/>
        </w:numPr>
      </w:pPr>
      <w:r>
        <w:rPr>
          <w:b/>
          <w:bCs/>
        </w:rPr>
        <w:t xml:space="preserve">Base weekly probability</w:t>
      </w:r>
      <w:r>
        <w:t xml:space="preserve">: 0.01</w:t>
      </w:r>
    </w:p>
    <w:p>
      <w:pPr>
        <w:pStyle w:val="Compact"/>
        <w:numPr>
          <w:ilvl w:val="0"/>
          <w:numId w:val="1033"/>
        </w:numPr>
      </w:pPr>
      <w:r>
        <w:rPr>
          <w:b/>
          <w:bCs/>
        </w:rPr>
        <w:t xml:space="preserve">Weekly log-slope</w:t>
      </w:r>
      <w:r>
        <w:t xml:space="preserve">: 0.0 (constant baseline during quiet periods)</w:t>
      </w:r>
    </w:p>
    <w:p>
      <w:pPr>
        <w:pStyle w:val="Compact"/>
        <w:numPr>
          <w:ilvl w:val="0"/>
          <w:numId w:val="1033"/>
        </w:numPr>
      </w:pPr>
      <w:r>
        <w:rPr>
          <w:b/>
          <w:bCs/>
        </w:rPr>
        <w:t xml:space="preserve">Skip weeks</w:t>
      </w:r>
      <w:r>
        <w:t xml:space="preserve">: 2</w:t>
      </w:r>
    </w:p>
    <w:p>
      <w:pPr>
        <w:pStyle w:val="Compact"/>
        <w:numPr>
          <w:ilvl w:val="0"/>
          <w:numId w:val="1033"/>
        </w:numPr>
      </w:pPr>
      <w:r>
        <w:rPr>
          <w:b/>
          <w:bCs/>
        </w:rPr>
        <w:t xml:space="preserve">Normalization weeks</w:t>
      </w:r>
      <w:r>
        <w:t xml:space="preserve">: 4</w:t>
      </w:r>
    </w:p>
    <w:p>
      <w:pPr>
        <w:pStyle w:val="Compact"/>
        <w:numPr>
          <w:ilvl w:val="0"/>
          <w:numId w:val="1033"/>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96"/>
    <w:bookmarkStart w:id="197" w:name="X6ca5a97e85e9ee460a15280db933ceb5c1ed112"/>
    <w:p>
      <w:pPr>
        <w:pStyle w:val="Heading4"/>
      </w:pPr>
      <w:r>
        <w:t xml:space="preserve">B.2 Negative control: empirical age-shift construction</w:t>
      </w:r>
    </w:p>
    <w:p>
      <w:pPr>
        <w:pStyle w:val="FirstParagraph"/>
      </w:pPr>
      <w:r>
        <w:t xml:space="preserve">The empirical negative control (Figures 5 and 6) is generated using:</w:t>
      </w:r>
    </w:p>
    <w:p>
      <w:pPr>
        <w:pStyle w:val="Compact"/>
        <w:numPr>
          <w:ilvl w:val="0"/>
          <w:numId w:val="1034"/>
        </w:numPr>
      </w:pPr>
      <w:r>
        <w:rPr>
          <w:b/>
          <w:bCs/>
        </w:rPr>
        <w:t xml:space="preserve">Data source</w:t>
      </w:r>
      <w:r>
        <w:t xml:space="preserve">: Czech Republic administrative mortality and vaccination data, aggregated into KCOR_CMR format</w:t>
      </w:r>
    </w:p>
    <w:p>
      <w:pPr>
        <w:pStyle w:val="Compact"/>
        <w:numPr>
          <w:ilvl w:val="0"/>
          <w:numId w:val="1034"/>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34"/>
        </w:numPr>
      </w:pPr>
      <w:r>
        <w:rPr>
          <w:b/>
          <w:bCs/>
        </w:rPr>
        <w:t xml:space="preserve">Construction</w:t>
      </w:r>
      <w:r>
        <w:t xml:space="preserve">: Age strata remapped to pseudo-doses within same vaccination category</w:t>
      </w:r>
    </w:p>
    <w:p>
      <w:pPr>
        <w:pStyle w:val="Compact"/>
        <w:numPr>
          <w:ilvl w:val="0"/>
          <w:numId w:val="1034"/>
        </w:numPr>
      </w:pPr>
      <w:r>
        <w:rPr>
          <w:b/>
          <w:bCs/>
        </w:rPr>
        <w:t xml:space="preserve">Age mapping</w:t>
      </w:r>
      <w:r>
        <w:t xml:space="preserve">:</w:t>
      </w:r>
    </w:p>
    <w:p>
      <w:pPr>
        <w:pStyle w:val="Compact"/>
        <w:numPr>
          <w:ilvl w:val="1"/>
          <w:numId w:val="1035"/>
        </w:numPr>
      </w:pPr>
      <w:r>
        <w:t xml:space="preserve">Dose 0 → YoB {1930, 1935}</w:t>
      </w:r>
    </w:p>
    <w:p>
      <w:pPr>
        <w:pStyle w:val="Compact"/>
        <w:numPr>
          <w:ilvl w:val="1"/>
          <w:numId w:val="1035"/>
        </w:numPr>
      </w:pPr>
      <w:r>
        <w:t xml:space="preserve">Dose 1 → YoB {1940, 1945}</w:t>
      </w:r>
    </w:p>
    <w:p>
      <w:pPr>
        <w:pStyle w:val="Compact"/>
        <w:numPr>
          <w:ilvl w:val="1"/>
          <w:numId w:val="1035"/>
        </w:numPr>
      </w:pPr>
      <w:r>
        <w:t xml:space="preserve">Dose 2 → YoB {1950, 1955}</w:t>
      </w:r>
    </w:p>
    <w:p>
      <w:pPr>
        <w:pStyle w:val="Compact"/>
        <w:numPr>
          <w:ilvl w:val="0"/>
          <w:numId w:val="1034"/>
        </w:numPr>
      </w:pPr>
      <w:r>
        <w:rPr>
          <w:b/>
          <w:bCs/>
        </w:rPr>
        <w:t xml:space="preserve">Output YoB</w:t>
      </w:r>
      <w:r>
        <w:t xml:space="preserve">: Fixed at 1950 (unvax cohort) or 1940 (vax cohort)</w:t>
      </w:r>
    </w:p>
    <w:p>
      <w:pPr>
        <w:pStyle w:val="Compact"/>
        <w:numPr>
          <w:ilvl w:val="0"/>
          <w:numId w:val="1034"/>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97"/>
    <w:bookmarkStart w:id="198" w:name="b.3-positive-control-injected-effect"/>
    <w:p>
      <w:pPr>
        <w:pStyle w:val="Heading4"/>
      </w:pPr>
      <w:r>
        <w:t xml:space="preserve">B.3 Positive control: injected effect</w:t>
      </w:r>
    </w:p>
    <w:p>
      <w:pPr>
        <w:pStyle w:val="FirstParagraph"/>
      </w:pPr>
      <w:r>
        <w:t xml:space="preserve">The positive control (Figure 7 and Table 8) is generated using:</w:t>
      </w:r>
    </w:p>
    <w:p>
      <w:pPr>
        <w:pStyle w:val="Compact"/>
        <w:numPr>
          <w:ilvl w:val="0"/>
          <w:numId w:val="1036"/>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36"/>
        </w:numPr>
      </w:pPr>
      <w:r>
        <w:rPr>
          <w:b/>
          <w:bCs/>
        </w:rPr>
        <w:t xml:space="preserve">Initial cohort size</w:t>
      </w:r>
      <w:r>
        <w:t xml:space="preserve">: 100,000 per cohort</w:t>
      </w:r>
    </w:p>
    <w:p>
      <w:pPr>
        <w:pStyle w:val="Compact"/>
        <w:numPr>
          <w:ilvl w:val="0"/>
          <w:numId w:val="1036"/>
        </w:numPr>
      </w:pPr>
      <w:r>
        <w:rPr>
          <w:b/>
          <w:bCs/>
        </w:rPr>
        <w:t xml:space="preserve">Baseline hazard</w:t>
      </w:r>
      <w:r>
        <w:t xml:space="preserve">: 0.002 per week</w:t>
      </w:r>
    </w:p>
    <w:p>
      <w:pPr>
        <w:pStyle w:val="Compact"/>
        <w:numPr>
          <w:ilvl w:val="0"/>
          <w:numId w:val="1036"/>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36"/>
        </w:numPr>
      </w:pPr>
      <w:r>
        <w:rPr>
          <w:b/>
          <w:bCs/>
        </w:rPr>
        <w:t xml:space="preserve">Effect window</w:t>
      </w:r>
      <w:r>
        <w:t xml:space="preserve">: weeks 20–80</w:t>
      </w:r>
    </w:p>
    <w:p>
      <w:pPr>
        <w:pStyle w:val="Compact"/>
        <w:numPr>
          <w:ilvl w:val="0"/>
          <w:numId w:val="1036"/>
        </w:numPr>
      </w:pPr>
      <w:r>
        <w:rPr>
          <w:b/>
          <w:bCs/>
        </w:rPr>
        <w:t xml:space="preserve">Hazard multipliers</w:t>
      </w:r>
      <w:r>
        <w:t xml:space="preserve">:</w:t>
      </w:r>
    </w:p>
    <w:p>
      <w:pPr>
        <w:pStyle w:val="Compact"/>
        <w:numPr>
          <w:ilvl w:val="1"/>
          <w:numId w:val="1037"/>
        </w:numPr>
      </w:pPr>
      <w:r>
        <w:t xml:space="preserve">Harm scenario:</w:t>
      </w:r>
      <w:r>
        <w:t xml:space="preserve"> </w:t>
      </w:r>
      <m:oMath>
        <m:r>
          <m:t>r</m:t>
        </m:r>
        <m:r>
          <m:rPr>
            <m:sty m:val="p"/>
          </m:rPr>
          <m:t>=</m:t>
        </m:r>
        <m:r>
          <m:t>1.2</m:t>
        </m:r>
      </m:oMath>
    </w:p>
    <w:p>
      <w:pPr>
        <w:pStyle w:val="Compact"/>
        <w:numPr>
          <w:ilvl w:val="1"/>
          <w:numId w:val="1037"/>
        </w:numPr>
      </w:pPr>
      <w:r>
        <w:t xml:space="preserve">Benefit scenario:</w:t>
      </w:r>
      <w:r>
        <w:t xml:space="preserve"> </w:t>
      </w:r>
      <m:oMath>
        <m:r>
          <m:t>r</m:t>
        </m:r>
        <m:r>
          <m:rPr>
            <m:sty m:val="p"/>
          </m:rPr>
          <m:t>=</m:t>
        </m:r>
        <m:r>
          <m:t>0.8</m:t>
        </m:r>
      </m:oMath>
    </w:p>
    <w:p>
      <w:pPr>
        <w:pStyle w:val="Compact"/>
        <w:numPr>
          <w:ilvl w:val="0"/>
          <w:numId w:val="1036"/>
        </w:numPr>
      </w:pPr>
      <w:r>
        <w:rPr>
          <w:b/>
          <w:bCs/>
        </w:rPr>
        <w:t xml:space="preserve">Random seed</w:t>
      </w:r>
      <w:r>
        <w:t xml:space="preserve">: 42</w:t>
      </w:r>
    </w:p>
    <w:p>
      <w:pPr>
        <w:pStyle w:val="Compact"/>
        <w:numPr>
          <w:ilvl w:val="0"/>
          <w:numId w:val="1036"/>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98"/>
    <w:bookmarkStart w:id="199" w:name="b.4-sensitivity-analysis-parameters"/>
    <w:p>
      <w:pPr>
        <w:pStyle w:val="Heading4"/>
      </w:pPr>
      <w:r>
        <w:t xml:space="preserve">B.4 Sensitivity analysis parameters</w:t>
      </w:r>
    </w:p>
    <w:p>
      <w:pPr>
        <w:pStyle w:val="FirstParagraph"/>
      </w:pPr>
      <w:r>
        <w:t xml:space="preserve">The sensitivity analysis (Figure 8) varies:</w:t>
      </w:r>
    </w:p>
    <w:p>
      <w:pPr>
        <w:pStyle w:val="Compact"/>
        <w:numPr>
          <w:ilvl w:val="0"/>
          <w:numId w:val="1038"/>
        </w:numPr>
      </w:pPr>
      <w:r>
        <w:rPr>
          <w:b/>
          <w:bCs/>
        </w:rPr>
        <w:t xml:space="preserve">Baseline weeks</w:t>
      </w:r>
      <w:r>
        <w:t xml:space="preserve">: [2, 3, 4, 5, 6, 7, 8]</w:t>
      </w:r>
    </w:p>
    <w:p>
      <w:pPr>
        <w:pStyle w:val="Compact"/>
        <w:numPr>
          <w:ilvl w:val="0"/>
          <w:numId w:val="1038"/>
        </w:numPr>
      </w:pPr>
      <w:r>
        <w:rPr>
          <w:b/>
          <w:bCs/>
        </w:rPr>
        <w:t xml:space="preserve">Quiet-start offsets</w:t>
      </w:r>
      <w:r>
        <w:t xml:space="preserve">: [-12, -8, -4, 0, +4, +8, +12] weeks from 2022-24</w:t>
      </w:r>
    </w:p>
    <w:p>
      <w:pPr>
        <w:pStyle w:val="Compact"/>
        <w:numPr>
          <w:ilvl w:val="0"/>
          <w:numId w:val="1038"/>
        </w:numPr>
      </w:pPr>
      <w:r>
        <w:rPr>
          <w:b/>
          <w:bCs/>
        </w:rPr>
        <w:t xml:space="preserve">Quiet-window end</w:t>
      </w:r>
      <w:r>
        <w:t xml:space="preserve">: Fixed at 2024-16</w:t>
      </w:r>
    </w:p>
    <w:p>
      <w:pPr>
        <w:pStyle w:val="Compact"/>
        <w:numPr>
          <w:ilvl w:val="0"/>
          <w:numId w:val="1038"/>
        </w:numPr>
      </w:pPr>
      <w:r>
        <w:rPr>
          <w:b/>
          <w:bCs/>
        </w:rPr>
        <w:t xml:space="preserve">Dose pairs</w:t>
      </w:r>
      <w:r>
        <w:t xml:space="preserve">: 1 vs 0, 2 vs 0, 2 vs 1</w:t>
      </w:r>
    </w:p>
    <w:p>
      <w:pPr>
        <w:pStyle w:val="Compact"/>
        <w:numPr>
          <w:ilvl w:val="0"/>
          <w:numId w:val="1038"/>
        </w:numPr>
      </w:pPr>
      <w:r>
        <w:rPr>
          <w:b/>
          <w:bCs/>
        </w:rPr>
        <w:t xml:space="preserve">Cohorts</w:t>
      </w:r>
      <w:r>
        <w:t xml:space="preserve">: 2021_24</w:t>
      </w:r>
    </w:p>
    <w:p>
      <w:pPr>
        <w:pStyle w:val="FirstParagraph"/>
      </w:pPr>
      <w:r>
        <w:t xml:space="preserve">Output grids show KCOR(t) values for each parameter combination.</w:t>
      </w:r>
    </w:p>
    <w:bookmarkEnd w:id="199"/>
    <w:bookmarkStart w:id="200"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39"/>
        </w:numPr>
      </w:pPr>
      <w:r>
        <w:rPr>
          <w:b/>
          <w:bCs/>
        </w:rPr>
        <w:t xml:space="preserve">Mid-sampled cohort</w:t>
      </w:r>
      <w:r>
        <w:t xml:space="preserve">: frailty restricted to central quantiles (e.g., 25th–75th percentile) and renormalized to mean 1.</w:t>
      </w:r>
    </w:p>
    <w:p>
      <w:pPr>
        <w:pStyle w:val="Compact"/>
        <w:numPr>
          <w:ilvl w:val="0"/>
          <w:numId w:val="1039"/>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40"/>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40"/>
        </w:numPr>
      </w:pPr>
      <w:r>
        <w:rPr>
          <w:b/>
          <w:bCs/>
        </w:rPr>
        <w:t xml:space="preserve">Base frailty distribution</w:t>
      </w:r>
      <w:r>
        <w:t xml:space="preserve">: Log-normal with mean 1, variance 0.5</w:t>
      </w:r>
    </w:p>
    <w:p>
      <w:pPr>
        <w:pStyle w:val="Compact"/>
        <w:numPr>
          <w:ilvl w:val="0"/>
          <w:numId w:val="1040"/>
        </w:numPr>
      </w:pPr>
      <w:r>
        <w:rPr>
          <w:b/>
          <w:bCs/>
        </w:rPr>
        <w:t xml:space="preserve">Mid-quantile cohort</w:t>
      </w:r>
      <w:r>
        <w:t xml:space="preserve">: 25th–75th percentile</w:t>
      </w:r>
    </w:p>
    <w:p>
      <w:pPr>
        <w:pStyle w:val="Compact"/>
        <w:numPr>
          <w:ilvl w:val="0"/>
          <w:numId w:val="1040"/>
        </w:numPr>
      </w:pPr>
      <w:r>
        <w:rPr>
          <w:b/>
          <w:bCs/>
        </w:rPr>
        <w:t xml:space="preserve">Tail-mixture cohort</w:t>
      </w:r>
      <w:r>
        <w:t xml:space="preserve">: [0–15th] + [85th–100th] percentiles, equal weights</w:t>
      </w:r>
    </w:p>
    <w:p>
      <w:pPr>
        <w:pStyle w:val="Compact"/>
        <w:numPr>
          <w:ilvl w:val="0"/>
          <w:numId w:val="1040"/>
        </w:numPr>
      </w:pPr>
      <w:r>
        <w:rPr>
          <w:b/>
          <w:bCs/>
        </w:rPr>
        <w:t xml:space="preserve">Baseline hazard</w:t>
      </w:r>
      <w:r>
        <w:t xml:space="preserve">: 0.002 per week (constant)</w:t>
      </w:r>
    </w:p>
    <w:p>
      <w:pPr>
        <w:pStyle w:val="Compact"/>
        <w:numPr>
          <w:ilvl w:val="0"/>
          <w:numId w:val="1040"/>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40"/>
        </w:numPr>
      </w:pPr>
      <w:r>
        <w:rPr>
          <w:b/>
          <w:bCs/>
        </w:rPr>
        <w:t xml:space="preserve">Effect window</w:t>
      </w:r>
      <w:r>
        <w:t xml:space="preserve">: weeks 20–80</w:t>
      </w:r>
    </w:p>
    <w:p>
      <w:pPr>
        <w:pStyle w:val="Compact"/>
        <w:numPr>
          <w:ilvl w:val="0"/>
          <w:numId w:val="1040"/>
        </w:numPr>
      </w:pPr>
      <w:r>
        <w:rPr>
          <w:b/>
          <w:bCs/>
        </w:rPr>
        <w:t xml:space="preserve">Random seed</w:t>
      </w:r>
      <w:r>
        <w:t xml:space="preserve">: 42</w:t>
      </w:r>
    </w:p>
    <w:bookmarkEnd w:id="200"/>
    <w:bookmarkStart w:id="207"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201"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201"/>
    <w:bookmarkStart w:id="202" w:name="frailty-structure"/>
    <w:p>
      <w:pPr>
        <w:pStyle w:val="Heading5"/>
      </w:pPr>
      <w:r>
        <w:t xml:space="preserve">Frailty structure</w:t>
      </w:r>
    </w:p>
    <w:p>
      <w:pPr>
        <w:pStyle w:val="Compact"/>
        <w:numPr>
          <w:ilvl w:val="0"/>
          <w:numId w:val="1041"/>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41"/>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202"/>
    <w:bookmarkStart w:id="203"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42"/>
        </w:numPr>
      </w:pPr>
      <w:r>
        <w:t xml:space="preserve">Step change (constant multiplicative factor),</w:t>
      </w:r>
    </w:p>
    <w:p>
      <w:pPr>
        <w:pStyle w:val="Compact"/>
        <w:numPr>
          <w:ilvl w:val="0"/>
          <w:numId w:val="1042"/>
        </w:numPr>
      </w:pPr>
      <w:r>
        <w:t xml:space="preserve">Linear ramp,</w:t>
      </w:r>
    </w:p>
    <w:p>
      <w:pPr>
        <w:pStyle w:val="Compact"/>
        <w:numPr>
          <w:ilvl w:val="0"/>
          <w:numId w:val="1042"/>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203"/>
    <w:bookmarkStart w:id="204"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204"/>
    <w:bookmarkStart w:id="205"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43"/>
        </w:numPr>
      </w:pPr>
      <w:r>
        <w:t xml:space="preserve">KCOR(t) remains approximately flat and near unity during the quiet window,</w:t>
      </w:r>
    </w:p>
    <w:p>
      <w:pPr>
        <w:pStyle w:val="Compact"/>
        <w:numPr>
          <w:ilvl w:val="0"/>
          <w:numId w:val="1043"/>
        </w:numPr>
      </w:pPr>
      <w:r>
        <w:t xml:space="preserve">KCOR(t) deviates in the correct direction and magnitude during the treatment window,</w:t>
      </w:r>
    </w:p>
    <w:p>
      <w:pPr>
        <w:pStyle w:val="Compact"/>
        <w:numPr>
          <w:ilvl w:val="0"/>
          <w:numId w:val="1043"/>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205"/>
    <w:bookmarkStart w:id="206"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206"/>
    <w:bookmarkEnd w:id="207"/>
    <w:bookmarkEnd w:id="208"/>
    <w:bookmarkStart w:id="226" w:name="X3fb27f9d14d988b0afc4c757bd6d2a45d2ae0b5"/>
    <w:p>
      <w:pPr>
        <w:pStyle w:val="Heading3"/>
      </w:pPr>
      <w:r>
        <w:t xml:space="preserve">Appendix C. Additional figures and diagnostics</w:t>
      </w:r>
    </w:p>
    <w:bookmarkStart w:id="209"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44"/>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44"/>
        </w:numPr>
      </w:pPr>
      <w:r>
        <w:rPr>
          <w:b/>
          <w:bCs/>
        </w:rPr>
        <w:t xml:space="preserve">Fitted parameters</w:t>
      </w:r>
      <w:r>
        <w:t xml:space="preserve">: baseline hazard level and frailty variance. Very small frailty variance (&lt; 0.01) indicates minimal detected depletion; very large values (&gt; 5) may indicate model stress.</w:t>
      </w:r>
    </w:p>
    <w:p>
      <w:pPr>
        <w:pStyle w:val="Compact"/>
        <w:numPr>
          <w:ilvl w:val="0"/>
          <w:numId w:val="1044"/>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KCOR_FIT,EnrollmentDate=2021_24,YoB=1950,Dose=0,</w:t>
      </w:r>
      <w:r>
        <w:br/>
      </w:r>
      <w:r>
        <w:rPr>
          <w:rStyle w:val="VerbatimChar"/>
        </w:rPr>
        <w:t xml:space="preserve">  k_hat=4.29e-03,theta_hat=8.02e-01,</w:t>
      </w:r>
      <w:r>
        <w:br/>
      </w:r>
      <w:r>
        <w:rPr>
          <w:rStyle w:val="VerbatimChar"/>
        </w:rPr>
        <w:t xml:space="preserve">  RMSE_Hobs=3.37e-03,n_obs=97,success=1</w:t>
      </w:r>
    </w:p>
    <w:bookmarkEnd w:id="209"/>
    <w:bookmarkStart w:id="210" w:name="c.2-residual-analysis"/>
    <w:p>
      <w:pPr>
        <w:pStyle w:val="Heading4"/>
      </w:pPr>
      <w:r>
        <w:t xml:space="preserve">C.2 Residual analysis</w:t>
      </w:r>
    </w:p>
    <w:p>
      <w:pPr>
        <w:pStyle w:val="FirstParagraph"/>
      </w:pPr>
      <w:r>
        <w:t xml:space="preserve">Fit residuals should be examined for. Define residuals:</w:t>
      </w:r>
    </w:p>
    <w:p>
      <w:pPr>
        <w:pStyle w:val="BodyText"/>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Compact"/>
        <w:numPr>
          <w:ilvl w:val="0"/>
          <w:numId w:val="1045"/>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45"/>
        </w:numPr>
      </w:pPr>
      <w:r>
        <w:rPr>
          <w:b/>
          <w:bCs/>
        </w:rPr>
        <w:t xml:space="preserve">Outliers</w:t>
      </w:r>
      <w:r>
        <w:t xml:space="preserve">: Individual weeks with large residuals may indicate data quality issues or external shocks.</w:t>
      </w:r>
    </w:p>
    <w:p>
      <w:pPr>
        <w:pStyle w:val="Compact"/>
        <w:numPr>
          <w:ilvl w:val="0"/>
          <w:numId w:val="1045"/>
        </w:numPr>
      </w:pPr>
      <w:r>
        <w:rPr>
          <w:b/>
          <w:bCs/>
        </w:rPr>
        <w:t xml:space="preserve">Autocorrelation</w:t>
      </w:r>
      <w:r>
        <w:t xml:space="preserve">: Strong autocorrelation in residuals suggests the model is missing time-varying structure.</w:t>
      </w:r>
    </w:p>
    <w:bookmarkEnd w:id="210"/>
    <w:bookmarkStart w:id="211" w:name="c.3-parameter-stability-checks"/>
    <w:p>
      <w:pPr>
        <w:pStyle w:val="Heading4"/>
      </w:pPr>
      <w:r>
        <w:t xml:space="preserve">C.3 Parameter stability checks</w:t>
      </w:r>
    </w:p>
    <w:p>
      <w:pPr>
        <w:pStyle w:val="FirstParagraph"/>
      </w:pPr>
      <w:r>
        <w:t xml:space="preserve">Robustness of fitted parameters should be assessed by:</w:t>
      </w:r>
    </w:p>
    <w:p>
      <w:pPr>
        <w:pStyle w:val="Compact"/>
        <w:numPr>
          <w:ilvl w:val="0"/>
          <w:numId w:val="1046"/>
        </w:numPr>
      </w:pPr>
      <w:r>
        <w:rPr>
          <w:b/>
          <w:bCs/>
        </w:rPr>
        <w:t xml:space="preserve">Quiet-window perturbation</w:t>
      </w:r>
      <w:r>
        <w:t xml:space="preserve">: Shift the quiet-window start/end by ±4 weeks and re-fit. Stable parameters should vary by &lt; 10%.</w:t>
      </w:r>
    </w:p>
    <w:p>
      <w:pPr>
        <w:pStyle w:val="Compact"/>
        <w:numPr>
          <w:ilvl w:val="0"/>
          <w:numId w:val="1046"/>
        </w:numPr>
      </w:pPr>
      <w:r>
        <w:rPr>
          <w:b/>
          <w:bCs/>
        </w:rPr>
        <w:t xml:space="preserve">Skip-weeks sensitivity</w:t>
      </w:r>
      <w:r>
        <w:t xml:space="preserve">: Vary SKIP_WEEKS from 0 to 8 and verify KCOR(t) trajectories remain qualitatively similar.</w:t>
      </w:r>
    </w:p>
    <w:p>
      <w:pPr>
        <w:pStyle w:val="Compact"/>
        <w:numPr>
          <w:ilvl w:val="0"/>
          <w:numId w:val="1046"/>
        </w:numPr>
      </w:pPr>
      <w:r>
        <w:rPr>
          <w:b/>
          <w:bCs/>
        </w:rPr>
        <w:t xml:space="preserve">Baseline-shape alternatives</w:t>
      </w:r>
      <w:r>
        <w:t xml:space="preserve">: Compare the default constant baseline over the fit window to mild linear trends and verify normalization is not sensitive to this choice.</w:t>
      </w:r>
    </w:p>
    <w:p>
      <w:pPr>
        <w:pStyle w:val="FirstParagraph"/>
      </w:pPr>
      <w:r>
        <w:t xml:space="preserve">The sensitivity analysis (§3.3 and Figure 8) provides a systematic assessment of parameter stability.</w:t>
      </w:r>
    </w:p>
    <w:bookmarkEnd w:id="211"/>
    <w:bookmarkStart w:id="212"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47"/>
        </w:numPr>
      </w:pPr>
      <w:r>
        <w:t xml:space="preserve">Avoid major epidemic waves or external mortality shocks</w:t>
      </w:r>
    </w:p>
    <w:p>
      <w:pPr>
        <w:pStyle w:val="Compact"/>
        <w:numPr>
          <w:ilvl w:val="0"/>
          <w:numId w:val="1047"/>
        </w:numPr>
      </w:pPr>
      <w:r>
        <w:t xml:space="preserve">Contain sufficient event counts for stable estimation</w:t>
      </w:r>
    </w:p>
    <w:p>
      <w:pPr>
        <w:pStyle w:val="Compact"/>
        <w:numPr>
          <w:ilvl w:val="0"/>
          <w:numId w:val="1047"/>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212"/>
    <w:bookmarkStart w:id="225" w:name="c.5-robustness-to-age-stratification"/>
    <w:p>
      <w:pPr>
        <w:pStyle w:val="Heading4"/>
      </w:pPr>
      <w:r>
        <w:t xml:space="preserve">C.5 Robustness to age stratification</w:t>
      </w:r>
    </w:p>
    <w:bookmarkStart w:id="216" w:name="fig:kcor_realdata_yob1930"/>
    <w:p>
      <w:pPr>
        <w:pStyle w:val="CaptionedFigure"/>
      </w:pPr>
      <w:r>
        <w:drawing>
          <wp:inline>
            <wp:extent cx="5334000" cy="3078759"/>
            <wp:effectExtent b="0" l="0" r="0" t="0"/>
            <wp:docPr descr="Figure 14. Birth-year cohort 193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 title="" id="214" name="Picture"/>
            <a:graphic>
              <a:graphicData uri="http://schemas.openxmlformats.org/drawingml/2006/picture">
                <pic:pic>
                  <pic:nvPicPr>
                    <pic:cNvPr descr="figures/supplement/kcor_realdata_yob1930_enroll2022w26_eval2023.png" id="215" name="Picture"/>
                    <pic:cNvPicPr>
                      <a:picLocks noChangeArrowheads="1" noChangeAspect="1"/>
                    </pic:cNvPicPr>
                  </pic:nvPicPr>
                  <pic:blipFill>
                    <a:blip r:embed="rId213"/>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14. Birth-year cohort 1930: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w:t>
      </w:r>
    </w:p>
    <w:bookmarkEnd w:id="216"/>
    <w:bookmarkStart w:id="220" w:name="fig:kcor_realdata_yob1940"/>
    <w:p>
      <w:pPr>
        <w:pStyle w:val="CaptionedFigure"/>
      </w:pPr>
      <w:r>
        <w:drawing>
          <wp:inline>
            <wp:extent cx="5334000" cy="3078759"/>
            <wp:effectExtent b="0" l="0" r="0" t="0"/>
            <wp:docPr descr="Figure 15. Birth-year cohort 194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 title="" id="218" name="Picture"/>
            <a:graphic>
              <a:graphicData uri="http://schemas.openxmlformats.org/drawingml/2006/picture">
                <pic:pic>
                  <pic:nvPicPr>
                    <pic:cNvPr descr="figures/supplement/kcor_realdata_yob1940_enroll2022w26_eval2023.png" id="219" name="Picture"/>
                    <pic:cNvPicPr>
                      <a:picLocks noChangeArrowheads="1" noChangeAspect="1"/>
                    </pic:cNvPicPr>
                  </pic:nvPicPr>
                  <pic:blipFill>
                    <a:blip r:embed="rId217"/>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15. Birth-year cohort 1940: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w:t>
      </w:r>
    </w:p>
    <w:bookmarkEnd w:id="220"/>
    <w:bookmarkStart w:id="224" w:name="fig:kcor_realdata_yob1950"/>
    <w:p>
      <w:pPr>
        <w:pStyle w:val="CaptionedFigure"/>
      </w:pPr>
      <w:r>
        <w:drawing>
          <wp:inline>
            <wp:extent cx="5334000" cy="3078759"/>
            <wp:effectExtent b="0" l="0" r="0" t="0"/>
            <wp:docPr descr="Figure 16. Birth-year cohort 195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 title="" id="222" name="Picture"/>
            <a:graphic>
              <a:graphicData uri="http://schemas.openxmlformats.org/drawingml/2006/picture">
                <pic:pic>
                  <pic:nvPicPr>
                    <pic:cNvPr descr="figures/supplement/kcor_realdata_yob1950_enroll2022w26_eval2023.png" id="223" name="Picture"/>
                    <pic:cNvPicPr>
                      <a:picLocks noChangeArrowheads="1" noChangeAspect="1"/>
                    </pic:cNvPicPr>
                  </pic:nvPicPr>
                  <pic:blipFill>
                    <a:blip r:embed="rId221"/>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16. Birth-year cohort 1950: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w:t>
      </w:r>
    </w:p>
    <w:bookmarkEnd w:id="224"/>
    <w:bookmarkEnd w:id="225"/>
    <w:bookmarkEnd w:id="226"/>
    <w:bookmarkStart w:id="237" w:name="X71516bca36a67a7b252aa09e83ac6f66b78ee40"/>
    <w:p>
      <w:pPr>
        <w:pStyle w:val="Heading3"/>
      </w:pPr>
      <w:r>
        <w:t xml:space="preserve">Appendix C.1 Empirical application with diagnostic validation: Czech Republic national registry mortality data</w:t>
      </w:r>
    </w:p>
    <w:p>
      <w:pPr>
        <w:pStyle w:val="FirstParagraph"/>
      </w:pPr>
      <w:r>
        <w:t xml:space="preserve">The Czech results do not validate KCOR; they represent an application that satisfies all pre-specified diagnostic criteria. Substantive implications follow only if the identification assumptions hold.</w:t>
      </w:r>
    </w:p>
    <w:bookmarkStart w:id="227" w:name="X7c3ddd3ef44bf474a41a98ea454d4dd80e5b491"/>
    <w:p>
      <w:pPr>
        <w:pStyle w:val="Heading4"/>
      </w:pPr>
      <w:r>
        <w:t xml:space="preserve">C.1.1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exemplify this regime: voluntary uptake led to asymmetric selection at enrollment, with vaccinated cohorts exhibiting minimal frailty heterogeneity while unvaccinated cohorts retained substantial heterogeneity.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227"/>
    <w:bookmarkStart w:id="231" w:name="X04a772282f0bca0eb01ded27503d294683ddbb5"/>
    <w:p>
      <w:pPr>
        <w:pStyle w:val="Heading4"/>
      </w:pPr>
      <w:r>
        <w:t xml:space="preserve">C.1.2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baseline cumulative hazard for others. This behavior is consistent with curvature-driven normalization rather than cohort identity. This pattern is visible directly in depletion-neutralized versus observed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depletion-neutralized baseline cumulative hazards 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Start w:id="228" w:name="tbl:frailty_diagnostics"/>
    <w:p>
      <w:pPr>
        <w:pStyle w:val="TableCaption"/>
      </w:pPr>
      <w:r>
        <w:t xml:space="preserve">Table 11. Estimated gamma-frailty variance (fitted frailty variance) by age band and vaccination status for Czech cohorts enrolled in 2021_24.</w:t>
      </w:r>
    </w:p>
    <w:tbl>
      <w:tblPr>
        <w:tblStyle w:val="Table"/>
        <w:tblW w:type="pct" w:w="5000"/>
        <w:tblLayout w:type="fixed"/>
        <w:tblLook w:firstRow="1" w:lastRow="0" w:firstColumn="0" w:lastColumn="0" w:noHBand="0" w:noVBand="0" w:val="0020"/>
        <w:tblCaption w:val="Table 11. Estimated gamma-frailty variance (fitted frailty variance) by age band and vaccination status for Czech cohorts enrolled in 2021_24."/>
      </w:tblPr>
      <w:tblGrid>
        <w:gridCol w:w="2436"/>
        <w:gridCol w:w="2741"/>
        <w:gridCol w:w="2741"/>
      </w:tblGrid>
      <w:tr>
        <w:trPr>
          <w:tblHeader w:val="on"/>
        </w:trPr>
        <w:tc>
          <w:tcPr/>
          <w:p>
            <w:pPr>
              <w:pStyle w:val="Compact"/>
            </w:pPr>
            <w:r>
              <w:t xml:space="preserve">Age band (years)</w:t>
            </w:r>
          </w:p>
        </w:tc>
        <w:tc>
          <w:tcPr/>
          <w:p>
            <w:pPr>
              <w:pStyle w:val="Compact"/>
              <w:jc w:val="right"/>
            </w:pPr>
            <w:r>
              <w:t xml:space="preserve">Fitted frailty variance (Dose 0)</w:t>
            </w:r>
          </w:p>
        </w:tc>
        <w:tc>
          <w:tcPr/>
          <w:p>
            <w:pPr>
              <w:pStyle w:val="Compact"/>
              <w:jc w:val="right"/>
            </w:pPr>
            <w:r>
              <w:t xml:space="preserve">Fitted frailty variance (Dose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bookmarkEnd w:id="228"/>
    <w:p>
      <w:pPr>
        <w:pStyle w:val="BodyText"/>
      </w:pPr>
      <w:r>
        <w:rPr>
          <w:b/>
          <w:bCs/>
        </w:rPr>
        <w:t xml:space="preserve">Notes:</w:t>
      </w:r>
      <w:r>
        <w:t xml:space="preserve"> </w:t>
      </w:r>
      <w:r>
        <w:t xml:space="preserve">- The fitted frailty variance 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 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13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w:r>
        <w:t xml:space="preserve">the fitted frailty variance 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w:r>
        <w:t xml:space="preserve">the fitted frailty variance 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bookmarkStart w:id="229" w:name="tbl:czech_diagnostic_gate"/>
    <w:p>
      <w:pPr>
        <w:pStyle w:val="TableCaption"/>
      </w:pPr>
      <w:r>
        <w:t xml:space="preserve">Table 12. Diagnostic gate for Czech application: KCOR results reported only where diagnostics pass.</w:t>
      </w:r>
    </w:p>
    <w:tbl>
      <w:tblPr>
        <w:tblStyle w:val="Table"/>
        <w:tblW w:type="pct" w:w="5000"/>
        <w:tblLayout w:type="fixed"/>
        <w:tblLook w:firstRow="1" w:lastRow="0" w:firstColumn="0" w:lastColumn="0" w:noHBand="0" w:noVBand="0" w:val="0020"/>
        <w:tblCaption w:val="Table 12. Diagnostic gate for Czech application: KCOR results reported only where diagnostics pass."/>
      </w:tblPr>
      <w:tblGrid>
        <w:gridCol w:w="1348"/>
        <w:gridCol w:w="1516"/>
        <w:gridCol w:w="2359"/>
        <w:gridCol w:w="1600"/>
        <w:gridCol w:w="1095"/>
      </w:tblGrid>
      <w:tr>
        <w:trPr>
          <w:tblHeader w:val="on"/>
        </w:trPr>
        <w:tc>
          <w:tcPr/>
          <w:p>
            <w:pPr>
              <w:pStyle w:val="Compact"/>
            </w:pPr>
            <w:r>
              <w:t xml:space="preserve">Age band (years)</w:t>
            </w:r>
          </w:p>
        </w:tc>
        <w:tc>
          <w:tcPr/>
          <w:p>
            <w:pPr>
              <w:pStyle w:val="Compact"/>
            </w:pPr>
            <w:r>
              <w:t xml:space="preserve">Quiet window valid</w:t>
            </w:r>
          </w:p>
        </w:tc>
        <w:tc>
          <w:tcPr/>
          <w:p>
            <w:pPr>
              <w:pStyle w:val="Compact"/>
            </w:pPr>
            <w:r>
              <w:t xml:space="preserve">Post-normalization linearity</w:t>
            </w:r>
          </w:p>
        </w:tc>
        <w:tc>
          <w:tcPr/>
          <w:p>
            <w:pPr>
              <w:pStyle w:val="Compact"/>
            </w:pPr>
            <w:r>
              <w:t xml:space="preserve">Parameter stability</w:t>
            </w:r>
          </w:p>
        </w:tc>
        <w:tc>
          <w:tcPr/>
          <w:p>
            <w:pPr>
              <w:pStyle w:val="Compact"/>
            </w:pPr>
            <w:r>
              <w:t xml:space="preserve">KCOR reported</w:t>
            </w:r>
          </w:p>
        </w:tc>
      </w:tr>
      <w:tr>
        <w:tc>
          <w:tcPr/>
          <w:p>
            <w:pPr>
              <w:pStyle w:val="Compact"/>
            </w:pPr>
            <w:r>
              <w:t xml:space="preserve">40–49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50–59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60–69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70–79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80–89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90–99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All ages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bookmarkEnd w:id="229"/>
    <w:p>
      <w:pPr>
        <w:pStyle w:val="BodyText"/>
      </w:pPr>
      <w:r>
        <w:t xml:space="preserve">All age strata in the Czech application satisfied the prespecified diagnostic criteria, permitting KCOR computation and reporting. KCOR results are not reported for any age stratum where diagnostics indicated non-identifiability.</w:t>
      </w:r>
    </w:p>
    <w:p>
      <w:pPr>
        <w:pStyle w:val="BodyText"/>
      </w:pPr>
      <w:r>
        <w:rPr>
          <w:b/>
          <w:bCs/>
        </w:rPr>
        <w:t xml:space="preserve">Interpretation:</w:t>
      </w:r>
      <w:r>
        <w:t xml:space="preserve"> </w:t>
      </w:r>
      <w:r>
        <w:t xml:space="preserve">Unvaccinated cohorts exhibit frailty heterogeneity, while Dose 2 cohorts show near-zero estimated frailty across all age bands, consistent with selective uptake prior to follow-up:</w:t>
      </w:r>
    </w:p>
    <w:p>
      <w:pPr>
        <w:pStyle w:val="BodyText"/>
      </w:pPr>
      <m:oMathPara>
        <m:oMathParaPr>
          <m:jc m:val="center"/>
        </m:oMathParaPr>
        <m:oMath>
          <m:sSub>
            <m:e>
              <m:acc>
                <m:accPr>
                  <m:chr m:val="̂"/>
                </m:accPr>
                <m:e>
                  <m:r>
                    <m:t>θ</m:t>
                  </m:r>
                </m:e>
              </m:acc>
            </m:e>
            <m:sub>
              <m:r>
                <m:t>d</m:t>
              </m:r>
            </m:sub>
          </m:sSub>
          <m:r>
            <m:rPr>
              <m:sty m:val="p"/>
            </m:rPr>
            <m:t>&gt;</m:t>
          </m:r>
          <m:r>
            <m:t>0</m:t>
          </m:r>
        </m:oMath>
      </m:oMathPara>
    </w:p>
    <w:p>
      <w:pPr>
        <w:pStyle w:val="FirstParagraph"/>
      </w:pPr>
      <w:r>
        <w:t xml:space="preserve">for Dose 0 cohorts and</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for Dose 2 cohorts. Estimated frailty heterogeneity can appear larger at younger ages because baseline hazards are low, so proportional differences across latent risk strata translate into visibly different short-term hazards before depletion compresses the risk distribution. At older ages, higher baseline hazard and stronger ongoing depletion can reduce the apparent dispersion of remaining risk, yielding smaller fitted θ even if latent heterogeneity is not literally smaller. Frailty variance is largest at younger ages, where low baseline mortality amplifies the impact of heterogeneity on cumulative hazard curvature, and declines at older ages where mortality is compressed and survivors are more homogeneous. Because Table 11 demonstrates selection-induced heterogeneity, unadjusted cumulative outcome contrasts are expected to conflate depletion effects with any true treatment differences; Table 13 therefore reports raw cumulative hazards solely as a pre-normalization diagnostic. KCOR normalization removes the depletion component, enabling interpretable comparison of the remaining differences.</w:t>
      </w:r>
    </w:p>
    <w:bookmarkStart w:id="230" w:name="tbl:raw_cumulative_outcomes"/>
    <w:p>
      <w:pPr>
        <w:pStyle w:val="TableCaption"/>
      </w:pPr>
      <w:r>
        <w:t xml:space="preserve">Table 13. Ratio of observed cumulative mortality hazards for unvaccinated (Dose 0) versus fully vaccinated (Dose 2) Czech cohorts enrolled in 2021_24.</w:t>
      </w:r>
    </w:p>
    <w:tbl>
      <w:tblPr>
        <w:tblStyle w:val="Table"/>
        <w:tblW w:type="pct" w:w="5000"/>
        <w:tblLayout w:type="fixed"/>
        <w:tblLook w:firstRow="1" w:lastRow="0" w:firstColumn="0" w:lastColumn="0" w:noHBand="0" w:noVBand="0" w:val="0020"/>
        <w:tblCaption w:val="Table 13. Ratio of observed cumulative mortality hazards for unvaccinated (Dose 0) versus fully vaccinated (Dose 2) Czech cohorts enrolled in 2021_24."/>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bookmarkEnd w:id="230"/>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p>
      <w:pPr>
        <w:pStyle w:val="BodyText"/>
      </w:pPr>
      <w:r>
        <w:t xml:space="preserve">These raw contrasts reflect both selection and depletion effects and are not interpreted causally.</w:t>
      </w:r>
    </w:p>
    <w:bookmarkEnd w:id="231"/>
    <w:bookmarkStart w:id="236" w:name="X5edf977bb748663aefbf51a96004e616d3437f4"/>
    <w:p>
      <w:pPr>
        <w:pStyle w:val="Heading4"/>
      </w:pPr>
      <w:r>
        <w:t xml:space="preserve">C.1.3 Illustrative application to national registry mortality data</w:t>
      </w:r>
    </w:p>
    <w:p>
      <w:pPr>
        <w:pStyle w:val="FirstParagraph"/>
      </w:pPr>
      <w:r>
        <w:t xml:space="preserve">We include a brief illustrative application to demonstrate end-to-end KCOR behavior on real registry mortality data in a setting that minimizes timing-driven shocks and window-tuning sensitivity. Cohorts were enrolled in ISO week 2022-26, and evaluation was restricted to calendar year 2023, yielding a 26-week post-enrollment buffer before slope estimation and a prespecified full-year window for assessment. Frailty parameters were estimated using a prespecified epidemiologically quiet window (calendar year 2023) to minimize wave-related hazard variation. This example is intended to illustrate estimator behavior under real-world selection and heterogeneity and does not support causal inference.</w:t>
      </w:r>
    </w:p>
    <w:p>
      <w:pPr>
        <w:pStyle w:val="BodyText"/>
      </w:pPr>
      <w:r>
        <w:t xml:space="preserve">Figure 17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for dose 2 and dose 3 relative to dose 0 for an all-ages analysis. We deliberately present an all-ages analysis as a high-heterogeneity stress test, since aggregation across age induces substantial baseline hazard and frailty variation. To assess whether apparent stability could arise from cancellation across strata, we also present narrow birth-year cohorts spanning advanced ages (1930, 1940, 1950) in Figures 14–16. Across aggregation levels,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stable over the evaluation window after depletion normalization, consistent with effective removal of selection-induced curvature in a real-data setting. These figures are presented descriptively to illustrate estimator behavior; no hypothesis testing is performed.</w:t>
      </w:r>
    </w:p>
    <w:bookmarkStart w:id="235" w:name="fig:kcor_realdata_allages"/>
    <w:p>
      <w:pPr>
        <w:pStyle w:val="CaptionedFigure"/>
      </w:pPr>
      <w:r>
        <w:drawing>
          <wp:inline>
            <wp:extent cx="5334000" cy="3078759"/>
            <wp:effectExtent b="0" l="0" r="0" t="0"/>
            <wp:docPr descr="Figure 17. All-ages stress test: \mathrm{KCOR}(t) trajectories comparing dose 2 and dose 3 to dose 0 for cohorts enrolled in ISO week 2022-26 and evaluated over calendar year 2023. This figure is presented as an illustrative application demonstrating estimator behavior under extreme heterogeneity and does not support causal inference." title="" id="233" name="Picture"/>
            <a:graphic>
              <a:graphicData uri="http://schemas.openxmlformats.org/drawingml/2006/picture">
                <pic:pic>
                  <pic:nvPicPr>
                    <pic:cNvPr descr="figures/kcor_realdata_allages_enroll2022w26_eval2023.png" id="234" name="Picture"/>
                    <pic:cNvPicPr>
                      <a:picLocks noChangeArrowheads="1" noChangeAspect="1"/>
                    </pic:cNvPicPr>
                  </pic:nvPicPr>
                  <pic:blipFill>
                    <a:blip r:embed="rId232"/>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17. All-ages stress test: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comparing dose 2 and dose 3 to dose 0 for cohorts enrolled in ISO week 2022-26 and evaluated over calendar year 2023. This figure is presented as an illustrative application demonstrating estimator behavior under extreme heterogeneity and does not support causal inference.</w:t>
      </w:r>
    </w:p>
    <w:bookmarkEnd w:id="235"/>
    <w:bookmarkEnd w:id="236"/>
    <w:bookmarkEnd w:id="237"/>
    <w:bookmarkStart w:id="246"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bookmarkStart w:id="238"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48"/>
        </w:numPr>
      </w:pPr>
      <w:r>
        <w:t xml:space="preserve">Inconsistencies in cohort risk sets (e.g., unexplained increases in at-risk counts).</w:t>
      </w:r>
    </w:p>
    <w:p>
      <w:pPr>
        <w:pStyle w:val="Compact"/>
        <w:numPr>
          <w:ilvl w:val="0"/>
          <w:numId w:val="1048"/>
        </w:numPr>
      </w:pPr>
      <w:r>
        <w:t xml:space="preserve">Early-time hazard suppression or inflation inconsistent with selection or depletion geometry.</w:t>
      </w:r>
    </w:p>
    <w:p>
      <w:pPr>
        <w:pStyle w:val="Compact"/>
        <w:numPr>
          <w:ilvl w:val="0"/>
          <w:numId w:val="1048"/>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238"/>
    <w:bookmarkStart w:id="239"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49"/>
        </w:numPr>
      </w:pPr>
      <w:r>
        <w:t xml:space="preserve">Calendar-time hazard spikes or drops that appear in only one cohort.</w:t>
      </w:r>
    </w:p>
    <w:p>
      <w:pPr>
        <w:pStyle w:val="Compact"/>
        <w:numPr>
          <w:ilvl w:val="0"/>
          <w:numId w:val="1049"/>
        </w:numPr>
      </w:pPr>
      <w:r>
        <w:t xml:space="preserve">Misalignment of major mortality shocks (e.g., epidemic waves) across cohorts.</w:t>
      </w:r>
    </w:p>
    <w:p>
      <w:pPr>
        <w:pStyle w:val="Compact"/>
        <w:numPr>
          <w:ilvl w:val="0"/>
          <w:numId w:val="1049"/>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239"/>
    <w:bookmarkStart w:id="240"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50"/>
        </w:numPr>
      </w:pPr>
      <w:r>
        <w:t xml:space="preserve">Strongly structured residuals in cumulative-hazard space inconsistent with depletion.</w:t>
      </w:r>
    </w:p>
    <w:p>
      <w:pPr>
        <w:pStyle w:val="Compact"/>
        <w:numPr>
          <w:ilvl w:val="0"/>
          <w:numId w:val="1050"/>
        </w:numPr>
      </w:pPr>
      <w:r>
        <w:t xml:space="preserve">Instability of fitted frailty parameters not attributable to window placement.</w:t>
      </w:r>
    </w:p>
    <w:p>
      <w:pPr>
        <w:pStyle w:val="Compact"/>
        <w:numPr>
          <w:ilvl w:val="0"/>
          <w:numId w:val="1050"/>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240"/>
    <w:bookmarkStart w:id="241"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51"/>
        </w:numPr>
      </w:pPr>
      <w:r>
        <w:t xml:space="preserve">Poor fit of the gamma-frailty cumulative-hazard model during the quiet window.</w:t>
      </w:r>
    </w:p>
    <w:p>
      <w:pPr>
        <w:pStyle w:val="Compact"/>
        <w:numPr>
          <w:ilvl w:val="0"/>
          <w:numId w:val="1051"/>
        </w:numPr>
      </w:pPr>
      <w:r>
        <w:t xml:space="preserve">Systematic residual curvature after frailty normalization.</w:t>
      </w:r>
    </w:p>
    <w:p>
      <w:pPr>
        <w:pStyle w:val="Compact"/>
        <w:numPr>
          <w:ilvl w:val="0"/>
          <w:numId w:val="1051"/>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(θ). Values of θ approaching zero are expected when cumulative hazards are approximately linear, while larger values correspond to visible depletion-induced curvature. Implausible θ 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bookmarkEnd w:id="241"/>
    <w:bookmarkStart w:id="242"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52"/>
        </w:numPr>
      </w:pPr>
      <w:r>
        <w:t xml:space="preserve">Failure of KCOR(t) trajectories to stabilize or asymptote following frailty normalization.</w:t>
      </w:r>
    </w:p>
    <w:p>
      <w:pPr>
        <w:pStyle w:val="Compact"/>
        <w:numPr>
          <w:ilvl w:val="0"/>
          <w:numId w:val="1052"/>
        </w:numPr>
      </w:pPr>
      <w:r>
        <w:t xml:space="preserve">Persistent nonzero slope in KCOR(t), indicating residual curvature after normalization.</w:t>
      </w:r>
    </w:p>
    <w:p>
      <w:pPr>
        <w:pStyle w:val="Compact"/>
        <w:numPr>
          <w:ilvl w:val="0"/>
          <w:numId w:val="1052"/>
        </w:numPr>
      </w:pPr>
      <w:r>
        <w:t xml:space="preserve">Instability of fitted frailty parameters (θ) under small perturbations of quiet-window boundaries.</w:t>
      </w:r>
    </w:p>
    <w:p>
      <w:pPr>
        <w:pStyle w:val="Compact"/>
        <w:numPr>
          <w:ilvl w:val="0"/>
          <w:numId w:val="1052"/>
        </w:numPr>
      </w:pPr>
      <w:r>
        <w:t xml:space="preserve">Failure of depletion-neutralized cumulative hazards to become approximately linear during the quiet window.</w:t>
      </w:r>
    </w:p>
    <w:p>
      <w:pPr>
        <w:pStyle w:val="Compact"/>
        <w:numPr>
          <w:ilvl w:val="0"/>
          <w:numId w:val="1052"/>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KCOR(t) trajectories attenuate toward unity or fail to stabilize, explicitly signaling loss of identifiability.</w:t>
      </w:r>
    </w:p>
    <w:p>
      <w:pPr>
        <w:pStyle w:val="BodyText"/>
      </w:pPr>
      <w:r>
        <w:t xml:space="preserve">Under a valid quiet window, depletion-neutralized baseline cumulative hazards are expected to be approximately linear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to stabilize rather than drift. Persistent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slope or</w:t>
      </w:r>
      <w:r>
        <w:t xml:space="preserve"> </w:t>
      </w:r>
      <m:oMath>
        <m:sSub>
          <m:e>
            <m:acc>
              <m:accPr>
                <m:chr m:val="̂"/>
              </m:accPr>
              <m:e>
                <m:r>
                  <m:t>θ</m:t>
                </m:r>
              </m:e>
            </m:acc>
          </m:e>
          <m:sub>
            <m:r>
              <m:t>d</m:t>
            </m:r>
          </m:sub>
        </m:sSub>
      </m:oMath>
      <w:r>
        <w:t xml:space="preserve"> </w:t>
      </w:r>
      <w:r>
        <w:t xml:space="preserve">instability indicates contamination of the quiet window by external shocks or time-varying effects and signals loss of identifiability rather than evidence of cohort differences.</w:t>
      </w:r>
    </w:p>
    <w:bookmarkEnd w:id="242"/>
    <w:bookmarkStart w:id="243"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 θ 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243"/>
    <w:bookmarkStart w:id="244"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KCOR(t) trajectories.</w:t>
      </w:r>
    </w:p>
    <w:p>
      <w:pPr>
        <w:pStyle w:val="BodyText"/>
      </w:pPr>
      <w:r>
        <w:t xml:space="preserve">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244"/>
    <w:bookmarkStart w:id="245"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245"/>
    <w:bookmarkEnd w:id="246"/>
    <w:bookmarkEnd w:id="247"/>
    <w:bookmarkEnd w:id="2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66" Target="media/rId66.png" /><Relationship Type="http://schemas.openxmlformats.org/officeDocument/2006/relationships/image" Id="rId87" Target="media/rId87.png" /><Relationship Type="http://schemas.openxmlformats.org/officeDocument/2006/relationships/image" Id="rId105" Target="media/rId105.png" /><Relationship Type="http://schemas.openxmlformats.org/officeDocument/2006/relationships/image" Id="rId129" Target="media/rId129.png" /><Relationship Type="http://schemas.openxmlformats.org/officeDocument/2006/relationships/image" Id="rId125" Target="media/rId125.png" /><Relationship Type="http://schemas.openxmlformats.org/officeDocument/2006/relationships/image" Id="rId111" Target="media/rId111.png" /><Relationship Type="http://schemas.openxmlformats.org/officeDocument/2006/relationships/image" Id="rId121" Target="media/rId121.png" /><Relationship Type="http://schemas.openxmlformats.org/officeDocument/2006/relationships/image" Id="rId117" Target="media/rId117.png" /><Relationship Type="http://schemas.openxmlformats.org/officeDocument/2006/relationships/image" Id="rId133" Target="media/rId133.png" /><Relationship Type="http://schemas.openxmlformats.org/officeDocument/2006/relationships/image" Id="rId232" Target="media/rId232.png" /><Relationship Type="http://schemas.openxmlformats.org/officeDocument/2006/relationships/image" Id="rId213" Target="media/rId213.png" /><Relationship Type="http://schemas.openxmlformats.org/officeDocument/2006/relationships/image" Id="rId217" Target="media/rId217.png" /><Relationship Type="http://schemas.openxmlformats.org/officeDocument/2006/relationships/image" Id="rId221" Target="media/rId221.png" /><Relationship Type="http://schemas.openxmlformats.org/officeDocument/2006/relationships/hyperlink" Id="rId175" Target="https://doi.org/10.1002/sim.1203" TargetMode="External" /><Relationship Type="http://schemas.openxmlformats.org/officeDocument/2006/relationships/hyperlink" Id="rId177" Target="https://doi.org/10.1002/sim.4780080803" TargetMode="External" /><Relationship Type="http://schemas.openxmlformats.org/officeDocument/2006/relationships/hyperlink" Id="rId185" Target="https://doi.org/10.1093/aje/kwn164" TargetMode="External" /><Relationship Type="http://schemas.openxmlformats.org/officeDocument/2006/relationships/hyperlink" Id="rId179" Target="https://doi.org/10.1093/biomet/81.1.61" TargetMode="External" /><Relationship Type="http://schemas.openxmlformats.org/officeDocument/2006/relationships/hyperlink" Id="rId171" Target="https://doi.org/10.1093/biomet/81.3.515" TargetMode="External" /><Relationship Type="http://schemas.openxmlformats.org/officeDocument/2006/relationships/hyperlink" Id="rId183" Target="https://doi.org/10.1097/00001648-200009000-00011" TargetMode="External" /><Relationship Type="http://schemas.openxmlformats.org/officeDocument/2006/relationships/hyperlink" Id="rId181" Target="https://doi.org/10.1111/j.1467-9469.2006.00529.x" TargetMode="External" /><Relationship Type="http://schemas.openxmlformats.org/officeDocument/2006/relationships/hyperlink" Id="rId173" Target="https://doi.org/10.1214/aos/1176345976" TargetMode="External" /><Relationship Type="http://schemas.openxmlformats.org/officeDocument/2006/relationships/hyperlink" Id="rId167" Target="https://doi.org/10.2147/CLEP.S468572" TargetMode="External" /><Relationship Type="http://schemas.openxmlformats.org/officeDocument/2006/relationships/hyperlink" Id="rId165" Target="https://doi.org/10.2307/2061224" TargetMode="External" /><Relationship Type="http://schemas.openxmlformats.org/officeDocument/2006/relationships/hyperlink" Id="rId158" Target="https://doi.org/10.5281/zenodo.18050329" TargetMode="External" /><Relationship Type="http://schemas.openxmlformats.org/officeDocument/2006/relationships/hyperlink" Id="rId169" Target="https://doi.org/10.7554/eLife.103690" TargetMode="External" /><Relationship Type="http://schemas.openxmlformats.org/officeDocument/2006/relationships/hyperlink" Id="rId157"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75" Target="https://doi.org/10.1002/sim.1203" TargetMode="External" /><Relationship Type="http://schemas.openxmlformats.org/officeDocument/2006/relationships/hyperlink" Id="rId177" Target="https://doi.org/10.1002/sim.4780080803" TargetMode="External" /><Relationship Type="http://schemas.openxmlformats.org/officeDocument/2006/relationships/hyperlink" Id="rId185" Target="https://doi.org/10.1093/aje/kwn164" TargetMode="External" /><Relationship Type="http://schemas.openxmlformats.org/officeDocument/2006/relationships/hyperlink" Id="rId179" Target="https://doi.org/10.1093/biomet/81.1.61" TargetMode="External" /><Relationship Type="http://schemas.openxmlformats.org/officeDocument/2006/relationships/hyperlink" Id="rId171" Target="https://doi.org/10.1093/biomet/81.3.515" TargetMode="External" /><Relationship Type="http://schemas.openxmlformats.org/officeDocument/2006/relationships/hyperlink" Id="rId183" Target="https://doi.org/10.1097/00001648-200009000-00011" TargetMode="External" /><Relationship Type="http://schemas.openxmlformats.org/officeDocument/2006/relationships/hyperlink" Id="rId181" Target="https://doi.org/10.1111/j.1467-9469.2006.00529.x" TargetMode="External" /><Relationship Type="http://schemas.openxmlformats.org/officeDocument/2006/relationships/hyperlink" Id="rId173" Target="https://doi.org/10.1214/aos/1176345976" TargetMode="External" /><Relationship Type="http://schemas.openxmlformats.org/officeDocument/2006/relationships/hyperlink" Id="rId167" Target="https://doi.org/10.2147/CLEP.S468572" TargetMode="External" /><Relationship Type="http://schemas.openxmlformats.org/officeDocument/2006/relationships/hyperlink" Id="rId165" Target="https://doi.org/10.2307/2061224" TargetMode="External" /><Relationship Type="http://schemas.openxmlformats.org/officeDocument/2006/relationships/hyperlink" Id="rId158" Target="https://doi.org/10.5281/zenodo.18050329" TargetMode="External" /><Relationship Type="http://schemas.openxmlformats.org/officeDocument/2006/relationships/hyperlink" Id="rId169" Target="https://doi.org/10.7554/eLife.103690" TargetMode="External" /><Relationship Type="http://schemas.openxmlformats.org/officeDocument/2006/relationships/hyperlink" Id="rId157"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2026-01-05T01:44:57Z</dcterms:created>
  <dcterms:modified xsi:type="dcterms:W3CDTF">2026-01-05T01:44:57Z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True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(i)</vt:lpwstr>
  </property>
  <property fmtid="{D5CDD505-2E9C-101B-9397-08002B2CF9AE}" pid="24" name="eqnTemplate">
    <vt:lpwstr>(i)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i</vt:lpwstr>
  </property>
  <property fmtid="{D5CDD505-2E9C-101B-9397-08002B2CF9AE}" pid="29" name="figureTemplate">
    <vt:lpwstr>figureTitle i. t</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True</vt:lpwstr>
  </property>
  <property fmtid="{D5CDD505-2E9C-101B-9397-08002B2CF9AE}" pid="68" name="tableTemplate">
    <vt:lpwstr>tableTitle i.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i</vt:lpwstr>
  </property>
  <property fmtid="{D5CDD505-2E9C-101B-9397-08002B2CF9AE}" pid="73" name="titleDelim">
    <vt:lpwstr/>
  </property>
</Properties>
</file>