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76.png" ContentType="image/png"/>
  <Override PartName="/word/media/rId80.png" ContentType="image/png"/>
  <Override PartName="/word/media/rId62.png" ContentType="image/png"/>
  <Override PartName="/word/media/rId70.png" ContentType="image/png"/>
  <Override PartName="/word/media/rId88.png" ContentType="image/png"/>
  <Override PartName="/word/media/rId111.png" ContentType="image/png"/>
  <Override PartName="/word/media/rId107.png" ContentType="image/png"/>
  <Override PartName="/word/media/rId94.png" ContentType="image/png"/>
  <Override PartName="/word/media/rId103.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1"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w:t>
      </w:r>
    </w:p>
    <w:p>
      <w:r>
        <w:pict>
          <v:rect style="width:0;height:1.5pt" o:hralign="center" o:hrstd="t" o:hr="t"/>
        </w:pict>
      </w:r>
    </w:p>
    <w:bookmarkEnd w:id="10"/>
    <w:bookmarkStart w:id="21"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2"/>
    <w:bookmarkStart w:id="13"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3"/>
    <w:bookmarkStart w:id="17"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4"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4"/>
    <w:bookmarkStart w:id="16"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5"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5"/>
    <w:bookmarkEnd w:id="16"/>
    <w:bookmarkEnd w:id="17"/>
    <w:bookmarkStart w:id="19"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8"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p>
      <w:pPr>
        <w:pStyle w:val="BodyText"/>
      </w:pPr>
      <w:r>
        <w:rPr>
          <w:b/>
          <w:bCs/>
        </w:rPr>
        <w:t xml:space="preserve">Table 1.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19"/>
    <w:bookmarkStart w:id="20"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r>
        <w:pict>
          <v:rect style="width:0;height:1.5pt" o:hralign="center" o:hrstd="t" o:hr="t"/>
        </w:pict>
      </w:r>
    </w:p>
    <w:p>
      <w:pPr>
        <w:pStyle w:val="FirstParagraph"/>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p>
      <w:r>
        <w:pict>
          <v:rect style="width:0;height:1.5pt" o:hralign="center" o:hrstd="t" o:hr="t"/>
        </w:pict>
      </w:r>
    </w:p>
    <w:bookmarkEnd w:id="20"/>
    <w:bookmarkEnd w:id="21"/>
    <w:bookmarkStart w:id="68" w:name="methods"/>
    <w:p>
      <w:pPr>
        <w:pStyle w:val="Heading2"/>
      </w:pPr>
      <w:r>
        <w:t xml:space="preserve">2. Methods</w:t>
      </w:r>
    </w:p>
    <w:p>
      <w:pPr>
        <w:pStyle w:val="FirstParagraph"/>
      </w:pPr>
      <w:r>
        <w:t xml:space="preserve">Table tbl. 3 defines the notation used throughout this section.</w:t>
      </w:r>
    </w:p>
    <w:bookmarkStart w:id="22" w:name="tbl:notation"/>
    <w:p>
      <w:pPr>
        <w:pStyle w:val="TableCaption"/>
      </w:pPr>
      <w:r>
        <w:t xml:space="preserve">Table 3: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3: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2"/>
    <w:p>
      <w:pPr>
        <w:pStyle w:val="BodyText"/>
      </w:pPr>
      <w:r>
        <w:t xml:space="preserve">For COVID-19 vaccination analyses, intervention count corresponds to the number of vaccine doses received; more generally, this can index any discrete exposure level.</w:t>
      </w:r>
    </w:p>
    <w:bookmarkStart w:id="28"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3"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period 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bookmarkEnd w:id="23"/>
    <w:bookmarkStart w:id="24"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07"/>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07"/>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07"/>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07"/>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07"/>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limits the scope of inference but does not invalidate the KCOR estimator itself. Formal diagnostics underlying these checks, including frailty-parameter coherence and stability, are detailed in Appendix D.</w:t>
      </w:r>
    </w:p>
    <w:bookmarkEnd w:id="24"/>
    <w:bookmarkStart w:id="25"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5"/>
    <w:bookmarkStart w:id="26"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6"/>
    <w:bookmarkStart w:id="27"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27"/>
    <w:bookmarkEnd w:id="28"/>
    <w:bookmarkStart w:id="30"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29"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9"/>
    <w:bookmarkEnd w:id="30"/>
    <w:bookmarkStart w:id="33"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31"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31"/>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2"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2"/>
    </w:p>
    <w:bookmarkEnd w:id="33"/>
    <w:bookmarkStart w:id="46" w:name="Xe033a348c5bd6b05b57c8d9f7299f5850ccd667"/>
    <w:p>
      <w:pPr>
        <w:pStyle w:val="Heading3"/>
      </w:pPr>
      <w:r>
        <w:t xml:space="preserve">2.4 Selection model: gamma frailty and the cumulative-hazard identity</w:t>
      </w:r>
    </w:p>
    <w:bookmarkStart w:id="35"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4"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4"/>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5"/>
    <w:bookmarkStart w:id="43"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6"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6"/>
    </w:p>
    <w:p>
      <w:pPr>
        <w:pStyle w:val="FirstParagraph"/>
      </w:pPr>
      <w:r>
        <w:t xml:space="preserve">Integrating over gamma frailty yields a closed-form relationship between the observed cohort cumulative hazard and the baseline cumulative hazard:</w:t>
      </w:r>
    </w:p>
    <w:p>
      <w:pPr>
        <w:pStyle w:val="BodyText"/>
      </w:pPr>
      <w:bookmarkStart w:id="37"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7"/>
    </w:p>
    <w:p>
      <w:pPr>
        <w:pStyle w:val="FirstParagraph"/>
      </w:pPr>
      <w:r>
        <w:t xml:space="preserve">This identity can be inverted exactly:</w:t>
      </w:r>
    </w:p>
    <w:p>
      <w:pPr>
        <w:pStyle w:val="BodyText"/>
      </w:pPr>
      <w:bookmarkStart w:id="38"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8"/>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42"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40" name="Picture"/>
            <a:graphic>
              <a:graphicData uri="http://schemas.openxmlformats.org/drawingml/2006/picture">
                <pic:pic>
                  <pic:nvPicPr>
                    <pic:cNvPr descr="figures/fig1_kcor_v6_schematic.png" id="41" name="Picture"/>
                    <pic:cNvPicPr>
                      <a:picLocks noChangeArrowheads="1" noChangeAspect="1"/>
                    </pic:cNvPicPr>
                  </pic:nvPicPr>
                  <pic:blipFill>
                    <a:blip r:embed="rId39"/>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2"/>
    <w:bookmarkEnd w:id="43"/>
    <w:bookmarkStart w:id="45"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4"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4"/>
    </w:p>
    <w:p>
      <w:pPr>
        <w:pStyle w:val="FirstParagraph"/>
      </w:pPr>
      <w:r>
        <w:t xml:space="preserve">This choice minimizes degrees of freedom and forces curvature during quiet periods to be explained by selection (frailty) rather than by an explicit time-varying baseline.</w:t>
      </w:r>
    </w:p>
    <w:bookmarkEnd w:id="45"/>
    <w:bookmarkEnd w:id="46"/>
    <w:bookmarkStart w:id="51"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7"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7"/>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8"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8"/>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0"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9"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9"/>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0"/>
    <w:bookmarkEnd w:id="51"/>
    <w:bookmarkStart w:id="5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2"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2"/>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53"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3"/>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4" w:name="Xc1f19c71d062175674bff138482e70845d20a7b"/>
    <w:p>
      <w:pPr>
        <w:pStyle w:val="Heading4"/>
      </w:pPr>
      <w:r>
        <w:t xml:space="preserve">2.6.1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4"/>
    <w:bookmarkEnd w:id="55"/>
    <w:bookmarkStart w:id="5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5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5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57"/>
    <w:bookmarkStart w:id="5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5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58"/>
    </w:p>
    <w:p>
      <w:pPr>
        <w:pStyle w:val="FirstParagraph"/>
      </w:pPr>
      <w:r>
        <w:t xml:space="preserve">This is a cumulative comparison in hazard space after removing cohort-specific selection-induced depletion dynamics estimated during quiet periods.</w:t>
      </w:r>
    </w:p>
    <w:bookmarkEnd w:id="59"/>
    <w:bookmarkStart w:id="6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0"/>
    <w:bookmarkStart w:id="66" w:name="Xf552aaad3b83b889e2d08c64d65c17176bae771"/>
    <w:p>
      <w:pPr>
        <w:pStyle w:val="Heading3"/>
      </w:pPr>
      <w:r>
        <w:t xml:space="preserve">2.10 Algorithm summary and reproducibility checklist</w:t>
      </w:r>
    </w:p>
    <w:p>
      <w:pPr>
        <w:pStyle w:val="FirstParagraph"/>
      </w:pPr>
      <w:r>
        <w:t xml:space="preserve">Table tbl. 4 summarizes the complete KCOR v6 pipeline.</w:t>
      </w:r>
    </w:p>
    <w:bookmarkStart w:id="61" w:name="tbl:KCOR_algorithm"/>
    <w:p>
      <w:pPr>
        <w:pStyle w:val="TableCaption"/>
      </w:pPr>
      <w:r>
        <w:t xml:space="preserve">Table 4: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4: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1"/>
    <w:p>
      <w:r>
        <w:pict>
          <v:rect style="width:0;height:1.5pt" o:hralign="center" o:hrstd="t" o:hr="t"/>
        </w:pict>
      </w:r>
    </w:p>
    <w:bookmarkStart w:id="65"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3" name="Picture"/>
            <a:graphic>
              <a:graphicData uri="http://schemas.openxmlformats.org/drawingml/2006/picture">
                <pic:pic>
                  <pic:nvPicPr>
                    <pic:cNvPr descr="figures/fig_kcor_workflow.png" id="64" name="Picture"/>
                    <pic:cNvPicPr>
                      <a:picLocks noChangeArrowheads="1" noChangeAspect="1"/>
                    </pic:cNvPicPr>
                  </pic:nvPicPr>
                  <pic:blipFill>
                    <a:blip r:embed="rId62"/>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65"/>
    <w:bookmarkEnd w:id="66"/>
    <w:bookmarkStart w:id="67" w:name="relationship-to-cox-proportional-hazards"/>
    <w:p>
      <w:pPr>
        <w:pStyle w:val="Heading3"/>
      </w:pPr>
      <w:r>
        <w:t xml:space="preserve">2.11 Relationship to Cox proportional hazards</w:t>
      </w:r>
    </w:p>
    <w:p>
      <w:pPr>
        <w:pStyle w:val="FirstParagraph"/>
      </w:pPr>
      <w:r>
        <w:t xml:space="preserve">Cox proportional hazards models estimate instantaneous hazard under the assumption of time-invariant hazard ratios. In observational cohorts with selective uptake and frailty heterogeneity, this assumption is structurally violated, leading to time-varying hazard ratios and cumulative hazard trajectories inconsistent with observed data. Cox estimates are therefore presented here solely for diagnostic illustration to demonstrate assumption failure, not as a competing causal estimator.</w:t>
      </w:r>
    </w:p>
    <w:bookmarkEnd w:id="67"/>
    <w:bookmarkEnd w:id="68"/>
    <w:bookmarkStart w:id="118"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4"/>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4"/>
        </w:numPr>
      </w:pPr>
      <w:r>
        <w:rPr>
          <w:b/>
          <w:bCs/>
        </w:rPr>
        <w:t xml:space="preserve">Positive controls (detect injected effects):</w:t>
      </w:r>
      <w:r>
        <w:t xml:space="preserve"> </w:t>
      </w:r>
      <w:r>
        <w:t xml:space="preserve">when known harm/benefit is injected into otherwise-null data, KCOR reliably detects it.</w:t>
      </w:r>
    </w:p>
    <w:tbl>
      <w:tblPr>
        <w:tblStyle w:val="Table"/>
        <w:tblW w:type="pct" w:w="5000"/>
        <w:tblLayout w:type="fixed"/>
        <w:tblLook w:firstRow="1" w:lastRow="0" w:firstColumn="0" w:lastColumn="0" w:noHBand="0" w:noVBand="0" w:val="0020"/>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w:t>
            </w:r>
          </w:p>
        </w:tc>
        <w:tc>
          <w:tcPr/>
          <w:p>
            <w:pPr>
              <w:pStyle w:val="Compact"/>
              <w:jc w:val="right"/>
            </w:pPr>
            <m:oMath>
              <m:acc>
                <m:accPr>
                  <m:chr m:val="̂"/>
                </m:accPr>
                <m:e>
                  <m:r>
                    <m:t>θ</m:t>
                  </m:r>
                </m:e>
              </m:acc>
            </m:oMath>
            <w:r>
              <w:t xml:space="preserve"> </w:t>
            </w:r>
            <w:r>
              <w:t xml:space="preserve">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pPr>
        <w:pStyle w:val="BodyText"/>
      </w:pPr>
      <w:r>
        <w:t xml:space="preserve">Table 2. Estimated gamma-frailty variance (</w:t>
      </w:r>
      <m:oMath>
        <m:acc>
          <m:accPr>
            <m:chr m:val="̂"/>
          </m:accPr>
          <m:e>
            <m:r>
              <m:t>θ</m:t>
            </m:r>
          </m:e>
        </m:acc>
      </m:oMath>
      <w:r>
        <w:t xml:space="preserve">) by age band and vaccination status for Czech cohorts enrolled in 2021_24. {#tbl:frailty_diagnostics}</w:t>
      </w:r>
    </w:p>
    <w:p>
      <w:pPr>
        <w:pStyle w:val="BodyText"/>
      </w:pP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 Each entry reports a single fitted gamma-frailty variance</w:t>
      </w:r>
      <w:r>
        <w:t xml:space="preserve"> </w:t>
      </w:r>
      <m:oMath>
        <m:acc>
          <m:accPr>
            <m:chr m:val="̂"/>
          </m:accPr>
          <m:e>
            <m:r>
              <m:t>θ</m:t>
            </m:r>
          </m:e>
        </m:acc>
      </m:oMath>
      <w:r>
        <w:t xml:space="preserve"> </w:t>
      </w:r>
      <w:r>
        <w:t xml:space="preserve">for the specified age band and vaccination status within the 2021_24 enrollment cohort. The</w:t>
      </w:r>
      <w:r>
        <w:t xml:space="preserve"> </w:t>
      </w:r>
      <w:r>
        <w:t xml:space="preserve">“All ages (full population)”</w:t>
      </w:r>
      <w:r>
        <w:t xml:space="preserve"> </w:t>
      </w:r>
      <w:r>
        <w:t xml:space="preserve">row corresponds to an independent fit over the full pooled age range. The</w:t>
      </w:r>
      <w:r>
        <w:t xml:space="preserve"> </w:t>
      </w:r>
      <w:r>
        <w:t xml:space="preserve">“All ages (full population)”</w:t>
      </w:r>
      <w:r>
        <w:t xml:space="preserve"> </w:t>
      </w:r>
      <w:r>
        <w:t xml:space="preserve">row is included as a global diagnostic; Table 3 reports raw outcome contrasts for ages 40+ (YOB ≤ 1980) where event counts are stable.</w:t>
      </w:r>
    </w:p>
    <w:p>
      <w:pPr>
        <w:pStyle w:val="BodyText"/>
      </w:pPr>
      <w:r>
        <w:t xml:space="preserve">Table 2 satisfies all pre-specified KCOR sanity checks:</w:t>
      </w:r>
    </w:p>
    <w:p>
      <w:pPr>
        <w:pStyle w:val="Compact"/>
        <w:numPr>
          <w:ilvl w:val="0"/>
          <w:numId w:val="1015"/>
        </w:numPr>
      </w:pPr>
      <w:r>
        <w:rPr>
          <w:b/>
          <w:bCs/>
        </w:rPr>
        <w:t xml:space="preserve">Dose ordering:</w:t>
      </w:r>
      <w:r>
        <w:t xml:space="preserve"> </w:t>
      </w:r>
      <m:oMath>
        <m:acc>
          <m:accPr>
            <m:chr m:val="̂"/>
          </m:accPr>
          <m:e>
            <m:r>
              <m:t>θ</m:t>
            </m:r>
          </m:e>
        </m:acc>
      </m:oMath>
      <w:r>
        <w:t xml:space="preserve"> </w:t>
      </w:r>
      <w:r>
        <w:t xml:space="preserve">is large and positive for Dose 0 and collapses toward zero for Dose 2 across all age strata, consistent with strong selective uptake.</w:t>
      </w:r>
    </w:p>
    <w:p>
      <w:pPr>
        <w:pStyle w:val="Compact"/>
        <w:numPr>
          <w:ilvl w:val="0"/>
          <w:numId w:val="1015"/>
        </w:numPr>
      </w:pPr>
      <w:r>
        <w:rPr>
          <w:b/>
          <w:bCs/>
        </w:rPr>
        <w:t xml:space="preserve">Magnitude separation:</w:t>
      </w:r>
      <w:r>
        <w:t xml:space="preserve"> </w:t>
      </w:r>
      <w:r>
        <w:t xml:space="preserve">Dose 2 estimates are effectively zero relative to Dose 0, indicating near-linear cumulative hazards rather than forced curvature.</w:t>
      </w:r>
    </w:p>
    <w:p>
      <w:pPr>
        <w:pStyle w:val="Compact"/>
        <w:numPr>
          <w:ilvl w:val="0"/>
          <w:numId w:val="1015"/>
        </w:numPr>
      </w:pPr>
      <w:r>
        <w:rPr>
          <w:b/>
          <w:bCs/>
        </w:rPr>
        <w:t xml:space="preserve">Age coherence:</w:t>
      </w:r>
      <w:r>
        <w:t xml:space="preserve"> </w:t>
      </w:r>
      <m:oMath>
        <m:acc>
          <m:accPr>
            <m:chr m:val="̂"/>
          </m:accPr>
          <m:e>
            <m:r>
              <m:t>θ</m:t>
            </m:r>
          </m:e>
        </m:acc>
      </m:oMath>
      <w:r>
        <w:t xml:space="preserve"> </w:t>
      </w:r>
      <w:r>
        <w:t xml:space="preserve">decreases at older ages as baseline mortality rises and survivor populations become more homogeneous; monotonicity is not imposed.</w:t>
      </w:r>
    </w:p>
    <w:p>
      <w:pPr>
        <w:pStyle w:val="Compact"/>
        <w:numPr>
          <w:ilvl w:val="0"/>
          <w:numId w:val="1015"/>
        </w:numPr>
      </w:pPr>
      <w:r>
        <w:rPr>
          <w:b/>
          <w:bCs/>
        </w:rPr>
        <w:t xml:space="preserve">Stability:</w:t>
      </w:r>
      <w:r>
        <w:t xml:space="preserve"> </w:t>
      </w:r>
      <w:r>
        <w:t xml:space="preserve">No sign reversals, boundary pathologies, or numerical instabilities are observed.</w:t>
      </w:r>
    </w:p>
    <w:p>
      <w:pPr>
        <w:pStyle w:val="Compact"/>
        <w:numPr>
          <w:ilvl w:val="0"/>
          <w:numId w:val="1015"/>
        </w:numPr>
      </w:pPr>
      <w:r>
        <w:rPr>
          <w:b/>
          <w:bCs/>
        </w:rPr>
        <w:t xml:space="preserve">Falsifiability:</w:t>
      </w:r>
      <w:r>
        <w:t xml:space="preserve"> </w:t>
      </w:r>
      <w:r>
        <w:t xml:space="preserve">Failure of any one of these checks would constitute evidence against model adequacy.</w:t>
      </w:r>
    </w:p>
    <w:p>
      <w:pPr>
        <w:pStyle w:val="Compact"/>
        <w:numPr>
          <w:ilvl w:val="0"/>
          <w:numId w:val="1015"/>
        </w:numPr>
      </w:pPr>
      <w:r>
        <w:rPr>
          <w:b/>
          <w:bCs/>
        </w:rPr>
        <w:t xml:space="preserve">Implication for raw contrasts:</w:t>
      </w:r>
      <w:r>
        <w:t xml:space="preserve"> </w:t>
      </w:r>
      <w:r>
        <w:t xml:space="preserve">Because Table 2 demonstrates substantial selection-induced heterogeneity, unadjusted cumulative outcome contrasts are expected to conflate depletion effects with any true treatment differences; Table 3 therefore reports raw cumulative hazards solely as a pre-normalization diagnostic.</w:t>
      </w:r>
    </w:p>
    <w:p>
      <w:pPr>
        <w:pStyle w:val="FirstParagraph"/>
      </w:pPr>
      <w:r>
        <w:t xml:space="preserve">As shown in Table 2, unvaccinated cohorts exhibit substantial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strong selective uptake prior to follow-up. Frailty variance is largest at younger ages, where low baseline mortality amplifies the impact of heterogeneity on cumulative hazard curvature, and declines at older ages where mortality is compressed and survivors are more homogeneous. No diagnostic reversals or instabilities are observed.</w:t>
      </w:r>
    </w:p>
    <w:p>
      <w:pPr>
        <w:pStyle w:val="BodyText"/>
      </w:pPr>
      <w:r>
        <w:t xml:space="preserve">Table 2 establishes strong selection-induced heterogeneity; Table 3 therefore reports raw cumulative outcome contrasts prior to normalization.</w:t>
      </w:r>
    </w:p>
    <w:p>
      <w:pPr>
        <w:pStyle w:val="BodyText"/>
      </w:pPr>
      <w:r>
        <w:t xml:space="preserve">Given the strong frailty heterogeneity shown in Table 2, raw cumulative outcome contrasts (Table 3) are expected to reflect both selection-induced depletion effects and any underlying treatment differences. KCOR normalization removes the depletion component, enabling interpretable comparison of the remaining differences.</w:t>
      </w:r>
    </w:p>
    <w:tbl>
      <w:tblPr>
        <w:tblStyle w:val="Table"/>
        <w:tblW w:type="pct" w:w="5000"/>
        <w:tblLayout w:type="fixed"/>
        <w:tblLook w:firstRow="1" w:lastRow="0" w:firstColumn="0" w:lastColumn="0" w:noHBand="0" w:noVBand="0" w:val="0020"/>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0.022731</w:t>
            </w:r>
          </w:p>
        </w:tc>
        <w:tc>
          <w:tcPr/>
          <w:p>
            <w:pPr>
              <w:pStyle w:val="Compact"/>
              <w:jc w:val="right"/>
            </w:pPr>
            <w:r>
              <w:t xml:space="preserve">0.012510</w:t>
            </w:r>
          </w:p>
        </w:tc>
        <w:tc>
          <w:tcPr/>
          <w:p>
            <w:pPr>
              <w:pStyle w:val="Compact"/>
              <w:jc w:val="right"/>
            </w:pPr>
            <w:r>
              <w:t xml:space="preserve">1.8171</w:t>
            </w:r>
          </w:p>
        </w:tc>
      </w:tr>
      <w:tr>
        <w:tc>
          <w:tcPr/>
          <w:p>
            <w:pPr>
              <w:pStyle w:val="Compact"/>
            </w:pPr>
            <w:r>
              <w:t xml:space="preserve">50–59</w:t>
            </w:r>
          </w:p>
        </w:tc>
        <w:tc>
          <w:tcPr/>
          <w:p>
            <w:pPr>
              <w:pStyle w:val="Compact"/>
              <w:jc w:val="right"/>
            </w:pPr>
            <w:r>
              <w:t xml:space="preserve">0.060750</w:t>
            </w:r>
          </w:p>
        </w:tc>
        <w:tc>
          <w:tcPr/>
          <w:p>
            <w:pPr>
              <w:pStyle w:val="Compact"/>
              <w:jc w:val="right"/>
            </w:pPr>
            <w:r>
              <w:t xml:space="preserve">0.035750</w:t>
            </w:r>
          </w:p>
        </w:tc>
        <w:tc>
          <w:tcPr/>
          <w:p>
            <w:pPr>
              <w:pStyle w:val="Compact"/>
              <w:jc w:val="right"/>
            </w:pPr>
            <w:r>
              <w:t xml:space="preserve">1.6993</w:t>
            </w:r>
          </w:p>
        </w:tc>
      </w:tr>
      <w:tr>
        <w:tc>
          <w:tcPr/>
          <w:p>
            <w:pPr>
              <w:pStyle w:val="Compact"/>
            </w:pPr>
            <w:r>
              <w:t xml:space="preserve">60–69</w:t>
            </w:r>
          </w:p>
        </w:tc>
        <w:tc>
          <w:tcPr/>
          <w:p>
            <w:pPr>
              <w:pStyle w:val="Compact"/>
              <w:jc w:val="right"/>
            </w:pPr>
            <w:r>
              <w:t xml:space="preserve">0.204957</w:t>
            </w:r>
          </w:p>
        </w:tc>
        <w:tc>
          <w:tcPr/>
          <w:p>
            <w:pPr>
              <w:pStyle w:val="Compact"/>
              <w:jc w:val="right"/>
            </w:pPr>
            <w:r>
              <w:t xml:space="preserve">0.083450</w:t>
            </w:r>
          </w:p>
        </w:tc>
        <w:tc>
          <w:tcPr/>
          <w:p>
            <w:pPr>
              <w:pStyle w:val="Compact"/>
              <w:jc w:val="right"/>
            </w:pPr>
            <w:r>
              <w:t xml:space="preserve">2.4561</w:t>
            </w:r>
          </w:p>
        </w:tc>
      </w:tr>
      <w:tr>
        <w:tc>
          <w:tcPr/>
          <w:p>
            <w:pPr>
              <w:pStyle w:val="Compact"/>
            </w:pPr>
            <w:r>
              <w:t xml:space="preserve">70+</w:t>
            </w:r>
          </w:p>
        </w:tc>
        <w:tc>
          <w:tcPr/>
          <w:p>
            <w:pPr>
              <w:pStyle w:val="Compact"/>
              <w:jc w:val="right"/>
            </w:pPr>
            <w:r>
              <w:t xml:space="preserve">1.347411</w:t>
            </w:r>
          </w:p>
        </w:tc>
        <w:tc>
          <w:tcPr/>
          <w:p>
            <w:pPr>
              <w:pStyle w:val="Compact"/>
              <w:jc w:val="right"/>
            </w:pPr>
            <w:r>
              <w:t xml:space="preserve">0.869921</w:t>
            </w:r>
          </w:p>
        </w:tc>
        <w:tc>
          <w:tcPr/>
          <w:p>
            <w:pPr>
              <w:pStyle w:val="Compact"/>
              <w:jc w:val="right"/>
            </w:pPr>
            <w:r>
              <w:t xml:space="preserve">1.5489</w:t>
            </w:r>
          </w:p>
        </w:tc>
      </w:tr>
    </w:tbl>
    <w:p>
      <w:pPr>
        <w:pStyle w:val="BodyText"/>
      </w:pPr>
      <w:r>
        <w:t xml:space="preserve">Table 3. Ratio of observed cumulative mortality hazards for unvaccinated (Dose 0) versus fully vaccinated (Dose 2) Czech cohorts enrolled in 2021_24. {#tbl:raw_cumulative_outcomes}</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69"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69"/>
    <w:bookmarkStart w:id="86" w:name="X250d2743dd947cd04209f9dc9cf02b545517230"/>
    <w:p>
      <w:pPr>
        <w:pStyle w:val="Heading3"/>
      </w:pPr>
      <w:r>
        <w:t xml:space="preserve">3.1 Negative controls: null under selection-induced curvature</w:t>
      </w:r>
    </w:p>
    <w:bookmarkStart w:id="75"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6"/>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6"/>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6"/>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74"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7"/>
        </w:numPr>
      </w:pPr>
      <w:r>
        <w:t xml:space="preserve">Time unit: weeks.</w:t>
      </w:r>
    </w:p>
    <w:p>
      <w:pPr>
        <w:pStyle w:val="Compact"/>
        <w:numPr>
          <w:ilvl w:val="0"/>
          <w:numId w:val="1017"/>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7"/>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7"/>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3 shows this construction.</w:t>
      </w:r>
    </w:p>
    <w:bookmarkStart w:id="73"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71" name="Picture"/>
            <a:graphic>
              <a:graphicData uri="http://schemas.openxmlformats.org/drawingml/2006/picture">
                <pic:pic>
                  <pic:nvPicPr>
                    <pic:cNvPr descr="figures/fig_neg_control_synthetic.png" id="72" name="Picture"/>
                    <pic:cNvPicPr>
                      <a:picLocks noChangeArrowheads="1" noChangeAspect="1"/>
                    </pic:cNvPicPr>
                  </pic:nvPicPr>
                  <pic:blipFill>
                    <a:blip r:embed="rId70"/>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73"/>
    <w:bookmarkEnd w:id="74"/>
    <w:bookmarkEnd w:id="75"/>
    <w:bookmarkStart w:id="85"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4 and fig. 5),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79"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77" name="Picture"/>
            <a:graphic>
              <a:graphicData uri="http://schemas.openxmlformats.org/drawingml/2006/picture">
                <pic:pic>
                  <pic:nvPicPr>
                    <pic:cNvPr descr="figures/fig2_neg_control_10yr_age_diff.png" id="78" name="Picture"/>
                    <pic:cNvPicPr>
                      <a:picLocks noChangeArrowheads="1" noChangeAspect="1"/>
                    </pic:cNvPicPr>
                  </pic:nvPicPr>
                  <pic:blipFill>
                    <a:blip r:embed="rId76"/>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79"/>
    <w:bookmarkStart w:id="83"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81" name="Picture"/>
            <a:graphic>
              <a:graphicData uri="http://schemas.openxmlformats.org/drawingml/2006/picture">
                <pic:pic>
                  <pic:nvPicPr>
                    <pic:cNvPr descr="figures/fig3_neg_control_20yr_age_diff.png" id="82" name="Picture"/>
                    <pic:cNvPicPr>
                      <a:picLocks noChangeArrowheads="1" noChangeAspect="1"/>
                    </pic:cNvPicPr>
                  </pic:nvPicPr>
                  <pic:blipFill>
                    <a:blip r:embed="rId80"/>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83"/>
    <w:p>
      <w:pPr>
        <w:pStyle w:val="BodyText"/>
      </w:pPr>
      <w:r>
        <w:t xml:space="preserve">Table tbl. 5 provides numeric summaries.</w:t>
      </w:r>
    </w:p>
    <w:bookmarkStart w:id="84" w:name="tbl:neg_control_summary"/>
    <w:p>
      <w:pPr>
        <w:pStyle w:val="TableCaption"/>
      </w:pPr>
      <w:r>
        <w:t xml:space="preserve">Table 5: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5: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84"/>
    <w:bookmarkEnd w:id="85"/>
    <w:bookmarkEnd w:id="86"/>
    <w:bookmarkStart w:id="93"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87"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87"/>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6 and Table tbl. 6 confirm this behavior.</w:t>
      </w:r>
    </w:p>
    <w:bookmarkStart w:id="91"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89" name="Picture"/>
            <a:graphic>
              <a:graphicData uri="http://schemas.openxmlformats.org/drawingml/2006/picture">
                <pic:pic>
                  <pic:nvPicPr>
                    <pic:cNvPr descr="figures/fig_pos_control_injected.png" id="90" name="Picture"/>
                    <pic:cNvPicPr>
                      <a:picLocks noChangeArrowheads="1" noChangeAspect="1"/>
                    </pic:cNvPicPr>
                  </pic:nvPicPr>
                  <pic:blipFill>
                    <a:blip r:embed="rId88"/>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91"/>
    <w:bookmarkStart w:id="92" w:name="tbl:pos_control_summary"/>
    <w:p>
      <w:pPr>
        <w:pStyle w:val="TableCaption"/>
      </w:pPr>
      <w:r>
        <w:t xml:space="preserve">Table 6: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6: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92"/>
    <w:bookmarkEnd w:id="93"/>
    <w:bookmarkStart w:id="98"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8"/>
        </w:numPr>
      </w:pPr>
      <w:r>
        <w:t xml:space="preserve">Quiet-window selection (calendar ISO-week bounds)</w:t>
      </w:r>
    </w:p>
    <w:p>
      <w:pPr>
        <w:pStyle w:val="Compact"/>
        <w:numPr>
          <w:ilvl w:val="0"/>
          <w:numId w:val="1018"/>
        </w:numPr>
      </w:pPr>
      <w:r>
        <w:t xml:space="preserve">Stabilization skip (early-bin handling)</w:t>
      </w:r>
    </w:p>
    <w:p>
      <w:pPr>
        <w:pStyle w:val="Compact"/>
        <w:numPr>
          <w:ilvl w:val="0"/>
          <w:numId w:val="1018"/>
        </w:numPr>
      </w:pPr>
      <w:r>
        <w:t xml:space="preserve">Time-binning resolution</w:t>
      </w:r>
    </w:p>
    <w:p>
      <w:pPr>
        <w:pStyle w:val="Compact"/>
        <w:numPr>
          <w:ilvl w:val="0"/>
          <w:numId w:val="1018"/>
        </w:numPr>
      </w:pPr>
      <w:r>
        <w:t xml:space="preserve">Age stratification and/or stratified analyses where appropriate</w:t>
      </w:r>
    </w:p>
    <w:p>
      <w:pPr>
        <w:pStyle w:val="Compact"/>
        <w:numPr>
          <w:ilvl w:val="0"/>
          <w:numId w:val="1018"/>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7 summarizes KCOR stability across the parameter grid.</w:t>
      </w:r>
    </w:p>
    <w:bookmarkStart w:id="97"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95" name="Picture"/>
            <a:graphic>
              <a:graphicData uri="http://schemas.openxmlformats.org/drawingml/2006/picture">
                <pic:pic>
                  <pic:nvPicPr>
                    <pic:cNvPr descr="figures/fig_sensitivity_overview.png" id="96" name="Picture"/>
                    <pic:cNvPicPr>
                      <a:picLocks noChangeArrowheads="1" noChangeAspect="1"/>
                    </pic:cNvPicPr>
                  </pic:nvPicPr>
                  <pic:blipFill>
                    <a:blip r:embed="rId94"/>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97"/>
    <w:p>
      <w:pPr>
        <w:pStyle w:val="BodyText"/>
      </w:pPr>
      <w:r>
        <w:t xml:space="preserve">Across all tested parameter ranges, KCOR values remained within approximately ±5% of unity, indicating stability under reasonable variations in fitting choices.</w:t>
      </w:r>
    </w:p>
    <w:bookmarkEnd w:id="98"/>
    <w:bookmarkStart w:id="115"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8 and fig. 9 below.</w:t>
      </w:r>
    </w:p>
    <w:p>
      <w:pPr>
        <w:pStyle w:val="BodyText"/>
      </w:pPr>
      <w:r>
        <w:rPr>
          <w:b/>
          <w:bCs/>
        </w:rPr>
        <w:t xml:space="preserve">Joint frailty and treatment-effect simulation (S7).</w:t>
      </w:r>
      <w:r>
        <w:br/>
      </w:r>
      <w:r>
        <w:t xml:space="preserve">Figure fig. 10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fig. 11),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02"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100" name="Picture"/>
            <a:graphic>
              <a:graphicData uri="http://schemas.openxmlformats.org/drawingml/2006/picture">
                <pic:pic>
                  <pic:nvPicPr>
                    <pic:cNvPr descr="figures/fig_sim_grid_overview.png" id="101" name="Picture"/>
                    <pic:cNvPicPr>
                      <a:picLocks noChangeArrowheads="1" noChangeAspect="1"/>
                    </pic:cNvPicPr>
                  </pic:nvPicPr>
                  <pic:blipFill>
                    <a:blip r:embed="rId99"/>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02"/>
    <w:bookmarkStart w:id="106"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04" name="Picture"/>
            <a:graphic>
              <a:graphicData uri="http://schemas.openxmlformats.org/drawingml/2006/picture">
                <pic:pic>
                  <pic:nvPicPr>
                    <pic:cNvPr descr="figures/fig_sim_grid_diagnostics.png" id="105" name="Picture"/>
                    <pic:cNvPicPr>
                      <a:picLocks noChangeArrowheads="1" noChangeAspect="1"/>
                    </pic:cNvPicPr>
                  </pic:nvPicPr>
                  <pic:blipFill>
                    <a:blip r:embed="rId103"/>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06"/>
    <w:bookmarkStart w:id="110" w:name="fig:s7_overview"/>
    <w:p>
      <w:pPr>
        <w:pStyle w:val="CaptionedFigure"/>
      </w:pPr>
      <w:r>
        <w:drawing>
          <wp:inline>
            <wp:extent cx="5334000" cy="1389920"/>
            <wp:effectExtent b="0" l="0" r="0" t="0"/>
            <wp:docPr descr="Figure 10: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08" name="Picture"/>
            <a:graphic>
              <a:graphicData uri="http://schemas.openxmlformats.org/drawingml/2006/picture">
                <pic:pic>
                  <pic:nvPicPr>
                    <pic:cNvPr descr="figures/fig_s7_overview.png" id="109" name="Picture"/>
                    <pic:cNvPicPr>
                      <a:picLocks noChangeArrowheads="1" noChangeAspect="1"/>
                    </pic:cNvPicPr>
                  </pic:nvPicPr>
                  <pic:blipFill>
                    <a:blip r:embed="rId107"/>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10: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10"/>
    <w:bookmarkStart w:id="114" w:name="fig:s7_diagnostics"/>
    <w:p>
      <w:pPr>
        <w:pStyle w:val="CaptionedFigure"/>
      </w:pPr>
      <w:r>
        <w:drawing>
          <wp:inline>
            <wp:extent cx="5334000" cy="4432289"/>
            <wp:effectExtent b="0" l="0" r="0" t="0"/>
            <wp:docPr descr="Figure 11: S7 simulation diagnostics: Fitted frailty variance parameters (\theta_0, \theta_1), fit quality (RMSE), and convergence status across S7 scenarios. The overlap variant shows degraded fit quality, correctly signaling violation of temporal separability assumptions." title="" id="112" name="Picture"/>
            <a:graphic>
              <a:graphicData uri="http://schemas.openxmlformats.org/drawingml/2006/picture">
                <pic:pic>
                  <pic:nvPicPr>
                    <pic:cNvPr descr="figures/fig_s7_diagnostics.png" id="113" name="Picture"/>
                    <pic:cNvPicPr>
                      <a:picLocks noChangeArrowheads="1" noChangeAspect="1"/>
                    </pic:cNvPicPr>
                  </pic:nvPicPr>
                  <pic:blipFill>
                    <a:blip r:embed="rId111"/>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11: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14"/>
    <w:bookmarkEnd w:id="115"/>
    <w:bookmarkStart w:id="116"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16"/>
    <w:bookmarkStart w:id="117"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r>
        <w:pict>
          <v:rect style="width:0;height:1.5pt" o:hralign="center" o:hrstd="t" o:hr="t"/>
        </w:pict>
      </w:r>
    </w:p>
    <w:bookmarkEnd w:id="117"/>
    <w:bookmarkEnd w:id="118"/>
    <w:bookmarkStart w:id="122"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19"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9"/>
        </w:numPr>
      </w:pPr>
      <w:r>
        <w:t xml:space="preserve">selection-induced depletion dynamics can be estimated during quiet periods using a gamma-frailty mixture model, and</w:t>
      </w:r>
    </w:p>
    <w:p>
      <w:pPr>
        <w:pStyle w:val="Compact"/>
        <w:numPr>
          <w:ilvl w:val="0"/>
          <w:numId w:val="1019"/>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19"/>
    <w:bookmarkStart w:id="120"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20"/>
    <w:bookmarkStart w:id="121"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0"/>
        </w:numPr>
      </w:pPr>
      <w:r>
        <w:t xml:space="preserve">Enrollment definition and justification</w:t>
      </w:r>
    </w:p>
    <w:p>
      <w:pPr>
        <w:pStyle w:val="Compact"/>
        <w:numPr>
          <w:ilvl w:val="0"/>
          <w:numId w:val="1020"/>
        </w:numPr>
      </w:pPr>
      <w:r>
        <w:t xml:space="preserve">Risk set definitions and event-time binning</w:t>
      </w:r>
    </w:p>
    <w:p>
      <w:pPr>
        <w:pStyle w:val="Compact"/>
        <w:numPr>
          <w:ilvl w:val="0"/>
          <w:numId w:val="1020"/>
        </w:numPr>
      </w:pPr>
      <w:r>
        <w:t xml:space="preserve">Quiet-window definition and justification</w:t>
      </w:r>
    </w:p>
    <w:p>
      <w:pPr>
        <w:pStyle w:val="Compact"/>
        <w:numPr>
          <w:ilvl w:val="0"/>
          <w:numId w:val="1020"/>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20"/>
        </w:numPr>
      </w:pPr>
      <w:r>
        <w:t xml:space="preserve">Skip/stabilization rule and robustness to nearby values</w:t>
      </w:r>
    </w:p>
    <w:p>
      <w:pPr>
        <w:pStyle w:val="Compact"/>
        <w:numPr>
          <w:ilvl w:val="0"/>
          <w:numId w:val="1020"/>
        </w:numPr>
      </w:pPr>
      <w:r>
        <w:t xml:space="preserve">Predefined negative/positive controls used for validation</w:t>
      </w:r>
    </w:p>
    <w:p>
      <w:pPr>
        <w:pStyle w:val="Compact"/>
        <w:numPr>
          <w:ilvl w:val="0"/>
          <w:numId w:val="1020"/>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r>
        <w:pict>
          <v:rect style="width:0;height:1.5pt" o:hralign="center" o:hrstd="t" o:hr="t"/>
        </w:pict>
      </w:r>
    </w:p>
    <w:bookmarkEnd w:id="121"/>
    <w:bookmarkEnd w:id="122"/>
    <w:bookmarkStart w:id="126" w:name="limitations"/>
    <w:p>
      <w:pPr>
        <w:pStyle w:val="Heading2"/>
      </w:pPr>
      <w:r>
        <w:t xml:space="preserve">5. Limitations</w:t>
      </w:r>
    </w:p>
    <w:p>
      <w:pPr>
        <w:pStyle w:val="Compact"/>
        <w:numPr>
          <w:ilvl w:val="0"/>
          <w:numId w:val="1021"/>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1"/>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1"/>
        </w:numPr>
      </w:pPr>
      <w:r>
        <w:rPr>
          <w:b/>
          <w:bCs/>
        </w:rPr>
        <w:t xml:space="preserve">Sparse events</w:t>
      </w:r>
      <w:r>
        <w:t xml:space="preserve">: When event counts are small, hazard estimation and parameter fitting can be unstable.</w:t>
      </w:r>
    </w:p>
    <w:p>
      <w:pPr>
        <w:pStyle w:val="Compact"/>
        <w:numPr>
          <w:ilvl w:val="0"/>
          <w:numId w:val="1021"/>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1"/>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1"/>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2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2"/>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2"/>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2"/>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2"/>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3"/>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3"/>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3"/>
        </w:numPr>
      </w:pPr>
      <w:r>
        <w:rPr>
          <w:b/>
          <w:bCs/>
        </w:rPr>
        <w:t xml:space="preserve">Sensitivity analyses</w:t>
      </w:r>
      <w:r>
        <w:t xml:space="preserve"> </w:t>
      </w:r>
      <w:r>
        <w:t xml:space="preserve">over plausible quiet windows and skip-weeks values.</w:t>
      </w:r>
    </w:p>
    <w:p>
      <w:pPr>
        <w:pStyle w:val="Compact"/>
        <w:numPr>
          <w:ilvl w:val="0"/>
          <w:numId w:val="1023"/>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23"/>
    <w:bookmarkStart w:id="12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24"/>
    <w:bookmarkStart w:id="125"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p>
      <w:r>
        <w:pict>
          <v:rect style="width:0;height:1.5pt" o:hralign="center" o:hrstd="t" o:hr="t"/>
        </w:pict>
      </w:r>
    </w:p>
    <w:bookmarkEnd w:id="125"/>
    <w:bookmarkEnd w:id="126"/>
    <w:bookmarkStart w:id="12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p>
      <w:r>
        <w:pict>
          <v:rect style="width:0;height:1.5pt" o:hralign="center" o:hrstd="t" o:hr="t"/>
        </w:pict>
      </w:r>
    </w:p>
    <w:bookmarkEnd w:id="127"/>
    <w:bookmarkStart w:id="138" w:name="declarations-journal-requirements"/>
    <w:p>
      <w:pPr>
        <w:pStyle w:val="Heading2"/>
      </w:pPr>
      <w:r>
        <w:t xml:space="preserve">Declarations (journal requirements)</w:t>
      </w:r>
    </w:p>
    <w:bookmarkStart w:id="128"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4 and fig. 5) use aggregated cohort summaries derived from Czech Republic administrative data; no record-level data are shared in this manuscript.</w:t>
      </w:r>
      <w:r>
        <w:rPr>
          <w:vertAlign w:val="superscript"/>
        </w:rPr>
        <w:t xml:space="preserve">4</w:t>
      </w:r>
    </w:p>
    <w:bookmarkEnd w:id="128"/>
    <w:bookmarkStart w:id="129" w:name="consent-for-publication"/>
    <w:p>
      <w:pPr>
        <w:pStyle w:val="Heading3"/>
      </w:pPr>
      <w:r>
        <w:t xml:space="preserve">Consent for publication</w:t>
      </w:r>
    </w:p>
    <w:p>
      <w:pPr>
        <w:pStyle w:val="FirstParagraph"/>
      </w:pPr>
      <w:r>
        <w:t xml:space="preserve">Not applicable.</w:t>
      </w:r>
    </w:p>
    <w:bookmarkEnd w:id="129"/>
    <w:bookmarkStart w:id="130" w:name="data-availability"/>
    <w:p>
      <w:pPr>
        <w:pStyle w:val="Heading3"/>
      </w:pPr>
      <w:r>
        <w:t xml:space="preserve">Data availability</w:t>
      </w:r>
    </w:p>
    <w:p>
      <w:pPr>
        <w:pStyle w:val="Compact"/>
        <w:numPr>
          <w:ilvl w:val="0"/>
          <w:numId w:val="1024"/>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4"/>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4"/>
        </w:numPr>
      </w:pPr>
      <w:r>
        <w:t xml:space="preserve">The reference implementation includes example datasets in KCOR_CMR format for reproducibility.</w:t>
      </w:r>
    </w:p>
    <w:p>
      <w:pPr>
        <w:pStyle w:val="Compact"/>
        <w:numPr>
          <w:ilvl w:val="0"/>
          <w:numId w:val="1024"/>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30"/>
    <w:bookmarkStart w:id="133" w:name="code-availability"/>
    <w:p>
      <w:pPr>
        <w:pStyle w:val="Heading3"/>
      </w:pPr>
      <w:r>
        <w:t xml:space="preserve">Code availability</w:t>
      </w:r>
    </w:p>
    <w:p>
      <w:pPr>
        <w:pStyle w:val="Compact"/>
        <w:numPr>
          <w:ilvl w:val="0"/>
          <w:numId w:val="1025"/>
        </w:numPr>
      </w:pPr>
      <w:r>
        <w:t xml:space="preserve">The KCOR v6 reference implementation and complete validation suite are available in the project repository.</w:t>
      </w:r>
    </w:p>
    <w:p>
      <w:pPr>
        <w:pStyle w:val="Compact"/>
        <w:numPr>
          <w:ilvl w:val="0"/>
          <w:numId w:val="1025"/>
        </w:numPr>
      </w:pPr>
      <w:r>
        <w:t xml:space="preserve">Repository URL:</w:t>
      </w:r>
      <w:r>
        <w:t xml:space="preserve"> </w:t>
      </w:r>
      <w:hyperlink r:id="rId131">
        <w:r>
          <w:rPr>
            <w:rStyle w:val="Hyperlink"/>
          </w:rPr>
          <w:t xml:space="preserve">https://github.com/skirsch/KCOR</w:t>
        </w:r>
      </w:hyperlink>
    </w:p>
    <w:p>
      <w:pPr>
        <w:pStyle w:val="Compact"/>
        <w:numPr>
          <w:ilvl w:val="0"/>
          <w:numId w:val="1025"/>
        </w:numPr>
      </w:pPr>
      <w:r>
        <w:t xml:space="preserve">Zenodo DOI:</w:t>
      </w:r>
      <w:r>
        <w:t xml:space="preserve"> </w:t>
      </w:r>
      <w:hyperlink r:id="rId132">
        <w:r>
          <w:rPr>
            <w:rStyle w:val="Hyperlink"/>
          </w:rPr>
          <w:t xml:space="preserve">10.5281/zenodo.18050329</w:t>
        </w:r>
      </w:hyperlink>
    </w:p>
    <w:bookmarkEnd w:id="133"/>
    <w:bookmarkStart w:id="134" w:name="competing-interests"/>
    <w:p>
      <w:pPr>
        <w:pStyle w:val="Heading3"/>
      </w:pPr>
      <w:r>
        <w:t xml:space="preserve">Competing interests</w:t>
      </w:r>
    </w:p>
    <w:p>
      <w:pPr>
        <w:pStyle w:val="FirstParagraph"/>
      </w:pPr>
      <w:r>
        <w:t xml:space="preserve">The author is a board member of the Vaccine Safety Research Foundation.</w:t>
      </w:r>
    </w:p>
    <w:bookmarkEnd w:id="134"/>
    <w:bookmarkStart w:id="135" w:name="funding"/>
    <w:p>
      <w:pPr>
        <w:pStyle w:val="Heading3"/>
      </w:pPr>
      <w:r>
        <w:t xml:space="preserve">Funding</w:t>
      </w:r>
    </w:p>
    <w:p>
      <w:pPr>
        <w:pStyle w:val="FirstParagraph"/>
      </w:pPr>
      <w:r>
        <w:t xml:space="preserve">This research received no external funding.</w:t>
      </w:r>
    </w:p>
    <w:bookmarkEnd w:id="135"/>
    <w:bookmarkStart w:id="13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36"/>
    <w:bookmarkStart w:id="137"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p>
      <w:r>
        <w:pict>
          <v:rect style="width:0;height:1.5pt" o:hralign="center" o:hrstd="t" o:hr="t"/>
        </w:pict>
      </w:r>
    </w:p>
    <w:bookmarkEnd w:id="137"/>
    <w:bookmarkEnd w:id="138"/>
    <w:bookmarkStart w:id="17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44" w:name="appendix-a.-mathematical-derivations"/>
    <w:p>
      <w:pPr>
        <w:pStyle w:val="Heading3"/>
      </w:pPr>
      <w:r>
        <w:t xml:space="preserve">Appendix A. Mathematical derivations</w:t>
      </w:r>
    </w:p>
    <w:bookmarkStart w:id="139"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39"/>
    <w:bookmarkStart w:id="140"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40"/>
    <w:bookmarkStart w:id="141"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41"/>
    <w:bookmarkStart w:id="142"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42"/>
    <w:bookmarkStart w:id="143"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43"/>
    <w:bookmarkEnd w:id="144"/>
    <w:bookmarkStart w:id="157" w:name="appendix-b.-control-test-specifications"/>
    <w:p>
      <w:pPr>
        <w:pStyle w:val="Heading3"/>
      </w:pPr>
      <w:r>
        <w:t xml:space="preserve">Appendix B. Control-test specifications</w:t>
      </w:r>
    </w:p>
    <w:bookmarkStart w:id="145"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6"/>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6"/>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6"/>
        </w:numPr>
      </w:pPr>
      <w:r>
        <w:rPr>
          <w:b/>
          <w:bCs/>
        </w:rPr>
        <w:t xml:space="preserve">Cohort A weights</w:t>
      </w:r>
      <w:r>
        <w:t xml:space="preserve">: Equal weights across 5 frailty groups (0.2 each)</w:t>
      </w:r>
    </w:p>
    <w:p>
      <w:pPr>
        <w:pStyle w:val="Compact"/>
        <w:numPr>
          <w:ilvl w:val="0"/>
          <w:numId w:val="1026"/>
        </w:numPr>
      </w:pPr>
      <w:r>
        <w:rPr>
          <w:b/>
          <w:bCs/>
        </w:rPr>
        <w:t xml:space="preserve">Cohort B weights</w:t>
      </w:r>
      <w:r>
        <w:t xml:space="preserve">: Shifted weights [0.30, 0.20, 0.20, 0.20, 0.10]</w:t>
      </w:r>
    </w:p>
    <w:p>
      <w:pPr>
        <w:pStyle w:val="Compact"/>
        <w:numPr>
          <w:ilvl w:val="0"/>
          <w:numId w:val="1026"/>
        </w:numPr>
      </w:pPr>
      <w:r>
        <w:rPr>
          <w:b/>
          <w:bCs/>
        </w:rPr>
        <w:t xml:space="preserve">Frailty values</w:t>
      </w:r>
      <w:r>
        <w:t xml:space="preserve">: [1, 2, 4, 6, 10] (relative frailty multipliers)</w:t>
      </w:r>
    </w:p>
    <w:p>
      <w:pPr>
        <w:pStyle w:val="Compact"/>
        <w:numPr>
          <w:ilvl w:val="0"/>
          <w:numId w:val="1026"/>
        </w:numPr>
      </w:pPr>
      <w:r>
        <w:rPr>
          <w:b/>
          <w:bCs/>
        </w:rPr>
        <w:t xml:space="preserve">Base weekly probability</w:t>
      </w:r>
      <w:r>
        <w:t xml:space="preserve">: 0.01</w:t>
      </w:r>
    </w:p>
    <w:p>
      <w:pPr>
        <w:pStyle w:val="Compact"/>
        <w:numPr>
          <w:ilvl w:val="0"/>
          <w:numId w:val="1026"/>
        </w:numPr>
      </w:pPr>
      <w:r>
        <w:rPr>
          <w:b/>
          <w:bCs/>
        </w:rPr>
        <w:t xml:space="preserve">Weekly log-slope</w:t>
      </w:r>
      <w:r>
        <w:t xml:space="preserve">: 0.0 (constant baseline during quiet periods)</w:t>
      </w:r>
    </w:p>
    <w:p>
      <w:pPr>
        <w:pStyle w:val="Compact"/>
        <w:numPr>
          <w:ilvl w:val="0"/>
          <w:numId w:val="1026"/>
        </w:numPr>
      </w:pPr>
      <w:r>
        <w:rPr>
          <w:b/>
          <w:bCs/>
        </w:rPr>
        <w:t xml:space="preserve">Skip weeks</w:t>
      </w:r>
      <w:r>
        <w:t xml:space="preserve">: 2</w:t>
      </w:r>
    </w:p>
    <w:p>
      <w:pPr>
        <w:pStyle w:val="Compact"/>
        <w:numPr>
          <w:ilvl w:val="0"/>
          <w:numId w:val="1026"/>
        </w:numPr>
      </w:pPr>
      <w:r>
        <w:rPr>
          <w:b/>
          <w:bCs/>
        </w:rPr>
        <w:t xml:space="preserve">Normalization weeks</w:t>
      </w:r>
      <w:r>
        <w:t xml:space="preserve">: 4</w:t>
      </w:r>
    </w:p>
    <w:p>
      <w:pPr>
        <w:pStyle w:val="Compact"/>
        <w:numPr>
          <w:ilvl w:val="0"/>
          <w:numId w:val="1026"/>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45"/>
    <w:bookmarkStart w:id="146"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7"/>
        </w:numPr>
      </w:pPr>
      <w:r>
        <w:rPr>
          <w:b/>
          <w:bCs/>
        </w:rPr>
        <w:t xml:space="preserve">Data source</w:t>
      </w:r>
      <w:r>
        <w:t xml:space="preserve">: Czech Republic administrative mortality and vaccination data, aggregated into KCOR_CMR format</w:t>
      </w:r>
    </w:p>
    <w:p>
      <w:pPr>
        <w:pStyle w:val="Compact"/>
        <w:numPr>
          <w:ilvl w:val="0"/>
          <w:numId w:val="1027"/>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7"/>
        </w:numPr>
      </w:pPr>
      <w:r>
        <w:rPr>
          <w:b/>
          <w:bCs/>
        </w:rPr>
        <w:t xml:space="preserve">Construction</w:t>
      </w:r>
      <w:r>
        <w:t xml:space="preserve">: Age strata remapped to pseudo-doses within same vaccination category</w:t>
      </w:r>
    </w:p>
    <w:p>
      <w:pPr>
        <w:pStyle w:val="Compact"/>
        <w:numPr>
          <w:ilvl w:val="0"/>
          <w:numId w:val="1027"/>
        </w:numPr>
      </w:pPr>
      <w:r>
        <w:rPr>
          <w:b/>
          <w:bCs/>
        </w:rPr>
        <w:t xml:space="preserve">Age mapping</w:t>
      </w:r>
      <w:r>
        <w:t xml:space="preserve">:</w:t>
      </w:r>
    </w:p>
    <w:p>
      <w:pPr>
        <w:pStyle w:val="Compact"/>
        <w:numPr>
          <w:ilvl w:val="1"/>
          <w:numId w:val="1028"/>
        </w:numPr>
      </w:pPr>
      <w:r>
        <w:t xml:space="preserve">Dose 0 → YoB {1930, 1935}</w:t>
      </w:r>
    </w:p>
    <w:p>
      <w:pPr>
        <w:pStyle w:val="Compact"/>
        <w:numPr>
          <w:ilvl w:val="1"/>
          <w:numId w:val="1028"/>
        </w:numPr>
      </w:pPr>
      <w:r>
        <w:t xml:space="preserve">Dose 1 → YoB {1940, 1945}</w:t>
      </w:r>
    </w:p>
    <w:p>
      <w:pPr>
        <w:pStyle w:val="Compact"/>
        <w:numPr>
          <w:ilvl w:val="1"/>
          <w:numId w:val="1028"/>
        </w:numPr>
      </w:pPr>
      <w:r>
        <w:t xml:space="preserve">Dose 2 → YoB {1950, 1955}</w:t>
      </w:r>
    </w:p>
    <w:p>
      <w:pPr>
        <w:pStyle w:val="Compact"/>
        <w:numPr>
          <w:ilvl w:val="0"/>
          <w:numId w:val="1027"/>
        </w:numPr>
      </w:pPr>
      <w:r>
        <w:rPr>
          <w:b/>
          <w:bCs/>
        </w:rPr>
        <w:t xml:space="preserve">Output YoB</w:t>
      </w:r>
      <w:r>
        <w:t xml:space="preserve">: Fixed at 1950 (unvax cohort) or 1940 (vax cohort)</w:t>
      </w:r>
    </w:p>
    <w:p>
      <w:pPr>
        <w:pStyle w:val="Compact"/>
        <w:numPr>
          <w:ilvl w:val="0"/>
          <w:numId w:val="1027"/>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46"/>
    <w:bookmarkStart w:id="147" w:name="b.3-positive-control-injected-effect"/>
    <w:p>
      <w:pPr>
        <w:pStyle w:val="Heading4"/>
      </w:pPr>
      <w:r>
        <w:t xml:space="preserve">B.3 Positive control: injected effect</w:t>
      </w:r>
    </w:p>
    <w:p>
      <w:pPr>
        <w:pStyle w:val="FirstParagraph"/>
      </w:pPr>
      <w:r>
        <w:t xml:space="preserve">The positive control (Figure fig. 6 and Table tbl. 6) is generated using:</w:t>
      </w:r>
    </w:p>
    <w:p>
      <w:pPr>
        <w:pStyle w:val="Compact"/>
        <w:numPr>
          <w:ilvl w:val="0"/>
          <w:numId w:val="1029"/>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9"/>
        </w:numPr>
      </w:pPr>
      <w:r>
        <w:rPr>
          <w:b/>
          <w:bCs/>
        </w:rPr>
        <w:t xml:space="preserve">Initial cohort size</w:t>
      </w:r>
      <w:r>
        <w:t xml:space="preserve">: 100,000 per cohort</w:t>
      </w:r>
    </w:p>
    <w:p>
      <w:pPr>
        <w:pStyle w:val="Compact"/>
        <w:numPr>
          <w:ilvl w:val="0"/>
          <w:numId w:val="1029"/>
        </w:numPr>
      </w:pPr>
      <w:r>
        <w:rPr>
          <w:b/>
          <w:bCs/>
        </w:rPr>
        <w:t xml:space="preserve">Baseline hazard</w:t>
      </w:r>
      <w:r>
        <w:t xml:space="preserve">: 0.002 per week</w:t>
      </w:r>
    </w:p>
    <w:p>
      <w:pPr>
        <w:pStyle w:val="Compact"/>
        <w:numPr>
          <w:ilvl w:val="0"/>
          <w:numId w:val="1029"/>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9"/>
        </w:numPr>
      </w:pPr>
      <w:r>
        <w:rPr>
          <w:b/>
          <w:bCs/>
        </w:rPr>
        <w:t xml:space="preserve">Effect window</w:t>
      </w:r>
      <w:r>
        <w:t xml:space="preserve">: weeks 20–80</w:t>
      </w:r>
    </w:p>
    <w:p>
      <w:pPr>
        <w:pStyle w:val="Compact"/>
        <w:numPr>
          <w:ilvl w:val="0"/>
          <w:numId w:val="1029"/>
        </w:numPr>
      </w:pPr>
      <w:r>
        <w:rPr>
          <w:b/>
          <w:bCs/>
        </w:rPr>
        <w:t xml:space="preserve">Hazard multipliers</w:t>
      </w:r>
      <w:r>
        <w:t xml:space="preserve">:</w:t>
      </w:r>
    </w:p>
    <w:p>
      <w:pPr>
        <w:pStyle w:val="Compact"/>
        <w:numPr>
          <w:ilvl w:val="1"/>
          <w:numId w:val="1030"/>
        </w:numPr>
      </w:pPr>
      <w:r>
        <w:t xml:space="preserve">Harm scenario:</w:t>
      </w:r>
      <w:r>
        <w:t xml:space="preserve"> </w:t>
      </w:r>
      <m:oMath>
        <m:r>
          <m:t>r</m:t>
        </m:r>
        <m:r>
          <m:rPr>
            <m:sty m:val="p"/>
          </m:rPr>
          <m:t>=</m:t>
        </m:r>
        <m:r>
          <m:t>1.2</m:t>
        </m:r>
      </m:oMath>
    </w:p>
    <w:p>
      <w:pPr>
        <w:pStyle w:val="Compact"/>
        <w:numPr>
          <w:ilvl w:val="1"/>
          <w:numId w:val="1030"/>
        </w:numPr>
      </w:pPr>
      <w:r>
        <w:t xml:space="preserve">Benefit scenario:</w:t>
      </w:r>
      <w:r>
        <w:t xml:space="preserve"> </w:t>
      </w:r>
      <m:oMath>
        <m:r>
          <m:t>r</m:t>
        </m:r>
        <m:r>
          <m:rPr>
            <m:sty m:val="p"/>
          </m:rPr>
          <m:t>=</m:t>
        </m:r>
        <m:r>
          <m:t>0.8</m:t>
        </m:r>
      </m:oMath>
    </w:p>
    <w:p>
      <w:pPr>
        <w:pStyle w:val="Compact"/>
        <w:numPr>
          <w:ilvl w:val="0"/>
          <w:numId w:val="1029"/>
        </w:numPr>
      </w:pPr>
      <w:r>
        <w:rPr>
          <w:b/>
          <w:bCs/>
        </w:rPr>
        <w:t xml:space="preserve">Random seed</w:t>
      </w:r>
      <w:r>
        <w:t xml:space="preserve">: 42</w:t>
      </w:r>
    </w:p>
    <w:p>
      <w:pPr>
        <w:pStyle w:val="Compact"/>
        <w:numPr>
          <w:ilvl w:val="0"/>
          <w:numId w:val="1029"/>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47"/>
    <w:bookmarkStart w:id="148"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31"/>
        </w:numPr>
      </w:pPr>
      <w:r>
        <w:rPr>
          <w:b/>
          <w:bCs/>
        </w:rPr>
        <w:t xml:space="preserve">Baseline weeks</w:t>
      </w:r>
      <w:r>
        <w:t xml:space="preserve">: [2, 3, 4, 5, 6, 7, 8]</w:t>
      </w:r>
    </w:p>
    <w:p>
      <w:pPr>
        <w:pStyle w:val="Compact"/>
        <w:numPr>
          <w:ilvl w:val="0"/>
          <w:numId w:val="1031"/>
        </w:numPr>
      </w:pPr>
      <w:r>
        <w:rPr>
          <w:b/>
          <w:bCs/>
        </w:rPr>
        <w:t xml:space="preserve">Quiet-start offsets</w:t>
      </w:r>
      <w:r>
        <w:t xml:space="preserve">: [-12, -8, -4, 0, +4, +8, +12] weeks from 2022-24</w:t>
      </w:r>
    </w:p>
    <w:p>
      <w:pPr>
        <w:pStyle w:val="Compact"/>
        <w:numPr>
          <w:ilvl w:val="0"/>
          <w:numId w:val="1031"/>
        </w:numPr>
      </w:pPr>
      <w:r>
        <w:rPr>
          <w:b/>
          <w:bCs/>
        </w:rPr>
        <w:t xml:space="preserve">Quiet-window end</w:t>
      </w:r>
      <w:r>
        <w:t xml:space="preserve">: Fixed at 2024-16</w:t>
      </w:r>
    </w:p>
    <w:p>
      <w:pPr>
        <w:pStyle w:val="Compact"/>
        <w:numPr>
          <w:ilvl w:val="0"/>
          <w:numId w:val="1031"/>
        </w:numPr>
      </w:pPr>
      <w:r>
        <w:rPr>
          <w:b/>
          <w:bCs/>
        </w:rPr>
        <w:t xml:space="preserve">Dose pairs</w:t>
      </w:r>
      <w:r>
        <w:t xml:space="preserve">: 1 vs 0, 2 vs 0, 2 vs 1</w:t>
      </w:r>
    </w:p>
    <w:p>
      <w:pPr>
        <w:pStyle w:val="Compact"/>
        <w:numPr>
          <w:ilvl w:val="0"/>
          <w:numId w:val="1031"/>
        </w:numPr>
      </w:pPr>
      <w:r>
        <w:rPr>
          <w:b/>
          <w:bCs/>
        </w:rPr>
        <w:t xml:space="preserve">Cohorts</w:t>
      </w:r>
      <w:r>
        <w:t xml:space="preserve">: 2021_24</w:t>
      </w:r>
    </w:p>
    <w:p>
      <w:pPr>
        <w:pStyle w:val="FirstParagraph"/>
      </w:pPr>
      <w:r>
        <w:t xml:space="preserve">Output grids show KCOR values for each parameter combination.</w:t>
      </w:r>
    </w:p>
    <w:bookmarkEnd w:id="148"/>
    <w:bookmarkStart w:id="149"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2"/>
        </w:numPr>
      </w:pPr>
      <w:r>
        <w:rPr>
          <w:b/>
          <w:bCs/>
        </w:rPr>
        <w:t xml:space="preserve">Mid-sampled cohort</w:t>
      </w:r>
      <w:r>
        <w:t xml:space="preserve">: frailty restricted to central quantiles (e.g., 25th–75th percentile) and renormalized to mean 1.</w:t>
      </w:r>
    </w:p>
    <w:p>
      <w:pPr>
        <w:pStyle w:val="Compact"/>
        <w:numPr>
          <w:ilvl w:val="0"/>
          <w:numId w:val="1032"/>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3"/>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3"/>
        </w:numPr>
      </w:pPr>
      <w:r>
        <w:rPr>
          <w:b/>
          <w:bCs/>
        </w:rPr>
        <w:t xml:space="preserve">Base frailty distribution</w:t>
      </w:r>
      <w:r>
        <w:t xml:space="preserve">: Log-normal with mean 1, variance 0.5</w:t>
      </w:r>
    </w:p>
    <w:p>
      <w:pPr>
        <w:pStyle w:val="Compact"/>
        <w:numPr>
          <w:ilvl w:val="0"/>
          <w:numId w:val="1033"/>
        </w:numPr>
      </w:pPr>
      <w:r>
        <w:rPr>
          <w:b/>
          <w:bCs/>
        </w:rPr>
        <w:t xml:space="preserve">Mid-quantile cohort</w:t>
      </w:r>
      <w:r>
        <w:t xml:space="preserve">: 25th–75th percentile</w:t>
      </w:r>
    </w:p>
    <w:p>
      <w:pPr>
        <w:pStyle w:val="Compact"/>
        <w:numPr>
          <w:ilvl w:val="0"/>
          <w:numId w:val="1033"/>
        </w:numPr>
      </w:pPr>
      <w:r>
        <w:rPr>
          <w:b/>
          <w:bCs/>
        </w:rPr>
        <w:t xml:space="preserve">Tail-mixture cohort</w:t>
      </w:r>
      <w:r>
        <w:t xml:space="preserve">: [0–15th] + [85th–100th] percentiles, equal weights</w:t>
      </w:r>
    </w:p>
    <w:p>
      <w:pPr>
        <w:pStyle w:val="Compact"/>
        <w:numPr>
          <w:ilvl w:val="0"/>
          <w:numId w:val="1033"/>
        </w:numPr>
      </w:pPr>
      <w:r>
        <w:rPr>
          <w:b/>
          <w:bCs/>
        </w:rPr>
        <w:t xml:space="preserve">Baseline hazard</w:t>
      </w:r>
      <w:r>
        <w:t xml:space="preserve">: 0.002 per week (constant)</w:t>
      </w:r>
    </w:p>
    <w:p>
      <w:pPr>
        <w:pStyle w:val="Compact"/>
        <w:numPr>
          <w:ilvl w:val="0"/>
          <w:numId w:val="1033"/>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3"/>
        </w:numPr>
      </w:pPr>
      <w:r>
        <w:rPr>
          <w:b/>
          <w:bCs/>
        </w:rPr>
        <w:t xml:space="preserve">Effect window</w:t>
      </w:r>
      <w:r>
        <w:t xml:space="preserve">: weeks 20–80</w:t>
      </w:r>
    </w:p>
    <w:p>
      <w:pPr>
        <w:pStyle w:val="Compact"/>
        <w:numPr>
          <w:ilvl w:val="0"/>
          <w:numId w:val="1033"/>
        </w:numPr>
      </w:pPr>
      <w:r>
        <w:rPr>
          <w:b/>
          <w:bCs/>
        </w:rPr>
        <w:t xml:space="preserve">Random seed</w:t>
      </w:r>
      <w:r>
        <w:t xml:space="preserve">: 42</w:t>
      </w:r>
    </w:p>
    <w:bookmarkEnd w:id="149"/>
    <w:bookmarkStart w:id="156"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50"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50"/>
    <w:bookmarkStart w:id="151" w:name="frailty-structure"/>
    <w:p>
      <w:pPr>
        <w:pStyle w:val="Heading5"/>
      </w:pPr>
      <w:r>
        <w:t xml:space="preserve">Frailty structure</w:t>
      </w:r>
    </w:p>
    <w:p>
      <w:pPr>
        <w:pStyle w:val="Compact"/>
        <w:numPr>
          <w:ilvl w:val="0"/>
          <w:numId w:val="1034"/>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4"/>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51"/>
    <w:bookmarkStart w:id="152"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5"/>
        </w:numPr>
      </w:pPr>
      <w:r>
        <w:t xml:space="preserve">Step change (constant multiplicative factor),</w:t>
      </w:r>
    </w:p>
    <w:p>
      <w:pPr>
        <w:pStyle w:val="Compact"/>
        <w:numPr>
          <w:ilvl w:val="0"/>
          <w:numId w:val="1035"/>
        </w:numPr>
      </w:pPr>
      <w:r>
        <w:t xml:space="preserve">Linear ramp,</w:t>
      </w:r>
    </w:p>
    <w:p>
      <w:pPr>
        <w:pStyle w:val="Compact"/>
        <w:numPr>
          <w:ilvl w:val="0"/>
          <w:numId w:val="1035"/>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52"/>
    <w:bookmarkStart w:id="153"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53"/>
    <w:bookmarkStart w:id="154"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6"/>
        </w:numPr>
      </w:pPr>
      <w:r>
        <w:t xml:space="preserve">KCOR remains approximately flat and near unity during the quiet window,</w:t>
      </w:r>
    </w:p>
    <w:p>
      <w:pPr>
        <w:pStyle w:val="Compact"/>
        <w:numPr>
          <w:ilvl w:val="0"/>
          <w:numId w:val="1036"/>
        </w:numPr>
      </w:pPr>
      <w:r>
        <w:t xml:space="preserve">KCOR deviates in the correct direction and magnitude during the treatment window,</w:t>
      </w:r>
    </w:p>
    <w:p>
      <w:pPr>
        <w:pStyle w:val="Compact"/>
        <w:numPr>
          <w:ilvl w:val="0"/>
          <w:numId w:val="1036"/>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54"/>
    <w:bookmarkStart w:id="155"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55"/>
    <w:bookmarkEnd w:id="156"/>
    <w:bookmarkEnd w:id="157"/>
    <w:bookmarkStart w:id="162" w:name="X3fb27f9d14d988b0afc4c757bd6d2a45d2ae0b5"/>
    <w:p>
      <w:pPr>
        <w:pStyle w:val="Heading3"/>
      </w:pPr>
      <w:r>
        <w:t xml:space="preserve">Appendix C. Additional figures and diagnostics</w:t>
      </w:r>
    </w:p>
    <w:bookmarkStart w:id="158"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58"/>
    <w:bookmarkStart w:id="159"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8"/>
        </w:numPr>
      </w:pPr>
      <w:r>
        <w:rPr>
          <w:b/>
          <w:bCs/>
        </w:rPr>
        <w:t xml:space="preserve">Outliers</w:t>
      </w:r>
      <w:r>
        <w:t xml:space="preserve">: Individual weeks with large residuals may indicate data quality issues or external shocks.</w:t>
      </w:r>
    </w:p>
    <w:p>
      <w:pPr>
        <w:pStyle w:val="Compact"/>
        <w:numPr>
          <w:ilvl w:val="0"/>
          <w:numId w:val="1038"/>
        </w:numPr>
      </w:pPr>
      <w:r>
        <w:rPr>
          <w:b/>
          <w:bCs/>
        </w:rPr>
        <w:t xml:space="preserve">Autocorrelation</w:t>
      </w:r>
      <w:r>
        <w:t xml:space="preserve">: Strong autocorrelation in residuals suggests the model is missing time-varying structure.</w:t>
      </w:r>
    </w:p>
    <w:bookmarkEnd w:id="159"/>
    <w:bookmarkStart w:id="160"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9"/>
        </w:numPr>
      </w:pPr>
      <w:r>
        <w:rPr>
          <w:b/>
          <w:bCs/>
        </w:rPr>
        <w:t xml:space="preserve">Quiet-window perturbation</w:t>
      </w:r>
      <w:r>
        <w:t xml:space="preserve">: Shift the quiet-window start/end by ±4 weeks and re-fit. Stable parameters should vary by &lt; 10%.</w:t>
      </w:r>
    </w:p>
    <w:p>
      <w:pPr>
        <w:pStyle w:val="Compact"/>
        <w:numPr>
          <w:ilvl w:val="0"/>
          <w:numId w:val="1039"/>
        </w:numPr>
      </w:pPr>
      <w:r>
        <w:rPr>
          <w:b/>
          <w:bCs/>
        </w:rPr>
        <w:t xml:space="preserve">Skip-weeks sensitivity</w:t>
      </w:r>
      <w:r>
        <w:t xml:space="preserve">: Vary SKIP_WEEKS from 0 to 8 and verify KCOR trajectories remain qualitatively similar.</w:t>
      </w:r>
    </w:p>
    <w:p>
      <w:pPr>
        <w:pStyle w:val="Compact"/>
        <w:numPr>
          <w:ilvl w:val="0"/>
          <w:numId w:val="103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60"/>
    <w:bookmarkStart w:id="161"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0"/>
        </w:numPr>
      </w:pPr>
      <w:r>
        <w:t xml:space="preserve">Avoid major epidemic waves or external mortality shocks</w:t>
      </w:r>
    </w:p>
    <w:p>
      <w:pPr>
        <w:pStyle w:val="Compact"/>
        <w:numPr>
          <w:ilvl w:val="0"/>
          <w:numId w:val="1040"/>
        </w:numPr>
      </w:pPr>
      <w:r>
        <w:t xml:space="preserve">Contain sufficient event counts for stable estimation</w:t>
      </w:r>
    </w:p>
    <w:p>
      <w:pPr>
        <w:pStyle w:val="Compact"/>
        <w:numPr>
          <w:ilvl w:val="0"/>
          <w:numId w:val="104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61"/>
    <w:bookmarkEnd w:id="162"/>
    <w:bookmarkStart w:id="170"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p>
      <w:r>
        <w:pict>
          <v:rect style="width:0;height:1.5pt" o:hralign="center" o:hrstd="t" o:hr="t"/>
        </w:pict>
      </w:r>
    </w:p>
    <w:bookmarkStart w:id="163"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1"/>
        </w:numPr>
      </w:pPr>
      <w:r>
        <w:t xml:space="preserve">Inconsistencies in cohort risk sets (e.g., unexplained increases in at-risk counts).</w:t>
      </w:r>
    </w:p>
    <w:p>
      <w:pPr>
        <w:pStyle w:val="Compact"/>
        <w:numPr>
          <w:ilvl w:val="0"/>
          <w:numId w:val="1041"/>
        </w:numPr>
      </w:pPr>
      <w:r>
        <w:t xml:space="preserve">Early-time hazard suppression or inflation inconsistent with selection or depletion geometry.</w:t>
      </w:r>
    </w:p>
    <w:p>
      <w:pPr>
        <w:pStyle w:val="Compact"/>
        <w:numPr>
          <w:ilvl w:val="0"/>
          <w:numId w:val="1041"/>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p>
      <w:r>
        <w:pict>
          <v:rect style="width:0;height:1.5pt" o:hralign="center" o:hrstd="t" o:hr="t"/>
        </w:pict>
      </w:r>
    </w:p>
    <w:bookmarkEnd w:id="163"/>
    <w:bookmarkStart w:id="164"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2"/>
        </w:numPr>
      </w:pPr>
      <w:r>
        <w:t xml:space="preserve">Calendar-time hazard spikes or drops that appear in only one cohort.</w:t>
      </w:r>
    </w:p>
    <w:p>
      <w:pPr>
        <w:pStyle w:val="Compact"/>
        <w:numPr>
          <w:ilvl w:val="0"/>
          <w:numId w:val="1042"/>
        </w:numPr>
      </w:pPr>
      <w:r>
        <w:t xml:space="preserve">Misalignment of major mortality shocks (e.g., epidemic waves) across cohorts.</w:t>
      </w:r>
    </w:p>
    <w:p>
      <w:pPr>
        <w:pStyle w:val="Compact"/>
        <w:numPr>
          <w:ilvl w:val="0"/>
          <w:numId w:val="1042"/>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p>
      <w:r>
        <w:pict>
          <v:rect style="width:0;height:1.5pt" o:hralign="center" o:hrstd="t" o:hr="t"/>
        </w:pict>
      </w:r>
    </w:p>
    <w:bookmarkEnd w:id="164"/>
    <w:bookmarkStart w:id="165"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3"/>
        </w:numPr>
      </w:pPr>
      <w:r>
        <w:t xml:space="preserve">Strongly structured residuals in cumulative-hazard space inconsistent with depletion.</w:t>
      </w:r>
    </w:p>
    <w:p>
      <w:pPr>
        <w:pStyle w:val="Compact"/>
        <w:numPr>
          <w:ilvl w:val="0"/>
          <w:numId w:val="1043"/>
        </w:numPr>
      </w:pPr>
      <w:r>
        <w:t xml:space="preserve">Instability of fitted frailty parameters not attributable to window placement.</w:t>
      </w:r>
    </w:p>
    <w:p>
      <w:pPr>
        <w:pStyle w:val="Compact"/>
        <w:numPr>
          <w:ilvl w:val="0"/>
          <w:numId w:val="1043"/>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p>
      <w:r>
        <w:pict>
          <v:rect style="width:0;height:1.5pt" o:hralign="center" o:hrstd="t" o:hr="t"/>
        </w:pict>
      </w:r>
    </w:p>
    <w:bookmarkEnd w:id="165"/>
    <w:bookmarkStart w:id="166"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4"/>
        </w:numPr>
      </w:pPr>
      <w:r>
        <w:t xml:space="preserve">Poor fit of the gamma-frailty cumulative-hazard model during the quiet window.</w:t>
      </w:r>
    </w:p>
    <w:p>
      <w:pPr>
        <w:pStyle w:val="Compact"/>
        <w:numPr>
          <w:ilvl w:val="0"/>
          <w:numId w:val="1044"/>
        </w:numPr>
      </w:pPr>
      <w:r>
        <w:t xml:space="preserve">Systematic residual curvature after frailty normalization.</w:t>
      </w:r>
    </w:p>
    <w:p>
      <w:pPr>
        <w:pStyle w:val="Compact"/>
        <w:numPr>
          <w:ilvl w:val="0"/>
          <w:numId w:val="1044"/>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p>
      <w:r>
        <w:pict>
          <v:rect style="width:0;height:1.5pt" o:hralign="center" o:hrstd="t" o:hr="t"/>
        </w:pict>
      </w:r>
    </w:p>
    <w:bookmarkEnd w:id="166"/>
    <w:bookmarkStart w:id="167"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45"/>
        </w:numPr>
      </w:pPr>
      <w:r>
        <w:t xml:space="preserve">Failure of KCOR(t) trajectories to stabilize or asymptote following frailty normalization.</w:t>
      </w:r>
    </w:p>
    <w:p>
      <w:pPr>
        <w:pStyle w:val="Compact"/>
        <w:numPr>
          <w:ilvl w:val="0"/>
          <w:numId w:val="1045"/>
        </w:numPr>
      </w:pPr>
      <w:r>
        <w:t xml:space="preserve">Persistent nonzero slope in KCOR(t), indicating residual curvature after normalization.</w:t>
      </w:r>
    </w:p>
    <w:p>
      <w:pPr>
        <w:pStyle w:val="Compact"/>
        <w:numPr>
          <w:ilvl w:val="0"/>
          <w:numId w:val="1045"/>
        </w:numPr>
      </w:pPr>
      <w:r>
        <w:t xml:space="preserve">Instability of fitted frailty parameters (θ) under small perturbations of quiet-window boundaries.</w:t>
      </w:r>
    </w:p>
    <w:p>
      <w:pPr>
        <w:pStyle w:val="Compact"/>
        <w:numPr>
          <w:ilvl w:val="0"/>
          <w:numId w:val="1045"/>
        </w:numPr>
      </w:pPr>
      <w:r>
        <w:t xml:space="preserve">Failure of depletion-neutralized cumulative hazards to become approximately linear during the quiet window.</w:t>
      </w:r>
    </w:p>
    <w:p>
      <w:pPr>
        <w:pStyle w:val="Compact"/>
        <w:numPr>
          <w:ilvl w:val="0"/>
          <w:numId w:val="1045"/>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p>
      <w:r>
        <w:pict>
          <v:rect style="width:0;height:1.5pt" o:hralign="center" o:hrstd="t" o:hr="t"/>
        </w:pict>
      </w:r>
    </w:p>
    <w:bookmarkEnd w:id="167"/>
    <w:bookmarkStart w:id="168"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p>
      <w:r>
        <w:pict>
          <v:rect style="width:0;height:1.5pt" o:hralign="center" o:hrstd="t" o:hr="t"/>
        </w:pict>
      </w:r>
    </w:p>
    <w:bookmarkEnd w:id="168"/>
    <w:bookmarkStart w:id="169" w:name="Xd6fa1f189939ad7c000a7adb1432118f175b6f6"/>
    <w:p>
      <w:pPr>
        <w:pStyle w:val="Heading4"/>
      </w:pPr>
      <w:r>
        <w:t xml:space="preserve">D.7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p>
      <w:r>
        <w:pict>
          <v:rect style="width:0;height:1.5pt" o:hralign="center" o:hrstd="t" o:hr="t"/>
        </w:pict>
      </w:r>
    </w:p>
    <w:bookmarkEnd w:id="169"/>
    <w:bookmarkEnd w:id="170"/>
    <w:bookmarkEnd w:id="171"/>
    <w:bookmarkStart w:id="180" w:name="references"/>
    <w:p>
      <w:pPr>
        <w:pStyle w:val="Heading2"/>
      </w:pPr>
      <w:r>
        <w:t xml:space="preserve">References</w:t>
      </w:r>
    </w:p>
    <w:bookmarkStart w:id="179" w:name="refs"/>
    <w:bookmarkStart w:id="173"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72">
        <w:r>
          <w:rPr>
            <w:rStyle w:val="Hyperlink"/>
          </w:rPr>
          <w:t xml:space="preserve">10.2307/2061224</w:t>
        </w:r>
      </w:hyperlink>
    </w:p>
    <w:bookmarkEnd w:id="173"/>
    <w:bookmarkStart w:id="175"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74">
        <w:r>
          <w:rPr>
            <w:rStyle w:val="Hyperlink"/>
          </w:rPr>
          <w:t xml:space="preserve">10.2147/CLEP.S468572</w:t>
        </w:r>
      </w:hyperlink>
    </w:p>
    <w:bookmarkEnd w:id="175"/>
    <w:bookmarkStart w:id="177"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76">
        <w:r>
          <w:rPr>
            <w:rStyle w:val="Hyperlink"/>
          </w:rPr>
          <w:t xml:space="preserve">10.7554/eLife.103690</w:t>
        </w:r>
      </w:hyperlink>
    </w:p>
    <w:bookmarkEnd w:id="177"/>
    <w:bookmarkStart w:id="178"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78"/>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07" Target="media/rId107.png" /><Relationship Type="http://schemas.openxmlformats.org/officeDocument/2006/relationships/image" Id="rId94" Target="media/rId94.png" /><Relationship Type="http://schemas.openxmlformats.org/officeDocument/2006/relationships/image" Id="rId103" Target="media/rId103.png" /><Relationship Type="http://schemas.openxmlformats.org/officeDocument/2006/relationships/image" Id="rId99" Target="media/rId99.png" /><Relationship Type="http://schemas.openxmlformats.org/officeDocument/2006/relationships/hyperlink" Id="rId174" Target="https://doi.org/10.2147/CLEP.S468572" TargetMode="External" /><Relationship Type="http://schemas.openxmlformats.org/officeDocument/2006/relationships/hyperlink" Id="rId172" Target="https://doi.org/10.2307/2061224" TargetMode="External" /><Relationship Type="http://schemas.openxmlformats.org/officeDocument/2006/relationships/hyperlink" Id="rId132" Target="https://doi.org/10.5281/zenodo.18050329" TargetMode="External" /><Relationship Type="http://schemas.openxmlformats.org/officeDocument/2006/relationships/hyperlink" Id="rId176" Target="https://doi.org/10.7554/eLife.103690" TargetMode="External" /><Relationship Type="http://schemas.openxmlformats.org/officeDocument/2006/relationships/hyperlink" Id="rId13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2147/CLEP.S468572" TargetMode="External" /><Relationship Type="http://schemas.openxmlformats.org/officeDocument/2006/relationships/hyperlink" Id="rId172" Target="https://doi.org/10.2307/2061224" TargetMode="External" /><Relationship Type="http://schemas.openxmlformats.org/officeDocument/2006/relationships/hyperlink" Id="rId132" Target="https://doi.org/10.5281/zenodo.18050329" TargetMode="External" /><Relationship Type="http://schemas.openxmlformats.org/officeDocument/2006/relationships/hyperlink" Id="rId176" Target="https://doi.org/10.7554/eLife.103690" TargetMode="External" /><Relationship Type="http://schemas.openxmlformats.org/officeDocument/2006/relationships/hyperlink" Id="rId13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2025-12-31T05:22:51Z</dcterms:created>
  <dcterms:modified xsi:type="dcterms:W3CDTF">2025-12-31T05:22:51Z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