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60.png" ContentType="image/png"/>
  <Override PartName="/word/media/rId64.png" ContentType="image/png"/>
  <Override PartName="/word/media/rId54.png" ContentType="image/png"/>
  <Override PartName="/word/media/rId7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[Author names and degrees to be added prior to submission]</w:t>
      </w:r>
    </w:p>
    <w:p>
      <w:pPr>
        <w:pStyle w:val="Compact"/>
        <w:numPr>
          <w:ilvl w:val="0"/>
          <w:numId w:val="1001"/>
        </w:numPr>
      </w:pPr>
      <w:r>
        <w:rPr>
          <w:b/>
          <w:bCs/>
        </w:rPr>
        <w:t xml:space="preserve">Affiliations</w:t>
      </w:r>
      <w:r>
        <w:t xml:space="preserve">: [Institutional affiliations to be added prior to submission]</w:t>
      </w:r>
    </w:p>
    <w:p>
      <w:pPr>
        <w:pStyle w:val="Compact"/>
        <w:numPr>
          <w:ilvl w:val="0"/>
          <w:numId w:val="1001"/>
        </w:numPr>
      </w:pPr>
      <w:r>
        <w:rPr>
          <w:b/>
          <w:bCs/>
        </w:rPr>
        <w:t xml:space="preserve">Corresponding author</w:t>
      </w:r>
      <w:r>
        <w:t xml:space="preserve">: [Contact information to be added prior to submission]</w:t>
      </w:r>
    </w:p>
    <w:p>
      <w:pPr>
        <w:pStyle w:val="Compact"/>
        <w:numPr>
          <w:ilvl w:val="0"/>
          <w:numId w:val="1001"/>
        </w:numPr>
      </w:pPr>
      <w:r>
        <w:rPr>
          <w:b/>
          <w:bCs/>
        </w:rPr>
        <w:t xml:space="preserve">Word count</w:t>
      </w:r>
      <w:r>
        <w:t xml:space="preserve">: [To be calculated prior to submission]</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concavity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3" w:name="methods"/>
    <w:p>
      <w:pPr>
        <w:pStyle w:val="Heading2"/>
      </w:pPr>
      <w:r>
        <w:t xml:space="preserve">2. Methods</w:t>
      </w:r>
    </w:p>
    <w:bookmarkStart w:id="19" w:name="tbl:notation"/>
    <w:p>
      <w:pPr>
        <w:pStyle w:val="TableCaption"/>
      </w:pPr>
      <w:r>
        <w:t xml:space="preserve">Table 2: Notation used throughout the Methods section.</w:t>
      </w:r>
    </w:p>
    <w:tbl>
      <w:tblPr>
        <w:tblStyle w:val="Table"/>
        <w:tblW w:type="pct" w:w="5000"/>
        <w:tblLayout w:type="fixed"/>
        <w:tblLook w:firstRow="1" w:lastRow="0" w:firstColumn="0" w:lastColumn="0" w:noHBand="0" w:noVBand="0" w:val="0020"/>
        <w:tblCaption w:val="Table 2: Notation used throughout the Methods section."/>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1"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w:t>
      </w:r>
    </w:p>
    <w:p>
      <w:pPr>
        <w:pStyle w:val="Compact"/>
        <w:numPr>
          <w:ilvl w:val="0"/>
          <w:numId w:val="1005"/>
        </w:numPr>
      </w:pPr>
      <w:r>
        <w:t xml:space="preserve">Cohorts are fixed at enrollment and defined by intervention status at a specified time.</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End w:id="21"/>
    <w:bookmarkStart w:id="24"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2"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2"/>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3"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3"/>
    </w:p>
    <w:bookmarkEnd w:id="24"/>
    <w:bookmarkStart w:id="37" w:name="Xe033a348c5bd6b05b57c8d9f7299f5850ccd667"/>
    <w:p>
      <w:pPr>
        <w:pStyle w:val="Heading3"/>
      </w:pPr>
      <w:r>
        <w:t xml:space="preserve">2.4 Selection model: gamma frailty and the cumulative-hazard identity</w:t>
      </w:r>
    </w:p>
    <w:bookmarkStart w:id="26"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5"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5"/>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6"/>
    <w:bookmarkStart w:id="34"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7"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7"/>
    </w:p>
    <w:p>
      <w:pPr>
        <w:pStyle w:val="FirstParagraph"/>
      </w:pPr>
      <w:r>
        <w:t xml:space="preserve">Integrating over gamma frailty yields a closed-form relationship between the observed cohort cumulative hazard and the baseline cumulative hazard:</w:t>
      </w:r>
    </w:p>
    <w:p>
      <w:pPr>
        <w:pStyle w:val="BodyText"/>
      </w:pPr>
      <w:bookmarkStart w:id="28"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8"/>
    </w:p>
    <w:p>
      <w:pPr>
        <w:pStyle w:val="FirstParagraph"/>
      </w:pPr>
      <w:r>
        <w:t xml:space="preserve">This identity can be inverted exactly:</w:t>
      </w:r>
    </w:p>
    <w:p>
      <w:pPr>
        <w:pStyle w:val="BodyText"/>
      </w:pPr>
      <w:bookmarkStart w:id="29"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29"/>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3"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1" name="Picture"/>
            <a:graphic>
              <a:graphicData uri="http://schemas.openxmlformats.org/drawingml/2006/picture">
                <pic:pic>
                  <pic:nvPicPr>
                    <pic:cNvPr descr="figures/fig1_kcor_v6_schematic.png" id="32" name="Picture"/>
                    <pic:cNvPicPr>
                      <a:picLocks noChangeArrowheads="1" noChangeAspect="1"/>
                    </pic:cNvPicPr>
                  </pic:nvPicPr>
                  <pic:blipFill>
                    <a:blip r:embed="rId30"/>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3"/>
    <w:bookmarkEnd w:id="34"/>
    <w:bookmarkStart w:id="36"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5"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5"/>
    </w:p>
    <w:p>
      <w:pPr>
        <w:pStyle w:val="FirstParagraph"/>
      </w:pPr>
      <w:r>
        <w:t xml:space="preserve">This choice minimizes degrees of freedom and forces curvature during quiet periods to be explained by selection (frailty) rather than by an explicit time-varying baseline.</w:t>
      </w:r>
    </w:p>
    <w:bookmarkEnd w:id="36"/>
    <w:bookmarkEnd w:id="37"/>
    <w:bookmarkStart w:id="42"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8"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8"/>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Parameters are estimated by constrained nonlinear least squares:</w:t>
      </w:r>
    </w:p>
    <w:p>
      <w:pPr>
        <w:pStyle w:val="BodyText"/>
      </w:pPr>
      <w:bookmarkStart w:id="39"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39"/>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1"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6"/>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6"/>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6"/>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0"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0"/>
    </w:p>
    <w:p>
      <w:pPr>
        <w:pStyle w:val="Compact"/>
        <w:numPr>
          <w:ilvl w:val="0"/>
          <w:numId w:val="100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7"/>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1"/>
    <w:bookmarkEnd w:id="42"/>
    <w:bookmarkStart w:id="4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3"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3"/>
    </w:p>
    <w:p>
      <w:pPr>
        <w:pStyle w:val="FirstParagraph"/>
      </w:pPr>
      <w:r>
        <w:t xml:space="preserve">An adjusted hazard may be recovered by differencing:</w:t>
      </w:r>
    </w:p>
    <w:p>
      <w:pPr>
        <w:pStyle w:val="BodyText"/>
      </w:pPr>
      <w:bookmarkStart w:id="44"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4"/>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5"/>
    <w:bookmarkStart w:id="4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7"/>
    <w:bookmarkStart w:id="4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8"/>
    </w:p>
    <w:p>
      <w:pPr>
        <w:pStyle w:val="FirstParagraph"/>
      </w:pPr>
      <w:r>
        <w:t xml:space="preserve">This is a cumulative comparison in hazard space after removing cohort-specific selection-induced depletion dynamics estimated during quiet periods.</w:t>
      </w:r>
    </w:p>
    <w:bookmarkEnd w:id="49"/>
    <w:bookmarkStart w:id="5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0"/>
    <w:bookmarkStart w:id="52" w:name="Xf552aaad3b83b889e2d08c64d65c17176bae771"/>
    <w:p>
      <w:pPr>
        <w:pStyle w:val="Heading3"/>
      </w:pPr>
      <w:r>
        <w:t xml:space="preserve">2.10 Algorithm summary and reproducibility checklist</w:t>
      </w:r>
    </w:p>
    <w:bookmarkStart w:id="51"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1"/>
    <w:p>
      <w:r>
        <w:pict>
          <v:rect style="width:0;height:1.5pt" o:hralign="center" o:hrstd="t" o:hr="t"/>
        </w:pict>
      </w:r>
    </w:p>
    <w:bookmarkEnd w:id="52"/>
    <w:bookmarkEnd w:id="53"/>
    <w:bookmarkStart w:id="8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09"/>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09"/>
        </w:numPr>
      </w:pPr>
      <w:r>
        <w:rPr>
          <w:b/>
          <w:bCs/>
        </w:rPr>
        <w:t xml:space="preserve">Positive controls (detect injected effects):</w:t>
      </w:r>
      <w:r>
        <w:t xml:space="preserve"> </w:t>
      </w:r>
      <w:r>
        <w:t xml:space="preserve">when known harm/benefit is injected into otherwise-null data, KCOR reliably detects it.</w:t>
      </w:r>
    </w:p>
    <w:bookmarkStart w:id="70" w:name="X250d2743dd947cd04209f9dc9cf02b545517230"/>
    <w:p>
      <w:pPr>
        <w:pStyle w:val="Heading3"/>
      </w:pPr>
      <w:r>
        <w:t xml:space="preserve">3.1 Negative controls: null under selection-induced curvature</w:t>
      </w:r>
    </w:p>
    <w:bookmarkStart w:id="5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0"/>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0"/>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0"/>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1"/>
        </w:numPr>
      </w:pPr>
      <w:r>
        <w:t xml:space="preserve">Time unit: weeks.</w:t>
      </w:r>
    </w:p>
    <w:p>
      <w:pPr>
        <w:pStyle w:val="Compact"/>
        <w:numPr>
          <w:ilvl w:val="0"/>
          <w:numId w:val="1011"/>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1"/>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1"/>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7"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5" name="Picture"/>
            <a:graphic>
              <a:graphicData uri="http://schemas.openxmlformats.org/drawingml/2006/picture">
                <pic:pic>
                  <pic:nvPicPr>
                    <pic:cNvPr descr="figures/fig_neg_control_synthetic.png" id="56" name="Picture"/>
                    <pic:cNvPicPr>
                      <a:picLocks noChangeArrowheads="1" noChangeAspect="1"/>
                    </pic:cNvPicPr>
                  </pic:nvPicPr>
                  <pic:blipFill>
                    <a:blip r:embed="rId5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7"/>
    <w:bookmarkEnd w:id="58"/>
    <w:bookmarkEnd w:id="59"/>
    <w:bookmarkStart w:id="6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Two snapshots illustrate that KCOR is near-flat even under 10–20 year age differences:</w:t>
      </w:r>
    </w:p>
    <w:bookmarkStart w:id="63"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title="" id="61" name="Picture"/>
            <a:graphic>
              <a:graphicData uri="http://schemas.openxmlformats.org/drawingml/2006/picture">
                <pic:pic>
                  <pic:nvPicPr>
                    <pic:cNvPr descr="figures/fig2_neg_control_10yr_age_diff.png" id="62" name="Picture"/>
                    <pic:cNvPicPr>
                      <a:picLocks noChangeArrowheads="1" noChangeAspect="1"/>
                    </pic:cNvPicPr>
                  </pic:nvPicPr>
                  <pic:blipFill>
                    <a:blip r:embed="rId6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w:t>
      </w:r>
    </w:p>
    <w:bookmarkEnd w:id="63"/>
    <w:bookmarkStart w:id="67"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title="" id="65" name="Picture"/>
            <a:graphic>
              <a:graphicData uri="http://schemas.openxmlformats.org/drawingml/2006/picture">
                <pic:pic>
                  <pic:nvPicPr>
                    <pic:cNvPr descr="figures/fig3_neg_control_20yr_age_diff.png" id="66" name="Picture"/>
                    <pic:cNvPicPr>
                      <a:picLocks noChangeArrowheads="1" noChangeAspect="1"/>
                    </pic:cNvPicPr>
                  </pic:nvPicPr>
                  <pic:blipFill>
                    <a:blip r:embed="rId6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w:t>
      </w:r>
    </w:p>
    <w:bookmarkEnd w:id="67"/>
    <w:bookmarkStart w:id="68"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8"/>
    <w:bookmarkEnd w:id="69"/>
    <w:bookmarkEnd w:id="70"/>
    <w:bookmarkStart w:id="77"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5"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 title="" id="73" name="Picture"/>
            <a:graphic>
              <a:graphicData uri="http://schemas.openxmlformats.org/drawingml/2006/picture">
                <pic:pic>
                  <pic:nvPicPr>
                    <pic:cNvPr descr="figures/fig_pos_control_injected.png" id="74" name="Picture"/>
                    <pic:cNvPicPr>
                      <a:picLocks noChangeArrowheads="1" noChangeAspect="1"/>
                    </pic:cNvPicPr>
                  </pic:nvPicPr>
                  <pic:blipFill>
                    <a:blip r:embed="rId7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w:t>
      </w:r>
    </w:p>
    <w:bookmarkEnd w:id="75"/>
    <w:bookmarkStart w:id="76"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6"/>
    <w:bookmarkEnd w:id="77"/>
    <w:bookmarkStart w:id="8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2"/>
        </w:numPr>
      </w:pPr>
      <w:r>
        <w:t xml:space="preserve">Quiet-window selection (calendar ISO-week bounds)</w:t>
      </w:r>
    </w:p>
    <w:p>
      <w:pPr>
        <w:pStyle w:val="Compact"/>
        <w:numPr>
          <w:ilvl w:val="0"/>
          <w:numId w:val="1012"/>
        </w:numPr>
      </w:pPr>
      <w:r>
        <w:t xml:space="preserve">Stabilization skip (early-bin handling)</w:t>
      </w:r>
    </w:p>
    <w:p>
      <w:pPr>
        <w:pStyle w:val="Compact"/>
        <w:numPr>
          <w:ilvl w:val="0"/>
          <w:numId w:val="1012"/>
        </w:numPr>
      </w:pPr>
      <w:r>
        <w:t xml:space="preserve">Time-binning resolution</w:t>
      </w:r>
    </w:p>
    <w:p>
      <w:pPr>
        <w:pStyle w:val="Compact"/>
        <w:numPr>
          <w:ilvl w:val="0"/>
          <w:numId w:val="1012"/>
        </w:numPr>
      </w:pPr>
      <w:r>
        <w:t xml:space="preserve">Age stratification and/or stratified analyses where appropriate</w:t>
      </w:r>
    </w:p>
    <w:p>
      <w:pPr>
        <w:pStyle w:val="Compact"/>
        <w:numPr>
          <w:ilvl w:val="0"/>
          <w:numId w:val="1012"/>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1"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79" name="Picture"/>
            <a:graphic>
              <a:graphicData uri="http://schemas.openxmlformats.org/drawingml/2006/picture">
                <pic:pic>
                  <pic:nvPicPr>
                    <pic:cNvPr descr="figures/fig_sensitivity_overview.png" id="80" name="Picture"/>
                    <pic:cNvPicPr>
                      <a:picLocks noChangeArrowheads="1" noChangeAspect="1"/>
                    </pic:cNvPicPr>
                  </pic:nvPicPr>
                  <pic:blipFill>
                    <a:blip r:embed="rId7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1"/>
    <w:p>
      <w:r>
        <w:pict>
          <v:rect style="width:0;height:1.5pt" o:hralign="center" o:hrstd="t" o:hr="t"/>
        </w:pict>
      </w:r>
    </w:p>
    <w:bookmarkEnd w:id="82"/>
    <w:bookmarkEnd w:id="83"/>
    <w:bookmarkStart w:id="87" w:name="discussion"/>
    <w:p>
      <w:pPr>
        <w:pStyle w:val="Heading2"/>
      </w:pPr>
      <w:r>
        <w:t xml:space="preserve">4. Discussion</w:t>
      </w:r>
    </w:p>
    <w:bookmarkStart w:id="84"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3"/>
        </w:numPr>
      </w:pPr>
      <w:r>
        <w:t xml:space="preserve">selection-induced depletion dynamics can be estimated during quiet periods using a gamma-frailty mixture model, and</w:t>
      </w:r>
    </w:p>
    <w:p>
      <w:pPr>
        <w:pStyle w:val="Compact"/>
        <w:numPr>
          <w:ilvl w:val="0"/>
          <w:numId w:val="1013"/>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4"/>
    <w:bookmarkStart w:id="8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5"/>
    <w:bookmarkStart w:id="8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4"/>
        </w:numPr>
      </w:pPr>
      <w:r>
        <w:t xml:space="preserve">Enrollment definition and justification</w:t>
      </w:r>
    </w:p>
    <w:p>
      <w:pPr>
        <w:pStyle w:val="Compact"/>
        <w:numPr>
          <w:ilvl w:val="0"/>
          <w:numId w:val="1014"/>
        </w:numPr>
      </w:pPr>
      <w:r>
        <w:t xml:space="preserve">Risk set definitions and event-time binning</w:t>
      </w:r>
    </w:p>
    <w:p>
      <w:pPr>
        <w:pStyle w:val="Compact"/>
        <w:numPr>
          <w:ilvl w:val="0"/>
          <w:numId w:val="1014"/>
        </w:numPr>
      </w:pPr>
      <w:r>
        <w:t xml:space="preserve">Quiet-window definition and justification</w:t>
      </w:r>
    </w:p>
    <w:p>
      <w:pPr>
        <w:pStyle w:val="Compact"/>
        <w:numPr>
          <w:ilvl w:val="0"/>
          <w:numId w:val="1014"/>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4"/>
        </w:numPr>
      </w:pPr>
      <w:r>
        <w:t xml:space="preserve">Skip/stabilization rule and robustness to nearby values</w:t>
      </w:r>
    </w:p>
    <w:p>
      <w:pPr>
        <w:pStyle w:val="Compact"/>
        <w:numPr>
          <w:ilvl w:val="0"/>
          <w:numId w:val="1014"/>
        </w:numPr>
      </w:pPr>
      <w:r>
        <w:t xml:space="preserve">Predefined negative/positive controls used for validation</w:t>
      </w:r>
    </w:p>
    <w:p>
      <w:pPr>
        <w:pStyle w:val="Compact"/>
        <w:numPr>
          <w:ilvl w:val="0"/>
          <w:numId w:val="1014"/>
        </w:numPr>
      </w:pPr>
      <w:r>
        <w:t xml:space="preserve">Sensitivity analysis plan and results</w:t>
      </w:r>
    </w:p>
    <w:p>
      <w:r>
        <w:pict>
          <v:rect style="width:0;height:1.5pt" o:hralign="center" o:hrstd="t" o:hr="t"/>
        </w:pict>
      </w:r>
    </w:p>
    <w:bookmarkEnd w:id="86"/>
    <w:bookmarkEnd w:id="87"/>
    <w:bookmarkStart w:id="89" w:name="limitations"/>
    <w:p>
      <w:pPr>
        <w:pStyle w:val="Heading2"/>
      </w:pPr>
      <w:r>
        <w:t xml:space="preserve">5. Limitations</w:t>
      </w:r>
    </w:p>
    <w:p>
      <w:pPr>
        <w:pStyle w:val="Compact"/>
        <w:numPr>
          <w:ilvl w:val="0"/>
          <w:numId w:val="1015"/>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5"/>
        </w:numPr>
      </w:pPr>
      <w:r>
        <w:rPr>
          <w:b/>
          <w:bCs/>
        </w:rPr>
        <w:t xml:space="preserve">Sparse events</w:t>
      </w:r>
      <w:r>
        <w:t xml:space="preserve">: When event counts are small, hazard estimation and parameter fitting can be unstable.</w:t>
      </w:r>
    </w:p>
    <w:p>
      <w:pPr>
        <w:pStyle w:val="Compact"/>
        <w:numPr>
          <w:ilvl w:val="0"/>
          <w:numId w:val="1015"/>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5"/>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bookmarkStart w:id="88"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6"/>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6"/>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w:t>
      </w:r>
    </w:p>
    <w:p>
      <w:pPr>
        <w:pStyle w:val="Compact"/>
        <w:numPr>
          <w:ilvl w:val="0"/>
          <w:numId w:val="1016"/>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6"/>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7"/>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7"/>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7"/>
        </w:numPr>
      </w:pPr>
      <w:r>
        <w:rPr>
          <w:b/>
          <w:bCs/>
        </w:rPr>
        <w:t xml:space="preserve">Sensitivity analyses</w:t>
      </w:r>
      <w:r>
        <w:t xml:space="preserve"> </w:t>
      </w:r>
      <w:r>
        <w:t xml:space="preserve">over plausible quiet windows and skip-weeks values.</w:t>
      </w:r>
    </w:p>
    <w:p>
      <w:pPr>
        <w:pStyle w:val="Compact"/>
        <w:numPr>
          <w:ilvl w:val="0"/>
          <w:numId w:val="1017"/>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p>
      <w:r>
        <w:pict>
          <v:rect style="width:0;height:1.5pt" o:hralign="center" o:hrstd="t" o:hr="t"/>
        </w:pict>
      </w:r>
    </w:p>
    <w:bookmarkEnd w:id="88"/>
    <w:bookmarkEnd w:id="89"/>
    <w:bookmarkStart w:id="90"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0"/>
    <w:bookmarkStart w:id="101" w:name="declarations-journal-requirements"/>
    <w:p>
      <w:pPr>
        <w:pStyle w:val="Heading2"/>
      </w:pPr>
      <w:r>
        <w:t xml:space="preserve">Declarations (journal requirements)</w:t>
      </w:r>
    </w:p>
    <w:bookmarkStart w:id="91" w:name="Xd182db0490b2de20bd2b4e4cc8698599182035f"/>
    <w:p>
      <w:pPr>
        <w:pStyle w:val="Heading3"/>
      </w:pPr>
      <w:r>
        <w:t xml:space="preserve">Ethics approval and consent to participate</w:t>
      </w:r>
    </w:p>
    <w:p>
      <w:pPr>
        <w:pStyle w:val="FirstParagraph"/>
      </w:pPr>
      <w:r>
        <w:t xml:space="preserve">Not applicable. This is a methods-only manuscript using synthetic data generated for validation purposes and publicly available aggregated mortality statistics. No individual-level data requiring ethics approval were used in the primary analyses presented here.</w:t>
      </w:r>
    </w:p>
    <w:bookmarkEnd w:id="91"/>
    <w:bookmarkStart w:id="92" w:name="consent-for-publication"/>
    <w:p>
      <w:pPr>
        <w:pStyle w:val="Heading3"/>
      </w:pPr>
      <w:r>
        <w:t xml:space="preserve">Consent for publication</w:t>
      </w:r>
    </w:p>
    <w:p>
      <w:pPr>
        <w:pStyle w:val="FirstParagraph"/>
      </w:pPr>
      <w:r>
        <w:t xml:space="preserve">Not applicable.</w:t>
      </w:r>
    </w:p>
    <w:bookmarkEnd w:id="92"/>
    <w:bookmarkStart w:id="93" w:name="data-availability"/>
    <w:p>
      <w:pPr>
        <w:pStyle w:val="Heading3"/>
      </w:pPr>
      <w:r>
        <w:t xml:space="preserve">Data availability</w:t>
      </w:r>
    </w:p>
    <w:p>
      <w:pPr>
        <w:pStyle w:val="Compact"/>
        <w:numPr>
          <w:ilvl w:val="0"/>
          <w:numId w:val="1018"/>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8"/>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8"/>
        </w:numPr>
      </w:pPr>
      <w:r>
        <w:t xml:space="preserve">The reference implementation includes example datasets in KCOR_CMR format for reproducibility.</w:t>
      </w:r>
    </w:p>
    <w:bookmarkEnd w:id="93"/>
    <w:bookmarkStart w:id="96" w:name="code-availability"/>
    <w:p>
      <w:pPr>
        <w:pStyle w:val="Heading3"/>
      </w:pPr>
      <w:r>
        <w:t xml:space="preserve">Code availability</w:t>
      </w:r>
    </w:p>
    <w:p>
      <w:pPr>
        <w:pStyle w:val="Compact"/>
        <w:numPr>
          <w:ilvl w:val="0"/>
          <w:numId w:val="1019"/>
        </w:numPr>
      </w:pPr>
      <w:r>
        <w:t xml:space="preserve">The KCOR v6 reference implementation and complete validation suite are available in the project repository.</w:t>
      </w:r>
    </w:p>
    <w:p>
      <w:pPr>
        <w:pStyle w:val="Compact"/>
        <w:numPr>
          <w:ilvl w:val="0"/>
          <w:numId w:val="1019"/>
        </w:numPr>
      </w:pPr>
      <w:r>
        <w:t xml:space="preserve">Repository URL:</w:t>
      </w:r>
      <w:r>
        <w:t xml:space="preserve"> </w:t>
      </w:r>
      <w:hyperlink r:id="rId94">
        <w:r>
          <w:rPr>
            <w:rStyle w:val="Hyperlink"/>
          </w:rPr>
          <w:t xml:space="preserve">https://github.com/skirsch/KCOR</w:t>
        </w:r>
      </w:hyperlink>
    </w:p>
    <w:p>
      <w:pPr>
        <w:pStyle w:val="Compact"/>
        <w:numPr>
          <w:ilvl w:val="0"/>
          <w:numId w:val="1019"/>
        </w:numPr>
      </w:pPr>
      <w:r>
        <w:t xml:space="preserve">Zenodo DOI:</w:t>
      </w:r>
      <w:r>
        <w:t xml:space="preserve"> </w:t>
      </w:r>
      <w:hyperlink r:id="rId95">
        <w:r>
          <w:rPr>
            <w:rStyle w:val="Hyperlink"/>
          </w:rPr>
          <w:t xml:space="preserve">10.5281/zenodo.18050329</w:t>
        </w:r>
      </w:hyperlink>
    </w:p>
    <w:bookmarkEnd w:id="96"/>
    <w:bookmarkStart w:id="97" w:name="competing-interests"/>
    <w:p>
      <w:pPr>
        <w:pStyle w:val="Heading3"/>
      </w:pPr>
      <w:r>
        <w:t xml:space="preserve">Competing interests</w:t>
      </w:r>
    </w:p>
    <w:p>
      <w:pPr>
        <w:pStyle w:val="FirstParagraph"/>
      </w:pPr>
      <w:r>
        <w:t xml:space="preserve">[To be declared by authors prior to submission.]</w:t>
      </w:r>
    </w:p>
    <w:bookmarkEnd w:id="97"/>
    <w:bookmarkStart w:id="98" w:name="funding"/>
    <w:p>
      <w:pPr>
        <w:pStyle w:val="Heading3"/>
      </w:pPr>
      <w:r>
        <w:t xml:space="preserve">Funding</w:t>
      </w:r>
    </w:p>
    <w:p>
      <w:pPr>
        <w:pStyle w:val="FirstParagraph"/>
      </w:pPr>
      <w:r>
        <w:t xml:space="preserve">[To be declared by authors prior to submission.]</w:t>
      </w:r>
    </w:p>
    <w:bookmarkEnd w:id="98"/>
    <w:bookmarkStart w:id="99" w:name="authors-contributions"/>
    <w:p>
      <w:pPr>
        <w:pStyle w:val="Heading3"/>
      </w:pPr>
      <w:r>
        <w:t xml:space="preserve">Authors’ contributions</w:t>
      </w:r>
    </w:p>
    <w:p>
      <w:pPr>
        <w:pStyle w:val="FirstParagraph"/>
      </w:pPr>
      <w:r>
        <w:t xml:space="preserve">[To be specified prior to submission. Expected contributions include: conceptualization, methodology development, software implementation, validation, writing.]</w:t>
      </w:r>
    </w:p>
    <w:bookmarkEnd w:id="99"/>
    <w:bookmarkStart w:id="100" w:name="acknowledgements"/>
    <w:p>
      <w:pPr>
        <w:pStyle w:val="Heading3"/>
      </w:pPr>
      <w:r>
        <w:t xml:space="preserve">Acknowledgements</w:t>
      </w:r>
    </w:p>
    <w:p>
      <w:pPr>
        <w:pStyle w:val="FirstParagraph"/>
      </w:pPr>
      <w:r>
        <w:t xml:space="preserve">[To be added prior to submission.]</w:t>
      </w:r>
    </w:p>
    <w:p>
      <w:pPr>
        <w:pStyle w:val="BodyText"/>
      </w:pPr>
      <w:r>
        <w:t xml:space="preserve">Supplementary appendices provide mathematical derivations and full control-test specifications.</w:t>
      </w:r>
    </w:p>
    <w:p>
      <w:r>
        <w:pict>
          <v:rect style="width:0;height:1.5pt" o:hralign="center" o:hrstd="t" o:hr="t"/>
        </w:pict>
      </w:r>
    </w:p>
    <w:bookmarkEnd w:id="100"/>
    <w:bookmarkEnd w:id="101"/>
    <w:bookmarkStart w:id="117" w:name="Xf63d107101d42351f2e2cf2bd57881771784bec"/>
    <w:p>
      <w:pPr>
        <w:pStyle w:val="Heading2"/>
      </w:pPr>
      <w:r>
        <w:t xml:space="preserve">Supplementary material (appendix placeholders)</w:t>
      </w:r>
    </w:p>
    <w:bookmarkStart w:id="106" w:name="appendix-a.-mathematical-derivations"/>
    <w:p>
      <w:pPr>
        <w:pStyle w:val="Heading3"/>
      </w:pPr>
      <w:r>
        <w:t xml:space="preserve">Appendix A. Mathematical derivations</w:t>
      </w:r>
    </w:p>
    <w:bookmarkStart w:id="102"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2"/>
    <w:bookmarkStart w:id="103"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3"/>
    <w:bookmarkStart w:id="104"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4"/>
    <w:bookmarkStart w:id="105"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5"/>
    <w:bookmarkEnd w:id="106"/>
    <w:bookmarkStart w:id="111" w:name="appendix-b.-control-test-specifications"/>
    <w:p>
      <w:pPr>
        <w:pStyle w:val="Heading3"/>
      </w:pPr>
      <w:r>
        <w:t xml:space="preserve">Appendix B. Control-test specifications</w:t>
      </w:r>
    </w:p>
    <w:bookmarkStart w:id="107"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0"/>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0"/>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0"/>
        </w:numPr>
      </w:pPr>
      <w:r>
        <w:rPr>
          <w:b/>
          <w:bCs/>
        </w:rPr>
        <w:t xml:space="preserve">Cohort A weights</w:t>
      </w:r>
      <w:r>
        <w:t xml:space="preserve">: Equal weights across 5 frailty groups (0.2 each)</w:t>
      </w:r>
    </w:p>
    <w:p>
      <w:pPr>
        <w:pStyle w:val="Compact"/>
        <w:numPr>
          <w:ilvl w:val="0"/>
          <w:numId w:val="1020"/>
        </w:numPr>
      </w:pPr>
      <w:r>
        <w:rPr>
          <w:b/>
          <w:bCs/>
        </w:rPr>
        <w:t xml:space="preserve">Cohort B weights</w:t>
      </w:r>
      <w:r>
        <w:t xml:space="preserve">: Shifted weights [0.30, 0.20, 0.20, 0.20, 0.10]</w:t>
      </w:r>
    </w:p>
    <w:p>
      <w:pPr>
        <w:pStyle w:val="Compact"/>
        <w:numPr>
          <w:ilvl w:val="0"/>
          <w:numId w:val="1020"/>
        </w:numPr>
      </w:pPr>
      <w:r>
        <w:rPr>
          <w:b/>
          <w:bCs/>
        </w:rPr>
        <w:t xml:space="preserve">Frailty values</w:t>
      </w:r>
      <w:r>
        <w:t xml:space="preserve">: [1, 2, 4, 6, 10] (relative frailty multipliers)</w:t>
      </w:r>
    </w:p>
    <w:p>
      <w:pPr>
        <w:pStyle w:val="Compact"/>
        <w:numPr>
          <w:ilvl w:val="0"/>
          <w:numId w:val="1020"/>
        </w:numPr>
      </w:pPr>
      <w:r>
        <w:rPr>
          <w:b/>
          <w:bCs/>
        </w:rPr>
        <w:t xml:space="preserve">Base weekly probability</w:t>
      </w:r>
      <w:r>
        <w:t xml:space="preserve">: 0.01</w:t>
      </w:r>
    </w:p>
    <w:p>
      <w:pPr>
        <w:pStyle w:val="Compact"/>
        <w:numPr>
          <w:ilvl w:val="0"/>
          <w:numId w:val="1020"/>
        </w:numPr>
      </w:pPr>
      <w:r>
        <w:rPr>
          <w:b/>
          <w:bCs/>
        </w:rPr>
        <w:t xml:space="preserve">Weekly log-slope</w:t>
      </w:r>
      <w:r>
        <w:t xml:space="preserve">: 0.0 (constant baseline during quiet periods)</w:t>
      </w:r>
    </w:p>
    <w:p>
      <w:pPr>
        <w:pStyle w:val="Compact"/>
        <w:numPr>
          <w:ilvl w:val="0"/>
          <w:numId w:val="1020"/>
        </w:numPr>
      </w:pPr>
      <w:r>
        <w:rPr>
          <w:b/>
          <w:bCs/>
        </w:rPr>
        <w:t xml:space="preserve">Skip weeks</w:t>
      </w:r>
      <w:r>
        <w:t xml:space="preserve">: 2</w:t>
      </w:r>
    </w:p>
    <w:p>
      <w:pPr>
        <w:pStyle w:val="Compact"/>
        <w:numPr>
          <w:ilvl w:val="0"/>
          <w:numId w:val="1020"/>
        </w:numPr>
      </w:pPr>
      <w:r>
        <w:rPr>
          <w:b/>
          <w:bCs/>
        </w:rPr>
        <w:t xml:space="preserve">Normalization weeks</w:t>
      </w:r>
      <w:r>
        <w:t xml:space="preserve">: 4</w:t>
      </w:r>
    </w:p>
    <w:p>
      <w:pPr>
        <w:pStyle w:val="Compact"/>
        <w:numPr>
          <w:ilvl w:val="0"/>
          <w:numId w:val="1020"/>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7"/>
    <w:bookmarkStart w:id="108"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1"/>
        </w:numPr>
      </w:pPr>
      <w:r>
        <w:rPr>
          <w:b/>
          <w:bCs/>
        </w:rPr>
        <w:t xml:space="preserve">Data source</w:t>
      </w:r>
      <w:r>
        <w:t xml:space="preserve">: Real aggregated mortality data in KCOR_CMR format</w:t>
      </w:r>
    </w:p>
    <w:p>
      <w:pPr>
        <w:pStyle w:val="Compact"/>
        <w:numPr>
          <w:ilvl w:val="0"/>
          <w:numId w:val="1021"/>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1"/>
        </w:numPr>
      </w:pPr>
      <w:r>
        <w:rPr>
          <w:b/>
          <w:bCs/>
        </w:rPr>
        <w:t xml:space="preserve">Construction</w:t>
      </w:r>
      <w:r>
        <w:t xml:space="preserve">: Age strata remapped to pseudo-doses within same vaccination category</w:t>
      </w:r>
    </w:p>
    <w:p>
      <w:pPr>
        <w:pStyle w:val="Compact"/>
        <w:numPr>
          <w:ilvl w:val="0"/>
          <w:numId w:val="1021"/>
        </w:numPr>
      </w:pPr>
      <w:r>
        <w:rPr>
          <w:b/>
          <w:bCs/>
        </w:rPr>
        <w:t xml:space="preserve">Age mapping</w:t>
      </w:r>
      <w:r>
        <w:t xml:space="preserve">:</w:t>
      </w:r>
    </w:p>
    <w:p>
      <w:pPr>
        <w:pStyle w:val="Compact"/>
        <w:numPr>
          <w:ilvl w:val="1"/>
          <w:numId w:val="1022"/>
        </w:numPr>
      </w:pPr>
      <w:r>
        <w:t xml:space="preserve">Dose 0 → YoB {1930, 1935}</w:t>
      </w:r>
    </w:p>
    <w:p>
      <w:pPr>
        <w:pStyle w:val="Compact"/>
        <w:numPr>
          <w:ilvl w:val="1"/>
          <w:numId w:val="1022"/>
        </w:numPr>
      </w:pPr>
      <w:r>
        <w:t xml:space="preserve">Dose 1 → YoB {1940, 1945}</w:t>
      </w:r>
    </w:p>
    <w:p>
      <w:pPr>
        <w:pStyle w:val="Compact"/>
        <w:numPr>
          <w:ilvl w:val="1"/>
          <w:numId w:val="1022"/>
        </w:numPr>
      </w:pPr>
      <w:r>
        <w:t xml:space="preserve">Dose 2 → YoB {1950, 1955}</w:t>
      </w:r>
    </w:p>
    <w:p>
      <w:pPr>
        <w:pStyle w:val="Compact"/>
        <w:numPr>
          <w:ilvl w:val="0"/>
          <w:numId w:val="1021"/>
        </w:numPr>
      </w:pPr>
      <w:r>
        <w:rPr>
          <w:b/>
          <w:bCs/>
        </w:rPr>
        <w:t xml:space="preserve">Output YoB</w:t>
      </w:r>
      <w:r>
        <w:t xml:space="preserve">: Fixed at 1950 (unvax cohort) or 1940 (vax cohort)</w:t>
      </w:r>
    </w:p>
    <w:p>
      <w:pPr>
        <w:pStyle w:val="Compact"/>
        <w:numPr>
          <w:ilvl w:val="0"/>
          <w:numId w:val="1021"/>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08"/>
    <w:bookmarkStart w:id="109"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3"/>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3"/>
        </w:numPr>
      </w:pPr>
      <w:r>
        <w:rPr>
          <w:b/>
          <w:bCs/>
        </w:rPr>
        <w:t xml:space="preserve">Initial cohort size</w:t>
      </w:r>
      <w:r>
        <w:t xml:space="preserve">: 100,000 per cohort</w:t>
      </w:r>
    </w:p>
    <w:p>
      <w:pPr>
        <w:pStyle w:val="Compact"/>
        <w:numPr>
          <w:ilvl w:val="0"/>
          <w:numId w:val="1023"/>
        </w:numPr>
      </w:pPr>
      <w:r>
        <w:rPr>
          <w:b/>
          <w:bCs/>
        </w:rPr>
        <w:t xml:space="preserve">Baseline hazard</w:t>
      </w:r>
      <w:r>
        <w:t xml:space="preserve">: 0.002 per week</w:t>
      </w:r>
    </w:p>
    <w:p>
      <w:pPr>
        <w:pStyle w:val="Compact"/>
        <w:numPr>
          <w:ilvl w:val="0"/>
          <w:numId w:val="1023"/>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3"/>
        </w:numPr>
      </w:pPr>
      <w:r>
        <w:rPr>
          <w:b/>
          <w:bCs/>
        </w:rPr>
        <w:t xml:space="preserve">Injection window</w:t>
      </w:r>
      <w:r>
        <w:t xml:space="preserve">: weeks 20–80</w:t>
      </w:r>
    </w:p>
    <w:p>
      <w:pPr>
        <w:pStyle w:val="Compact"/>
        <w:numPr>
          <w:ilvl w:val="0"/>
          <w:numId w:val="1023"/>
        </w:numPr>
      </w:pPr>
      <w:r>
        <w:rPr>
          <w:b/>
          <w:bCs/>
        </w:rPr>
        <w:t xml:space="preserve">Hazard multipliers</w:t>
      </w:r>
      <w:r>
        <w:t xml:space="preserve">:</w:t>
      </w:r>
    </w:p>
    <w:p>
      <w:pPr>
        <w:pStyle w:val="Compact"/>
        <w:numPr>
          <w:ilvl w:val="1"/>
          <w:numId w:val="1024"/>
        </w:numPr>
      </w:pPr>
      <w:r>
        <w:t xml:space="preserve">Harm scenario:</w:t>
      </w:r>
      <w:r>
        <w:t xml:space="preserve"> </w:t>
      </w:r>
      <m:oMath>
        <m:r>
          <m:t>r</m:t>
        </m:r>
        <m:r>
          <m:rPr>
            <m:sty m:val="p"/>
          </m:rPr>
          <m:t>=</m:t>
        </m:r>
        <m:r>
          <m:t>1.2</m:t>
        </m:r>
      </m:oMath>
    </w:p>
    <w:p>
      <w:pPr>
        <w:pStyle w:val="Compact"/>
        <w:numPr>
          <w:ilvl w:val="1"/>
          <w:numId w:val="1024"/>
        </w:numPr>
      </w:pPr>
      <w:r>
        <w:t xml:space="preserve">Benefit scenario:</w:t>
      </w:r>
      <w:r>
        <w:t xml:space="preserve"> </w:t>
      </w:r>
      <m:oMath>
        <m:r>
          <m:t>r</m:t>
        </m:r>
        <m:r>
          <m:rPr>
            <m:sty m:val="p"/>
          </m:rPr>
          <m:t>=</m:t>
        </m:r>
        <m:r>
          <m:t>0.8</m:t>
        </m:r>
      </m:oMath>
    </w:p>
    <w:p>
      <w:pPr>
        <w:pStyle w:val="Compact"/>
        <w:numPr>
          <w:ilvl w:val="0"/>
          <w:numId w:val="1023"/>
        </w:numPr>
      </w:pPr>
      <w:r>
        <w:rPr>
          <w:b/>
          <w:bCs/>
        </w:rPr>
        <w:t xml:space="preserve">Random seed</w:t>
      </w:r>
      <w:r>
        <w:t xml:space="preserve">: 42</w:t>
      </w:r>
    </w:p>
    <w:p>
      <w:pPr>
        <w:pStyle w:val="Compact"/>
        <w:numPr>
          <w:ilvl w:val="0"/>
          <w:numId w:val="1023"/>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injection window, while leaving the control cohort unchanged.</w:t>
      </w:r>
    </w:p>
    <w:bookmarkEnd w:id="109"/>
    <w:bookmarkStart w:id="110"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5"/>
        </w:numPr>
      </w:pPr>
      <w:r>
        <w:rPr>
          <w:b/>
          <w:bCs/>
        </w:rPr>
        <w:t xml:space="preserve">Baseline weeks</w:t>
      </w:r>
      <w:r>
        <w:t xml:space="preserve">: [2, 3, 4, 5, 6, 7, 8]</w:t>
      </w:r>
    </w:p>
    <w:p>
      <w:pPr>
        <w:pStyle w:val="Compact"/>
        <w:numPr>
          <w:ilvl w:val="0"/>
          <w:numId w:val="1025"/>
        </w:numPr>
      </w:pPr>
      <w:r>
        <w:rPr>
          <w:b/>
          <w:bCs/>
        </w:rPr>
        <w:t xml:space="preserve">Quiet-start offsets</w:t>
      </w:r>
      <w:r>
        <w:t xml:space="preserve">: [-12, -8, -4, 0, +4, +8, +12] weeks from 2022-24</w:t>
      </w:r>
    </w:p>
    <w:p>
      <w:pPr>
        <w:pStyle w:val="Compact"/>
        <w:numPr>
          <w:ilvl w:val="0"/>
          <w:numId w:val="1025"/>
        </w:numPr>
      </w:pPr>
      <w:r>
        <w:rPr>
          <w:b/>
          <w:bCs/>
        </w:rPr>
        <w:t xml:space="preserve">Quiet-window end</w:t>
      </w:r>
      <w:r>
        <w:t xml:space="preserve">: Fixed at 2024-16</w:t>
      </w:r>
    </w:p>
    <w:p>
      <w:pPr>
        <w:pStyle w:val="Compact"/>
        <w:numPr>
          <w:ilvl w:val="0"/>
          <w:numId w:val="1025"/>
        </w:numPr>
      </w:pPr>
      <w:r>
        <w:rPr>
          <w:b/>
          <w:bCs/>
        </w:rPr>
        <w:t xml:space="preserve">Dose pairs</w:t>
      </w:r>
      <w:r>
        <w:t xml:space="preserve">: 1 vs 0, 2 vs 0, 2 vs 1</w:t>
      </w:r>
    </w:p>
    <w:p>
      <w:pPr>
        <w:pStyle w:val="Compact"/>
        <w:numPr>
          <w:ilvl w:val="0"/>
          <w:numId w:val="1025"/>
        </w:numPr>
      </w:pPr>
      <w:r>
        <w:rPr>
          <w:b/>
          <w:bCs/>
        </w:rPr>
        <w:t xml:space="preserve">Cohorts</w:t>
      </w:r>
      <w:r>
        <w:t xml:space="preserve">: 2021_24</w:t>
      </w:r>
    </w:p>
    <w:p>
      <w:pPr>
        <w:pStyle w:val="FirstParagraph"/>
      </w:pPr>
      <w:r>
        <w:t xml:space="preserve">Output grids show KCOR values for each parameter combination.</w:t>
      </w:r>
    </w:p>
    <w:bookmarkEnd w:id="110"/>
    <w:bookmarkEnd w:id="111"/>
    <w:bookmarkStart w:id="116" w:name="X3fb27f9d14d988b0afc4c757bd6d2a45d2ae0b5"/>
    <w:p>
      <w:pPr>
        <w:pStyle w:val="Heading3"/>
      </w:pPr>
      <w:r>
        <w:t xml:space="preserve">Appendix C. Additional figures and diagnostics</w:t>
      </w:r>
    </w:p>
    <w:bookmarkStart w:id="112"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2"/>
    <w:bookmarkStart w:id="113"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7"/>
        </w:numPr>
      </w:pPr>
      <w:r>
        <w:rPr>
          <w:b/>
          <w:bCs/>
        </w:rPr>
        <w:t xml:space="preserve">Outliers</w:t>
      </w:r>
      <w:r>
        <w:t xml:space="preserve">: Individual weeks with large residuals may indicate data quality issues or external shocks.</w:t>
      </w:r>
    </w:p>
    <w:p>
      <w:pPr>
        <w:pStyle w:val="Compact"/>
        <w:numPr>
          <w:ilvl w:val="0"/>
          <w:numId w:val="1027"/>
        </w:numPr>
      </w:pPr>
      <w:r>
        <w:rPr>
          <w:b/>
          <w:bCs/>
        </w:rPr>
        <w:t xml:space="preserve">Autocorrelation</w:t>
      </w:r>
      <w:r>
        <w:t xml:space="preserve">: Strong autocorrelation in residuals suggests the model is missing time-varying structure.</w:t>
      </w:r>
    </w:p>
    <w:bookmarkEnd w:id="113"/>
    <w:bookmarkStart w:id="114"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8"/>
        </w:numPr>
      </w:pPr>
      <w:r>
        <w:rPr>
          <w:b/>
          <w:bCs/>
        </w:rPr>
        <w:t xml:space="preserve">Quiet-window perturbation</w:t>
      </w:r>
      <w:r>
        <w:t xml:space="preserve">: Shift the quiet-window start/end by ±4 weeks and re-fit. Stable parameters should vary by &lt; 10%.</w:t>
      </w:r>
    </w:p>
    <w:p>
      <w:pPr>
        <w:pStyle w:val="Compact"/>
        <w:numPr>
          <w:ilvl w:val="0"/>
          <w:numId w:val="1028"/>
        </w:numPr>
      </w:pPr>
      <w:r>
        <w:rPr>
          <w:b/>
          <w:bCs/>
        </w:rPr>
        <w:t xml:space="preserve">Skip-weeks sensitivity</w:t>
      </w:r>
      <w:r>
        <w:t xml:space="preserve">: Vary SKIP_WEEKS from 0 to 8 and verify KCOR trajectories remain qualitatively similar.</w:t>
      </w:r>
    </w:p>
    <w:p>
      <w:pPr>
        <w:pStyle w:val="Compact"/>
        <w:numPr>
          <w:ilvl w:val="0"/>
          <w:numId w:val="102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4"/>
    <w:bookmarkStart w:id="115"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29"/>
        </w:numPr>
      </w:pPr>
      <w:r>
        <w:t xml:space="preserve">Avoid major epidemic waves or external mortality shocks</w:t>
      </w:r>
    </w:p>
    <w:p>
      <w:pPr>
        <w:pStyle w:val="Compact"/>
        <w:numPr>
          <w:ilvl w:val="0"/>
          <w:numId w:val="1029"/>
        </w:numPr>
      </w:pPr>
      <w:r>
        <w:t xml:space="preserve">Contain sufficient event counts for stable estimation</w:t>
      </w:r>
    </w:p>
    <w:p>
      <w:pPr>
        <w:pStyle w:val="Compact"/>
        <w:numPr>
          <w:ilvl w:val="0"/>
          <w:numId w:val="102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5"/>
    <w:bookmarkEnd w:id="116"/>
    <w:bookmarkEnd w:id="117"/>
    <w:bookmarkStart w:id="125" w:name="references"/>
    <w:p>
      <w:pPr>
        <w:pStyle w:val="Heading2"/>
      </w:pPr>
      <w:r>
        <w:t xml:space="preserve">References</w:t>
      </w:r>
    </w:p>
    <w:bookmarkStart w:id="124" w:name="refs"/>
    <w:bookmarkStart w:id="119"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18">
        <w:r>
          <w:rPr>
            <w:rStyle w:val="Hyperlink"/>
          </w:rPr>
          <w:t xml:space="preserve">10.2147/CLEP.S468572</w:t>
        </w:r>
      </w:hyperlink>
    </w:p>
    <w:bookmarkEnd w:id="119"/>
    <w:bookmarkStart w:id="121"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20">
        <w:r>
          <w:rPr>
            <w:rStyle w:val="Hyperlink"/>
          </w:rPr>
          <w:t xml:space="preserve">10.7554/eLife.103690</w:t>
        </w:r>
      </w:hyperlink>
    </w:p>
    <w:bookmarkEnd w:id="121"/>
    <w:bookmarkStart w:id="123"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2">
        <w:r>
          <w:rPr>
            <w:rStyle w:val="Hyperlink"/>
          </w:rPr>
          <w:t xml:space="preserve">10.2307/2061224</w:t>
        </w:r>
      </w:hyperlink>
    </w:p>
    <w:bookmarkEnd w:id="123"/>
    <w:bookmarkEnd w:id="124"/>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hyperlink" Id="rId118" Target="https://doi.org/10.2147/CLEP.S468572" TargetMode="External" /><Relationship Type="http://schemas.openxmlformats.org/officeDocument/2006/relationships/hyperlink" Id="rId122" Target="https://doi.org/10.2307/2061224" TargetMode="External" /><Relationship Type="http://schemas.openxmlformats.org/officeDocument/2006/relationships/hyperlink" Id="rId95" Target="https://doi.org/10.5281/zenodo.18050329" TargetMode="External" /><Relationship Type="http://schemas.openxmlformats.org/officeDocument/2006/relationships/hyperlink" Id="rId120" Target="https://doi.org/10.7554/eLife.103690" TargetMode="External" /><Relationship Type="http://schemas.openxmlformats.org/officeDocument/2006/relationships/hyperlink" Id="rId94"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18" Target="https://doi.org/10.2147/CLEP.S468572" TargetMode="External" /><Relationship Type="http://schemas.openxmlformats.org/officeDocument/2006/relationships/hyperlink" Id="rId122" Target="https://doi.org/10.2307/2061224" TargetMode="External" /><Relationship Type="http://schemas.openxmlformats.org/officeDocument/2006/relationships/hyperlink" Id="rId95" Target="https://doi.org/10.5281/zenodo.18050329" TargetMode="External" /><Relationship Type="http://schemas.openxmlformats.org/officeDocument/2006/relationships/hyperlink" Id="rId120" Target="https://doi.org/10.7554/eLife.103690" TargetMode="External" /><Relationship Type="http://schemas.openxmlformats.org/officeDocument/2006/relationships/hyperlink" Id="rId94"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2025-12-25T00:20:22Z</dcterms:created>
  <dcterms:modified xsi:type="dcterms:W3CDTF">2025-12-25T00:20:22Z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