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9E47" w14:textId="77777777" w:rsidR="00A3696B" w:rsidRDefault="00A3696B" w:rsidP="00A3696B">
      <w:pPr>
        <w:jc w:val="center"/>
        <w:rPr>
          <w:rFonts w:ascii="Calibri" w:hAnsi="Calibri" w:cs="Calibri"/>
          <w:b/>
          <w:sz w:val="36"/>
        </w:rPr>
      </w:pPr>
      <w:r>
        <w:rPr>
          <w:b/>
          <w:sz w:val="36"/>
        </w:rPr>
        <w:t>KCOR: A Hazard</w:t>
      </w:r>
      <w:r>
        <w:rPr>
          <w:rFonts w:ascii="Cambria Math" w:hAnsi="Cambria Math" w:cs="Cambria Math"/>
          <w:b/>
          <w:sz w:val="36"/>
        </w:rPr>
        <w:t>‑</w:t>
      </w:r>
      <w:r>
        <w:rPr>
          <w:rFonts w:ascii="Calibri" w:hAnsi="Calibri" w:cs="Calibri"/>
          <w:b/>
          <w:sz w:val="36"/>
        </w:rPr>
        <w:t xml:space="preserve">Based Method for </w:t>
      </w:r>
    </w:p>
    <w:p w14:paraId="1957D15A" w14:textId="77777777" w:rsidR="00A3696B" w:rsidRDefault="00A3696B" w:rsidP="00A3696B">
      <w:pPr>
        <w:jc w:val="center"/>
      </w:pPr>
      <w:r>
        <w:rPr>
          <w:rFonts w:ascii="Calibri" w:hAnsi="Calibri" w:cs="Calibri"/>
          <w:b/>
          <w:sz w:val="36"/>
        </w:rPr>
        <w:t>Cumulative Outcomes Ratio Analysis</w:t>
      </w:r>
    </w:p>
    <w:p w14:paraId="59072F14" w14:textId="77777777" w:rsidR="00A3696B" w:rsidRDefault="00A3696B" w:rsidP="00A3696B">
      <w:pPr>
        <w:jc w:val="center"/>
      </w:pPr>
      <w:r>
        <w:rPr>
          <w:i/>
        </w:rPr>
        <w:t>Methodological framework and diagnostics for observational mortality comparisons</w:t>
      </w:r>
    </w:p>
    <w:p w14:paraId="03A5F3C0" w14:textId="77777777" w:rsidR="00A3696B" w:rsidRPr="00E76F25" w:rsidRDefault="00A3696B" w:rsidP="00A3696B">
      <w:pPr>
        <w:rPr>
          <w:b/>
          <w:sz w:val="28"/>
          <w:szCs w:val="28"/>
        </w:rPr>
      </w:pPr>
    </w:p>
    <w:p w14:paraId="1084CC4B" w14:textId="77777777" w:rsidR="00A3696B" w:rsidRPr="003D2829" w:rsidRDefault="00A3696B" w:rsidP="00A3696B">
      <w:pPr>
        <w:pStyle w:val="Heading1"/>
        <w:rPr>
          <w:rFonts w:asciiTheme="minorHAnsi" w:hAnsiTheme="minorHAnsi" w:cstheme="minorHAnsi"/>
          <w:sz w:val="28"/>
          <w:szCs w:val="28"/>
        </w:rPr>
      </w:pPr>
      <w:r w:rsidRPr="003D2829">
        <w:rPr>
          <w:rFonts w:asciiTheme="minorHAnsi" w:hAnsiTheme="minorHAnsi" w:cstheme="minorHAnsi"/>
          <w:sz w:val="28"/>
          <w:szCs w:val="28"/>
        </w:rPr>
        <w:t>Abstract</w:t>
      </w:r>
    </w:p>
    <w:p w14:paraId="519E0DEC" w14:textId="5A376F57" w:rsidR="00A3696B" w:rsidRDefault="00A3696B" w:rsidP="00A3696B">
      <w:r w:rsidRPr="00AC613C">
        <w:t xml:space="preserve">The </w:t>
      </w:r>
      <w:r w:rsidRPr="00AC613C">
        <w:rPr>
          <w:b/>
          <w:bCs/>
        </w:rPr>
        <w:t>Kirsch Cumulative Outcomes Ratio (KCOR)</w:t>
      </w:r>
      <w:r w:rsidRPr="00AC613C">
        <w:t xml:space="preserve"> is a hazard-based framework for comparing mortality outcomes between fixed cohorts in retrospective observational data. It provides a principled way to assess whether an exposure or treatment produced a net mortality benefit or harm as of time </w:t>
      </w:r>
      <m:oMath>
        <m:r>
          <w:rPr>
            <w:rFonts w:ascii="Cambria Math" w:hAnsi="Cambria Math"/>
          </w:rPr>
          <m:t>t</m:t>
        </m:r>
      </m:oMath>
      <w:r w:rsidRPr="00AC613C">
        <w:t xml:space="preserve">. KCOR proceeds in four steps: (i) define fixed cohorts at a common enrollment date; (ii) transform weekly mortality probabilities </w:t>
      </w:r>
      <m:oMath>
        <m:r>
          <w:rPr>
            <w:rFonts w:ascii="Cambria Math" w:hAnsi="Cambria Math"/>
          </w:rPr>
          <m:t>m</m:t>
        </m:r>
        <m:d>
          <m:dPr>
            <m:ctrlPr>
              <w:rPr>
                <w:rFonts w:ascii="Cambria Math" w:hAnsi="Cambria Math"/>
                <w:i/>
              </w:rPr>
            </m:ctrlPr>
          </m:dPr>
          <m:e>
            <m:r>
              <w:rPr>
                <w:rFonts w:ascii="Cambria Math" w:hAnsi="Cambria Math"/>
              </w:rPr>
              <m:t>t</m:t>
            </m:r>
          </m:e>
        </m:d>
      </m:oMath>
      <w:r w:rsidRPr="00AC613C">
        <w:t xml:space="preserve">to instantaneous hazard rates </w:t>
      </w:r>
      <m:oMath>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l</m:t>
        </m:r>
        <m:func>
          <m:funcPr>
            <m:ctrlPr>
              <w:rPr>
                <w:rFonts w:ascii="Cambria Math" w:hAnsi="Cambria Math"/>
                <w:i/>
              </w:rPr>
            </m:ctrlPr>
          </m:funcPr>
          <m:fName>
            <m:r>
              <m:rPr>
                <m:sty m:val="p"/>
              </m:rPr>
              <w:rPr>
                <w:rFonts w:ascii="Cambria Math" w:hAnsi="Cambria Math"/>
              </w:rPr>
              <m:t>n</m:t>
            </m:r>
            <m:ctrlPr>
              <w:rPr>
                <w:rFonts w:ascii="Cambria Math" w:hAnsi="Cambria Math"/>
              </w:rPr>
            </m:ctrlPr>
          </m:fName>
          <m:e>
            <m:d>
              <m:dPr>
                <m:begChr m:val="["/>
                <m:endChr m:val="]"/>
                <m:ctrlPr>
                  <w:rPr>
                    <w:rFonts w:ascii="Cambria Math" w:hAnsi="Cambria Math"/>
                    <w:i/>
                  </w:rPr>
                </m:ctrlPr>
              </m:dPr>
              <m:e>
                <m:r>
                  <w:rPr>
                    <w:rFonts w:ascii="Cambria Math" w:hAnsi="Cambria Math"/>
                  </w:rPr>
                  <m:t>1-m</m:t>
                </m:r>
                <m:d>
                  <m:dPr>
                    <m:ctrlPr>
                      <w:rPr>
                        <w:rFonts w:ascii="Cambria Math" w:hAnsi="Cambria Math"/>
                        <w:i/>
                      </w:rPr>
                    </m:ctrlPr>
                  </m:dPr>
                  <m:e>
                    <m:r>
                      <w:rPr>
                        <w:rFonts w:ascii="Cambria Math" w:hAnsi="Cambria Math"/>
                      </w:rPr>
                      <m:t>t</m:t>
                    </m:r>
                  </m:e>
                </m:d>
              </m:e>
            </m:d>
          </m:e>
        </m:func>
      </m:oMath>
      <w:r w:rsidRPr="00AC613C">
        <w:t>; (iii) slope-normalize hazards using two pre-specified reference windows to equalize baseline level and trend; and (iv) compute and compare the cumulative hazards over time to obtain a baseline-normalized cumulative hazard ratio. Because it operates entirely in the hazard domain, KCOR preserves additivity and proportionality of risk, allowing divergence between cohorts to be interpreted directly as differential mortality intensity. By matching cohorts on their observed mortality level and slope rather than demographics or comorbidities, KCOR mitigates unmeasured frailty bias and enables more stable causal inference from large-scale observational datasets.</w:t>
      </w:r>
    </w:p>
    <w:p w14:paraId="3788E4CF" w14:textId="77777777" w:rsidR="00A3696B" w:rsidRPr="001254BE" w:rsidRDefault="00A3696B" w:rsidP="00A3696B">
      <w:pPr>
        <w:rPr>
          <w:rFonts w:cstheme="minorHAnsi"/>
        </w:rPr>
      </w:pPr>
      <w:r w:rsidRPr="003D2829">
        <w:rPr>
          <w:rFonts w:cstheme="minorHAnsi"/>
        </w:rPr>
        <w:t>Keywords: KCOR; cumulative hazard;</w:t>
      </w:r>
      <w:r>
        <w:rPr>
          <w:rFonts w:cstheme="minorHAnsi"/>
        </w:rPr>
        <w:t xml:space="preserve"> hazard rate ratio;</w:t>
      </w:r>
      <w:r w:rsidRPr="003D2829">
        <w:rPr>
          <w:rFonts w:cstheme="minorHAnsi"/>
        </w:rPr>
        <w:t xml:space="preserve"> </w:t>
      </w:r>
      <w:r>
        <w:rPr>
          <w:rFonts w:cstheme="minorHAnsi"/>
        </w:rPr>
        <w:t>net benefit/harm</w:t>
      </w:r>
      <w:r w:rsidRPr="003D2829">
        <w:rPr>
          <w:rFonts w:cstheme="minorHAnsi"/>
        </w:rPr>
        <w:t>; observational data; mortality</w:t>
      </w:r>
      <w:r>
        <w:rPr>
          <w:rFonts w:cstheme="minorHAnsi"/>
        </w:rPr>
        <w:t xml:space="preserve"> comparison.</w:t>
      </w:r>
      <w:r w:rsidRPr="003D2829">
        <w:rPr>
          <w:rFonts w:cstheme="minorHAnsi"/>
        </w:rPr>
        <w:t xml:space="preserve"> </w:t>
      </w:r>
    </w:p>
    <w:p w14:paraId="19BEBD62" w14:textId="77777777" w:rsidR="00A3696B" w:rsidRPr="00845381" w:rsidRDefault="00A3696B" w:rsidP="00A3696B">
      <w:pPr>
        <w:rPr>
          <w:b/>
          <w:sz w:val="28"/>
          <w:szCs w:val="28"/>
        </w:rPr>
      </w:pPr>
      <w:r w:rsidRPr="00845381">
        <w:rPr>
          <w:b/>
          <w:sz w:val="28"/>
          <w:szCs w:val="28"/>
        </w:rPr>
        <w:t>Introduction</w:t>
      </w:r>
    </w:p>
    <w:p w14:paraId="45740675" w14:textId="77777777" w:rsidR="00A3696B" w:rsidRDefault="00A3696B" w:rsidP="00A3696B">
      <w:r w:rsidRPr="00A87E32">
        <w:t xml:space="preserve">Randomised controlled trials (RCTs) remain the gold standard for determining the efficacy and safety of medical interventions. However, when long-term mortality outcomes are unavailable, or when interventions are adopted before such trials can be conducted or replicated, researchers must rely on retrospective observational data. In these settings, conventional approaches—such as 1:1 demographic or comorbidity matching—often fail to remove selection bias, especially when treatment uptake is strongly influenced by underlying health status. Recent national studies (e.g., Qatar, Denmark) have demonstrated that such matching cannot reliably balance mortality risk in vaccine analyses. Consequently, when RCT evidence on mortality is absent and observational matching is unreliable, no robust method currently exists to estimate net mortality benefit or harm. The </w:t>
      </w:r>
      <w:r w:rsidRPr="00A87E32">
        <w:rPr>
          <w:b/>
          <w:bCs/>
        </w:rPr>
        <w:t>Kirsch Cumulative Outcomes Ratio (KCOR)</w:t>
      </w:r>
      <w:r w:rsidRPr="00A87E32">
        <w:t xml:space="preserve"> framework addresses this gap by providing a hazard-based means to </w:t>
      </w:r>
      <w:r>
        <w:t xml:space="preserve">objectively </w:t>
      </w:r>
      <w:r w:rsidRPr="00A87E32">
        <w:t>compare cumulative mortality trajectories between fixed cohorts using only retrospective data.</w:t>
      </w:r>
      <w:r>
        <w:t xml:space="preserve"> </w:t>
      </w:r>
    </w:p>
    <w:p w14:paraId="0F2896A4" w14:textId="77777777" w:rsidR="00A3696B" w:rsidRPr="00A6605D" w:rsidRDefault="00A3696B" w:rsidP="00A3696B">
      <w:r w:rsidRPr="00A6605D">
        <w:t>A key advantage of KCOR is its minimal data requirement: only birth, death, and intervention information are needed to construct fixed cohorts and evaluate their relative mortality trajectories, enabling analyses even when detailed clinical or demographic covariates are unavailable.</w:t>
      </w:r>
    </w:p>
    <w:p w14:paraId="2327C6C8" w14:textId="77777777" w:rsidR="00A3696B" w:rsidRPr="00845381" w:rsidRDefault="00A3696B" w:rsidP="00A3696B">
      <w:pPr>
        <w:rPr>
          <w:b/>
          <w:sz w:val="28"/>
          <w:szCs w:val="28"/>
        </w:rPr>
      </w:pPr>
      <w:r w:rsidRPr="00845381">
        <w:rPr>
          <w:b/>
          <w:sz w:val="28"/>
          <w:szCs w:val="28"/>
        </w:rPr>
        <w:lastRenderedPageBreak/>
        <w:t>Methods</w:t>
      </w:r>
    </w:p>
    <w:p w14:paraId="480198C8" w14:textId="77777777" w:rsidR="00A3696B" w:rsidRDefault="00A3696B" w:rsidP="00A3696B">
      <w:pPr>
        <w:pStyle w:val="NoSpacing"/>
        <w:rPr>
          <w:lang w:val="en-US"/>
        </w:rPr>
      </w:pPr>
      <w:r w:rsidRPr="00045643">
        <w:rPr>
          <w:lang w:val="en-US"/>
        </w:rPr>
        <w:t xml:space="preserve">The </w:t>
      </w:r>
      <w:r w:rsidRPr="00045643">
        <w:rPr>
          <w:b/>
          <w:bCs/>
          <w:lang w:val="en-US"/>
        </w:rPr>
        <w:t>Kirsch Cumulative Outcomes Ratio (KCOR)</w:t>
      </w:r>
      <w:r w:rsidRPr="00045643">
        <w:rPr>
          <w:lang w:val="en-US"/>
        </w:rPr>
        <w:t xml:space="preserve"> is a hazard-based framework for comparing outcomes between two fixed cohorts—one exposed to a medical intervention and one unexposed. These groups may differ in age, comorbidity, socioeconomic status, lifestyle, or healthcare access, all of which can influence outcomes and confound direct comparisons.</w:t>
      </w:r>
    </w:p>
    <w:p w14:paraId="004F1E5B" w14:textId="77777777" w:rsidR="00A3696B" w:rsidRPr="00045643" w:rsidRDefault="00A3696B" w:rsidP="00A3696B">
      <w:pPr>
        <w:pStyle w:val="NoSpacing"/>
        <w:rPr>
          <w:lang w:val="en-US"/>
        </w:rPr>
      </w:pPr>
    </w:p>
    <w:p w14:paraId="764C3989" w14:textId="77777777" w:rsidR="00A3696B" w:rsidRPr="00045643" w:rsidRDefault="00A3696B" w:rsidP="00A3696B">
      <w:pPr>
        <w:pStyle w:val="NoSpacing"/>
        <w:rPr>
          <w:lang w:val="en-US"/>
        </w:rPr>
      </w:pPr>
      <w:r w:rsidRPr="00045643">
        <w:rPr>
          <w:lang w:val="en-US"/>
        </w:rPr>
        <w:t xml:space="preserve">KCOR mitigates these differences by tracking each cohort’s </w:t>
      </w:r>
      <w:r w:rsidRPr="00045643">
        <w:rPr>
          <w:i/>
          <w:iCs/>
          <w:lang w:val="en-US"/>
        </w:rPr>
        <w:t>within-group change</w:t>
      </w:r>
      <w:r w:rsidRPr="00045643">
        <w:rPr>
          <w:lang w:val="en-US"/>
        </w:rPr>
        <w:t xml:space="preserve"> in outcome over time relative to its own baseline reference period and then comparing these baseline-normalized changes between cohorts. In this way, KCOR focuses on </w:t>
      </w:r>
      <w:r w:rsidRPr="00045643">
        <w:rPr>
          <w:b/>
          <w:bCs/>
          <w:lang w:val="en-US"/>
        </w:rPr>
        <w:t>relative shifts in hazard rates</w:t>
      </w:r>
      <w:r w:rsidRPr="00045643">
        <w:rPr>
          <w:lang w:val="en-US"/>
        </w:rPr>
        <w:t xml:space="preserve"> rather than absolute differences, effectively controlling for static disparities that existed prior to the intervention.</w:t>
      </w:r>
    </w:p>
    <w:p w14:paraId="65482A9D" w14:textId="77777777" w:rsidR="00A3696B" w:rsidRPr="00045643" w:rsidRDefault="00A3696B" w:rsidP="00A3696B">
      <w:pPr>
        <w:pStyle w:val="NoSpacing"/>
        <w:rPr>
          <w:lang w:val="en-US"/>
        </w:rPr>
      </w:pPr>
    </w:p>
    <w:p w14:paraId="1C97BC34" w14:textId="77777777" w:rsidR="00A3696B" w:rsidRDefault="00A3696B" w:rsidP="00A3696B">
      <w:pPr>
        <w:pStyle w:val="NoSpacing"/>
      </w:pPr>
      <w:r w:rsidRPr="00045643">
        <w:t xml:space="preserve">The KCOR procedure proceeds through </w:t>
      </w:r>
      <w:r>
        <w:t>six</w:t>
      </w:r>
      <w:r w:rsidRPr="00045643">
        <w:t xml:space="preserve"> steps, described below using all-cause mortality as the example outcome.</w:t>
      </w:r>
    </w:p>
    <w:p w14:paraId="041BD157" w14:textId="77777777" w:rsidR="00A3696B" w:rsidRDefault="00A3696B" w:rsidP="00A3696B">
      <w:pPr>
        <w:pStyle w:val="NoSpacing"/>
      </w:pPr>
    </w:p>
    <w:p w14:paraId="3A3A9DCB" w14:textId="77777777" w:rsidR="00A3696B" w:rsidRDefault="00A3696B" w:rsidP="00A3696B">
      <w:pPr>
        <w:pStyle w:val="NoSpacing"/>
        <w:rPr>
          <w:b/>
          <w:lang w:val="en-US"/>
        </w:rPr>
      </w:pPr>
      <w:r w:rsidRPr="00104F46">
        <w:rPr>
          <w:b/>
          <w:lang w:val="en-US"/>
        </w:rPr>
        <w:t>Step 1 – Define fixed cohorts</w:t>
      </w:r>
      <w:r w:rsidRPr="00104F46">
        <w:rPr>
          <w:b/>
          <w:lang w:val="en-US"/>
        </w:rPr>
        <w:br/>
      </w:r>
      <w:r w:rsidRPr="00104F46">
        <w:rPr>
          <w:bCs/>
          <w:lang w:val="en-US"/>
        </w:rPr>
        <w:t xml:space="preserve">Choose an enrollment (index) date after sufficient opportunity to accept or decline the intervention (e.g., vaccination availability). Split the study population into </w:t>
      </w:r>
      <w:r>
        <w:rPr>
          <w:bCs/>
          <w:lang w:val="en-US"/>
        </w:rPr>
        <w:t>two or more</w:t>
      </w:r>
      <w:r w:rsidRPr="00104F46">
        <w:rPr>
          <w:bCs/>
          <w:lang w:val="en-US"/>
        </w:rPr>
        <w:t xml:space="preserve"> cohorts—treated and untreated—based on </w:t>
      </w:r>
      <w:r>
        <w:rPr>
          <w:bCs/>
          <w:lang w:val="en-US"/>
        </w:rPr>
        <w:t xml:space="preserve">their treatment </w:t>
      </w:r>
      <w:r w:rsidRPr="00104F46">
        <w:rPr>
          <w:bCs/>
          <w:lang w:val="en-US"/>
        </w:rPr>
        <w:t>status</w:t>
      </w:r>
      <w:r>
        <w:rPr>
          <w:bCs/>
          <w:lang w:val="en-US"/>
        </w:rPr>
        <w:t xml:space="preserve"> (e.g., number of vaccine doses received)</w:t>
      </w:r>
      <w:r w:rsidRPr="00104F46">
        <w:rPr>
          <w:bCs/>
          <w:lang w:val="en-US"/>
        </w:rPr>
        <w:t xml:space="preserve"> at the index date. Cohorts then remain fixed (intention-to-treat style), even if individuals later change status.</w:t>
      </w:r>
    </w:p>
    <w:p w14:paraId="75C44E82" w14:textId="77777777" w:rsidR="00A3696B" w:rsidRPr="00104F46" w:rsidRDefault="00A3696B" w:rsidP="00A3696B">
      <w:pPr>
        <w:pStyle w:val="NoSpacing"/>
        <w:rPr>
          <w:b/>
          <w:lang w:val="en-US"/>
        </w:rPr>
      </w:pPr>
    </w:p>
    <w:p w14:paraId="0704C24C" w14:textId="77777777" w:rsidR="00A3696B" w:rsidRDefault="00A3696B" w:rsidP="00A3696B">
      <w:pPr>
        <w:pStyle w:val="NoSpacing"/>
        <w:rPr>
          <w:b/>
          <w:lang w:val="en-US"/>
        </w:rPr>
      </w:pPr>
      <w:r w:rsidRPr="00104F46">
        <w:rPr>
          <w:b/>
          <w:lang w:val="en-US"/>
        </w:rPr>
        <w:t>Step 2 – Track deaths and compute weekly mortality probabilities</w:t>
      </w:r>
      <w:r w:rsidRPr="00104F46">
        <w:rPr>
          <w:b/>
          <w:lang w:val="en-US"/>
        </w:rPr>
        <w:br/>
      </w:r>
      <w:r w:rsidRPr="00104F46">
        <w:rPr>
          <w:bCs/>
          <w:lang w:val="en-US"/>
        </w:rPr>
        <w:t xml:space="preserve">For each cohort and week t, count deaths and the number at risk (or person-time). Compute the weekly mortality probability m(t) for each cohort. </w:t>
      </w:r>
    </w:p>
    <w:p w14:paraId="5C9E94D5" w14:textId="77777777" w:rsidR="00A3696B" w:rsidRPr="00104F46" w:rsidRDefault="00A3696B" w:rsidP="00A3696B">
      <w:pPr>
        <w:pStyle w:val="NoSpacing"/>
        <w:rPr>
          <w:b/>
          <w:lang w:val="en-US"/>
        </w:rPr>
      </w:pPr>
    </w:p>
    <w:p w14:paraId="4AC08433" w14:textId="77777777" w:rsidR="00A3696B" w:rsidRDefault="00A3696B" w:rsidP="00A3696B">
      <w:pPr>
        <w:pStyle w:val="NoSpacing"/>
        <w:rPr>
          <w:b/>
          <w:lang w:val="en-US"/>
        </w:rPr>
      </w:pPr>
      <w:r w:rsidRPr="00104F46">
        <w:rPr>
          <w:b/>
          <w:lang w:val="en-US"/>
        </w:rPr>
        <w:t>Step 3 – Discrete hazard transformation (and optional cumulative hazard)</w:t>
      </w:r>
      <w:r w:rsidRPr="00104F46">
        <w:rPr>
          <w:b/>
          <w:lang w:val="en-US"/>
        </w:rPr>
        <w:br/>
      </w:r>
      <w:r w:rsidRPr="00104F46">
        <w:rPr>
          <w:bCs/>
          <w:lang w:val="en-US"/>
        </w:rPr>
        <w:t>Convert weekly mortality probabilities to discrete-time hazards:</w:t>
      </w:r>
      <w:r w:rsidRPr="00104F46">
        <w:rPr>
          <w:bCs/>
          <w:lang w:val="en-US"/>
        </w:rPr>
        <w:br/>
        <w:t>h(t) = −</w:t>
      </w:r>
      <w:proofErr w:type="gramStart"/>
      <w:r w:rsidRPr="00104F46">
        <w:rPr>
          <w:bCs/>
          <w:lang w:val="en-US"/>
        </w:rPr>
        <w:t>ln[</w:t>
      </w:r>
      <w:proofErr w:type="gramEnd"/>
      <w:r w:rsidRPr="00104F46">
        <w:rPr>
          <w:bCs/>
          <w:lang w:val="en-US"/>
        </w:rPr>
        <w:t>1 − m(t)].</w:t>
      </w:r>
      <w:r w:rsidRPr="00104F46">
        <w:rPr>
          <w:bCs/>
          <w:lang w:val="en-US"/>
        </w:rPr>
        <w:br/>
        <w:t xml:space="preserve">This yields an additive-in-time measure. </w:t>
      </w:r>
    </w:p>
    <w:p w14:paraId="569C63AE" w14:textId="77777777" w:rsidR="00A3696B" w:rsidRPr="00104F46" w:rsidRDefault="00A3696B" w:rsidP="00A3696B">
      <w:pPr>
        <w:pStyle w:val="NoSpacing"/>
        <w:rPr>
          <w:b/>
          <w:lang w:val="en-US"/>
        </w:rPr>
      </w:pPr>
    </w:p>
    <w:p w14:paraId="520D83E3" w14:textId="77777777" w:rsidR="00914851" w:rsidRDefault="00A3696B" w:rsidP="00A3696B">
      <w:pPr>
        <w:pStyle w:val="NoSpacing"/>
        <w:rPr>
          <w:bCs/>
          <w:lang w:val="en-US"/>
        </w:rPr>
      </w:pPr>
      <w:r w:rsidRPr="00104F46">
        <w:rPr>
          <w:b/>
          <w:lang w:val="en-US"/>
        </w:rPr>
        <w:t>Step 4 – Slope normalization (baseline alignment)</w:t>
      </w:r>
      <w:r w:rsidRPr="00104F46">
        <w:rPr>
          <w:b/>
          <w:lang w:val="en-US"/>
        </w:rPr>
        <w:br/>
      </w:r>
      <w:r w:rsidRPr="00104F46">
        <w:rPr>
          <w:bCs/>
          <w:lang w:val="en-US"/>
        </w:rPr>
        <w:t xml:space="preserve">Baseline mortality growth can differ between cohorts (e.g., due to age/frailty composition). Using two pre-specified baseline (“quiet”) windows </w:t>
      </w:r>
      <w:r>
        <w:rPr>
          <w:bCs/>
          <w:lang w:val="en-US"/>
        </w:rPr>
        <w:t>well after</w:t>
      </w:r>
      <w:r w:rsidRPr="00104F46">
        <w:rPr>
          <w:bCs/>
          <w:lang w:val="en-US"/>
        </w:rPr>
        <w:t xml:space="preserve"> the intervention, fit a baseline trend for each cohort’s hazard series and normalize to remove slope differences</w:t>
      </w:r>
      <w:r w:rsidR="00914851">
        <w:rPr>
          <w:bCs/>
          <w:lang w:val="en-US"/>
        </w:rPr>
        <w:t xml:space="preserve">. </w:t>
      </w:r>
    </w:p>
    <w:p w14:paraId="1673DFD6" w14:textId="77777777" w:rsidR="00914851" w:rsidRDefault="00914851" w:rsidP="00A3696B">
      <w:pPr>
        <w:pStyle w:val="NoSpacing"/>
        <w:rPr>
          <w:bCs/>
          <w:lang w:val="en-US"/>
        </w:rPr>
      </w:pPr>
    </w:p>
    <w:p w14:paraId="48A8EB2B" w14:textId="6B8989AF" w:rsidR="00A3696B" w:rsidRDefault="00914851" w:rsidP="00A3696B">
      <w:pPr>
        <w:pStyle w:val="NoSpacing"/>
        <w:rPr>
          <w:bCs/>
        </w:rPr>
      </w:pPr>
      <w:r w:rsidRPr="00914851">
        <w:rPr>
          <w:bCs/>
        </w:rPr>
        <w:t>This alignment ensures that post-index divergence reflects relative shifts in hazard rather than static demographic or frailty differences.</w:t>
      </w:r>
    </w:p>
    <w:p w14:paraId="2BE66D05" w14:textId="77777777" w:rsidR="00914851" w:rsidRDefault="00914851" w:rsidP="00A3696B">
      <w:pPr>
        <w:pStyle w:val="NoSpacing"/>
        <w:rPr>
          <w:bCs/>
        </w:rPr>
      </w:pPr>
    </w:p>
    <w:p w14:paraId="5A0C4CEA" w14:textId="4C9A1B03" w:rsidR="00914851" w:rsidRDefault="00914851" w:rsidP="00A3696B">
      <w:pPr>
        <w:pStyle w:val="NoSpacing"/>
        <w:rPr>
          <w:bCs/>
        </w:rPr>
      </w:pPr>
      <w:r>
        <w:rPr>
          <w:bCs/>
        </w:rPr>
        <w:t>The simplest way to normalize the baseline is to take the mean hazard rate in each window period and compute the exponential slope</w:t>
      </w:r>
      <w:r w:rsidR="00AB1FA0">
        <w:rPr>
          <w:bCs/>
        </w:rPr>
        <w:t>.</w:t>
      </w:r>
    </w:p>
    <w:p w14:paraId="790D21B0" w14:textId="77777777" w:rsidR="00AB1FA0" w:rsidRDefault="00AB1FA0" w:rsidP="00A3696B">
      <w:pPr>
        <w:pStyle w:val="NoSpacing"/>
        <w:rPr>
          <w:bCs/>
        </w:rPr>
      </w:pPr>
    </w:p>
    <w:p w14:paraId="66572F29" w14:textId="4E06034D" w:rsidR="00AB1FA0" w:rsidRPr="00AB1FA0" w:rsidRDefault="00AB1FA0" w:rsidP="00AB1FA0">
      <w:pPr>
        <w:pStyle w:val="NoSpacing"/>
        <w:rPr>
          <w:bCs/>
          <w:lang w:val="en-US"/>
        </w:rPr>
      </w:pPr>
      <w:r w:rsidRPr="00AB1FA0">
        <w:rPr>
          <w:bCs/>
          <w:lang w:val="en-US"/>
        </w:rPr>
        <w:t xml:space="preserve">Let </w:t>
      </w:r>
      <m:oMath>
        <m:sSub>
          <m:sSubPr>
            <m:ctrlPr>
              <w:rPr>
                <w:rFonts w:ascii="Cambria Math" w:hAnsi="Cambria Math"/>
                <w:bCs/>
                <w:lang w:val="en-US"/>
              </w:rPr>
            </m:ctrlPr>
          </m:sSubPr>
          <m:e>
            <m:r>
              <w:rPr>
                <w:rFonts w:ascii="Cambria Math" w:hAnsi="Cambria Math"/>
                <w:lang w:val="en-US"/>
              </w:rPr>
              <m:t>W</m:t>
            </m:r>
          </m:e>
          <m:sub>
            <m:r>
              <w:rPr>
                <w:rFonts w:ascii="Cambria Math" w:hAnsi="Cambria Math"/>
                <w:lang w:val="en-US"/>
              </w:rPr>
              <m:t>1</m:t>
            </m:r>
          </m:sub>
        </m:sSub>
      </m:oMath>
      <w:r w:rsidRPr="00AB1FA0">
        <w:rPr>
          <w:bCs/>
          <w:lang w:val="en-US"/>
        </w:rPr>
        <w:t xml:space="preserve">and </w:t>
      </w:r>
      <m:oMath>
        <m:sSub>
          <m:sSubPr>
            <m:ctrlPr>
              <w:rPr>
                <w:rFonts w:ascii="Cambria Math" w:hAnsi="Cambria Math"/>
                <w:bCs/>
                <w:lang w:val="en-US"/>
              </w:rPr>
            </m:ctrlPr>
          </m:sSubPr>
          <m:e>
            <m:r>
              <w:rPr>
                <w:rFonts w:ascii="Cambria Math" w:hAnsi="Cambria Math"/>
                <w:lang w:val="en-US"/>
              </w:rPr>
              <m:t>W</m:t>
            </m:r>
          </m:e>
          <m:sub>
            <m:r>
              <w:rPr>
                <w:rFonts w:ascii="Cambria Math" w:hAnsi="Cambria Math"/>
                <w:lang w:val="en-US"/>
              </w:rPr>
              <m:t>2</m:t>
            </m:r>
          </m:sub>
        </m:sSub>
      </m:oMath>
      <w:r w:rsidRPr="00AB1FA0">
        <w:rPr>
          <w:bCs/>
          <w:lang w:val="en-US"/>
        </w:rPr>
        <w:t>be two pre-specified baseline (“quiet”) windows.</w:t>
      </w:r>
      <w:r w:rsidRPr="00AB1FA0">
        <w:rPr>
          <w:bCs/>
          <w:lang w:val="en-US"/>
        </w:rPr>
        <w:br/>
        <w:t xml:space="preserve">For cohort </w:t>
      </w:r>
      <m:oMath>
        <m:r>
          <w:rPr>
            <w:rFonts w:ascii="Cambria Math" w:hAnsi="Cambria Math"/>
            <w:lang w:val="en-US"/>
          </w:rPr>
          <m:t>g∈T,U</m:t>
        </m:r>
      </m:oMath>
      <w:r w:rsidRPr="00AB1FA0">
        <w:rPr>
          <w:bCs/>
          <w:lang w:val="en-US"/>
        </w:rPr>
        <w:t xml:space="preserve">, let </w:t>
      </w:r>
      <m:oMath>
        <m:sSub>
          <m:sSubPr>
            <m:ctrlPr>
              <w:rPr>
                <w:rFonts w:ascii="Cambria Math" w:hAnsi="Cambria Math"/>
                <w:bCs/>
                <w:lang w:val="en-US"/>
              </w:rPr>
            </m:ctrlPr>
          </m:sSubPr>
          <m:e>
            <m:r>
              <w:rPr>
                <w:rFonts w:ascii="Cambria Math" w:hAnsi="Cambria Math"/>
                <w:lang w:val="en-US"/>
              </w:rPr>
              <m:t>h</m:t>
            </m:r>
          </m:e>
          <m:sub>
            <m:r>
              <w:rPr>
                <w:rFonts w:ascii="Cambria Math" w:hAnsi="Cambria Math"/>
                <w:lang w:val="en-US"/>
              </w:rPr>
              <m:t>g</m:t>
            </m:r>
          </m:sub>
        </m:sSub>
        <m:d>
          <m:dPr>
            <m:ctrlPr>
              <w:rPr>
                <w:rFonts w:ascii="Cambria Math" w:hAnsi="Cambria Math"/>
                <w:bCs/>
                <w:i/>
                <w:lang w:val="en-US"/>
              </w:rPr>
            </m:ctrlPr>
          </m:dPr>
          <m:e>
            <m:r>
              <w:rPr>
                <w:rFonts w:ascii="Cambria Math" w:hAnsi="Cambria Math"/>
                <w:lang w:val="en-US"/>
              </w:rPr>
              <m:t>t</m:t>
            </m:r>
          </m:e>
        </m:d>
      </m:oMath>
      <w:r w:rsidRPr="00AB1FA0">
        <w:rPr>
          <w:bCs/>
          <w:lang w:val="en-US"/>
        </w:rPr>
        <w:t>be the weekly hazard from Step 3.</w:t>
      </w:r>
    </w:p>
    <w:p w14:paraId="39B92E95" w14:textId="77777777" w:rsidR="00AB1FA0" w:rsidRPr="00AB1FA0" w:rsidRDefault="00AB1FA0" w:rsidP="00AB1FA0">
      <w:pPr>
        <w:pStyle w:val="NoSpacing"/>
        <w:numPr>
          <w:ilvl w:val="0"/>
          <w:numId w:val="8"/>
        </w:numPr>
        <w:rPr>
          <w:bCs/>
          <w:lang w:val="en-US"/>
        </w:rPr>
      </w:pPr>
      <w:r w:rsidRPr="00AB1FA0">
        <w:rPr>
          <w:b/>
          <w:bCs/>
          <w:lang w:val="en-US"/>
        </w:rPr>
        <w:t>Window means and centers</w:t>
      </w:r>
    </w:p>
    <w:p w14:paraId="103CD92E" w14:textId="1F556992" w:rsidR="00AB1FA0" w:rsidRPr="00AB1FA0" w:rsidRDefault="00000000" w:rsidP="00AB1FA0">
      <w:pPr>
        <w:pStyle w:val="NoSpacing"/>
        <w:numPr>
          <w:ilvl w:val="0"/>
          <w:numId w:val="9"/>
        </w:numPr>
        <w:rPr>
          <w:bCs/>
          <w:lang w:val="en-US"/>
        </w:rPr>
      </w:pPr>
      <m:oMath>
        <m:sSub>
          <m:sSubPr>
            <m:ctrlPr>
              <w:rPr>
                <w:rFonts w:ascii="Cambria Math" w:hAnsi="Cambria Math"/>
                <w:bCs/>
                <w:lang w:val="en-US"/>
              </w:rPr>
            </m:ctrlPr>
          </m:sSubPr>
          <m:e>
            <m:r>
              <w:rPr>
                <w:rFonts w:ascii="Cambria Math" w:hAnsi="Cambria Math"/>
                <w:lang w:val="en-US"/>
              </w:rPr>
              <m:t>μ</m:t>
            </m:r>
          </m:e>
          <m:sub>
            <m:r>
              <w:rPr>
                <w:rFonts w:ascii="Cambria Math" w:hAnsi="Cambria Math"/>
                <w:lang w:val="en-US"/>
              </w:rPr>
              <m:t>g,1</m:t>
            </m:r>
          </m:sub>
        </m:sSub>
        <m:r>
          <w:rPr>
            <w:rFonts w:ascii="Cambria Math" w:hAnsi="Cambria Math"/>
            <w:lang w:val="en-US"/>
          </w:rPr>
          <m:t>=</m:t>
        </m:r>
        <m:sSub>
          <m:sSubPr>
            <m:ctrlPr>
              <w:rPr>
                <w:rFonts w:ascii="Cambria Math" w:hAnsi="Cambria Math"/>
                <w:bCs/>
                <w:lang w:val="en-US"/>
              </w:rPr>
            </m:ctrlPr>
          </m:sSubPr>
          <m:e>
            <m:r>
              <m:rPr>
                <m:sty m:val="p"/>
              </m:rPr>
              <w:rPr>
                <w:rFonts w:ascii="Cambria Math" w:hAnsi="Cambria Math"/>
                <w:lang w:val="en-US"/>
              </w:rPr>
              <m:t>mean</m:t>
            </m:r>
          </m:e>
          <m:sub>
            <m:r>
              <w:rPr>
                <w:rFonts w:ascii="Cambria Math" w:hAnsi="Cambria Math"/>
                <w:lang w:val="en-US"/>
              </w:rPr>
              <m:t>t∈</m:t>
            </m:r>
            <m:sSub>
              <m:sSubPr>
                <m:ctrlPr>
                  <w:rPr>
                    <w:rFonts w:ascii="Cambria Math" w:hAnsi="Cambria Math"/>
                    <w:bCs/>
                    <w:lang w:val="en-US"/>
                  </w:rPr>
                </m:ctrlPr>
              </m:sSubPr>
              <m:e>
                <m:r>
                  <w:rPr>
                    <w:rFonts w:ascii="Cambria Math" w:hAnsi="Cambria Math"/>
                    <w:lang w:val="en-US"/>
                  </w:rPr>
                  <m:t>W</m:t>
                </m:r>
              </m:e>
              <m:sub>
                <m:r>
                  <w:rPr>
                    <w:rFonts w:ascii="Cambria Math" w:hAnsi="Cambria Math"/>
                    <w:lang w:val="en-US"/>
                  </w:rPr>
                  <m:t>1</m:t>
                </m:r>
              </m:sub>
            </m:sSub>
          </m:sub>
        </m:sSub>
        <m:sSub>
          <m:sSubPr>
            <m:ctrlPr>
              <w:rPr>
                <w:rFonts w:ascii="Cambria Math" w:hAnsi="Cambria Math"/>
                <w:bCs/>
                <w:lang w:val="en-US"/>
              </w:rPr>
            </m:ctrlPr>
          </m:sSubPr>
          <m:e>
            <m:r>
              <w:rPr>
                <w:rFonts w:ascii="Cambria Math" w:hAnsi="Cambria Math"/>
                <w:lang w:val="en-US"/>
              </w:rPr>
              <m:t>h</m:t>
            </m:r>
          </m:e>
          <m:sub>
            <m:r>
              <w:rPr>
                <w:rFonts w:ascii="Cambria Math" w:hAnsi="Cambria Math"/>
                <w:lang w:val="en-US"/>
              </w:rPr>
              <m:t>g</m:t>
            </m:r>
          </m:sub>
        </m:sSub>
        <m:d>
          <m:dPr>
            <m:ctrlPr>
              <w:rPr>
                <w:rFonts w:ascii="Cambria Math" w:hAnsi="Cambria Math"/>
                <w:bCs/>
                <w:i/>
                <w:lang w:val="en-US"/>
              </w:rPr>
            </m:ctrlPr>
          </m:dPr>
          <m:e>
            <m:r>
              <w:rPr>
                <w:rFonts w:ascii="Cambria Math" w:hAnsi="Cambria Math"/>
                <w:lang w:val="en-US"/>
              </w:rPr>
              <m:t>t</m:t>
            </m:r>
          </m:e>
        </m:d>
      </m:oMath>
    </w:p>
    <w:p w14:paraId="09648564" w14:textId="24BFB03C" w:rsidR="00AB1FA0" w:rsidRPr="00AB1FA0" w:rsidRDefault="00000000" w:rsidP="00AB1FA0">
      <w:pPr>
        <w:pStyle w:val="NoSpacing"/>
        <w:numPr>
          <w:ilvl w:val="0"/>
          <w:numId w:val="9"/>
        </w:numPr>
        <w:rPr>
          <w:bCs/>
          <w:lang w:val="en-US"/>
        </w:rPr>
      </w:pPr>
      <m:oMath>
        <m:sSub>
          <m:sSubPr>
            <m:ctrlPr>
              <w:rPr>
                <w:rFonts w:ascii="Cambria Math" w:hAnsi="Cambria Math"/>
                <w:bCs/>
                <w:lang w:val="en-US"/>
              </w:rPr>
            </m:ctrlPr>
          </m:sSubPr>
          <m:e>
            <m:r>
              <w:rPr>
                <w:rFonts w:ascii="Cambria Math" w:hAnsi="Cambria Math"/>
                <w:lang w:val="en-US"/>
              </w:rPr>
              <m:t>μ</m:t>
            </m:r>
          </m:e>
          <m:sub>
            <m:r>
              <w:rPr>
                <w:rFonts w:ascii="Cambria Math" w:hAnsi="Cambria Math"/>
                <w:lang w:val="en-US"/>
              </w:rPr>
              <m:t>g,2</m:t>
            </m:r>
          </m:sub>
        </m:sSub>
        <m:r>
          <w:rPr>
            <w:rFonts w:ascii="Cambria Math" w:hAnsi="Cambria Math"/>
            <w:lang w:val="en-US"/>
          </w:rPr>
          <m:t>=</m:t>
        </m:r>
        <m:sSub>
          <m:sSubPr>
            <m:ctrlPr>
              <w:rPr>
                <w:rFonts w:ascii="Cambria Math" w:hAnsi="Cambria Math"/>
                <w:bCs/>
                <w:lang w:val="en-US"/>
              </w:rPr>
            </m:ctrlPr>
          </m:sSubPr>
          <m:e>
            <m:r>
              <m:rPr>
                <m:sty m:val="p"/>
              </m:rPr>
              <w:rPr>
                <w:rFonts w:ascii="Cambria Math" w:hAnsi="Cambria Math"/>
                <w:lang w:val="en-US"/>
              </w:rPr>
              <m:t>mean</m:t>
            </m:r>
          </m:e>
          <m:sub>
            <m:r>
              <w:rPr>
                <w:rFonts w:ascii="Cambria Math" w:hAnsi="Cambria Math"/>
                <w:lang w:val="en-US"/>
              </w:rPr>
              <m:t>t∈</m:t>
            </m:r>
            <m:sSub>
              <m:sSubPr>
                <m:ctrlPr>
                  <w:rPr>
                    <w:rFonts w:ascii="Cambria Math" w:hAnsi="Cambria Math"/>
                    <w:bCs/>
                    <w:lang w:val="en-US"/>
                  </w:rPr>
                </m:ctrlPr>
              </m:sSubPr>
              <m:e>
                <m:r>
                  <w:rPr>
                    <w:rFonts w:ascii="Cambria Math" w:hAnsi="Cambria Math"/>
                    <w:lang w:val="en-US"/>
                  </w:rPr>
                  <m:t>W</m:t>
                </m:r>
              </m:e>
              <m:sub>
                <m:r>
                  <w:rPr>
                    <w:rFonts w:ascii="Cambria Math" w:hAnsi="Cambria Math"/>
                    <w:lang w:val="en-US"/>
                  </w:rPr>
                  <m:t>2</m:t>
                </m:r>
              </m:sub>
            </m:sSub>
          </m:sub>
        </m:sSub>
        <m:sSub>
          <m:sSubPr>
            <m:ctrlPr>
              <w:rPr>
                <w:rFonts w:ascii="Cambria Math" w:hAnsi="Cambria Math"/>
                <w:bCs/>
                <w:lang w:val="en-US"/>
              </w:rPr>
            </m:ctrlPr>
          </m:sSubPr>
          <m:e>
            <m:r>
              <w:rPr>
                <w:rFonts w:ascii="Cambria Math" w:hAnsi="Cambria Math"/>
                <w:lang w:val="en-US"/>
              </w:rPr>
              <m:t>h</m:t>
            </m:r>
          </m:e>
          <m:sub>
            <m:r>
              <w:rPr>
                <w:rFonts w:ascii="Cambria Math" w:hAnsi="Cambria Math"/>
                <w:lang w:val="en-US"/>
              </w:rPr>
              <m:t>g</m:t>
            </m:r>
          </m:sub>
        </m:sSub>
        <m:d>
          <m:dPr>
            <m:ctrlPr>
              <w:rPr>
                <w:rFonts w:ascii="Cambria Math" w:hAnsi="Cambria Math"/>
                <w:bCs/>
                <w:i/>
                <w:lang w:val="en-US"/>
              </w:rPr>
            </m:ctrlPr>
          </m:dPr>
          <m:e>
            <m:r>
              <w:rPr>
                <w:rFonts w:ascii="Cambria Math" w:hAnsi="Cambria Math"/>
                <w:lang w:val="en-US"/>
              </w:rPr>
              <m:t>t</m:t>
            </m:r>
          </m:e>
        </m:d>
      </m:oMath>
    </w:p>
    <w:p w14:paraId="705E1256" w14:textId="55B459F0" w:rsidR="00AB1FA0" w:rsidRPr="00AB1FA0" w:rsidRDefault="00AB1FA0" w:rsidP="00AB1FA0">
      <w:pPr>
        <w:pStyle w:val="NoSpacing"/>
        <w:numPr>
          <w:ilvl w:val="0"/>
          <w:numId w:val="9"/>
        </w:numPr>
        <w:rPr>
          <w:bCs/>
          <w:lang w:val="en-US"/>
        </w:rPr>
      </w:pPr>
      <w:r w:rsidRPr="00AB1FA0">
        <w:rPr>
          <w:bCs/>
          <w:lang w:val="en-US"/>
        </w:rPr>
        <w:t xml:space="preserve">Window centers (in weeks): </w:t>
      </w:r>
      <m:oMath>
        <m:sSub>
          <m:sSubPr>
            <m:ctrlPr>
              <w:rPr>
                <w:rFonts w:ascii="Cambria Math" w:hAnsi="Cambria Math"/>
                <w:bCs/>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r>
          <m:rPr>
            <m:sty m:val="p"/>
          </m:rPr>
          <w:rPr>
            <w:rFonts w:ascii="Cambria Math" w:hAnsi="Cambria Math"/>
            <w:lang w:val="en-US"/>
          </w:rPr>
          <m:t>center</m:t>
        </m:r>
        <m:d>
          <m:dPr>
            <m:ctrlPr>
              <w:rPr>
                <w:rFonts w:ascii="Cambria Math" w:hAnsi="Cambria Math"/>
                <w:bCs/>
                <w:i/>
                <w:lang w:val="en-US"/>
              </w:rPr>
            </m:ctrlPr>
          </m:dPr>
          <m:e>
            <m:sSub>
              <m:sSubPr>
                <m:ctrlPr>
                  <w:rPr>
                    <w:rFonts w:ascii="Cambria Math" w:hAnsi="Cambria Math"/>
                    <w:bCs/>
                    <w:lang w:val="en-US"/>
                  </w:rPr>
                </m:ctrlPr>
              </m:sSubPr>
              <m:e>
                <m:r>
                  <w:rPr>
                    <w:rFonts w:ascii="Cambria Math" w:hAnsi="Cambria Math"/>
                    <w:lang w:val="en-US"/>
                  </w:rPr>
                  <m:t>W</m:t>
                </m:r>
              </m:e>
              <m:sub>
                <m:r>
                  <w:rPr>
                    <w:rFonts w:ascii="Cambria Math" w:hAnsi="Cambria Math"/>
                    <w:lang w:val="en-US"/>
                  </w:rPr>
                  <m:t>1</m:t>
                </m:r>
              </m:sub>
            </m:sSub>
          </m:e>
        </m:d>
      </m:oMath>
      <w:r w:rsidRPr="00AB1FA0">
        <w:rPr>
          <w:bCs/>
          <w:lang w:val="en-US"/>
        </w:rPr>
        <w:t xml:space="preserve">, </w:t>
      </w:r>
      <m:oMath>
        <m:sSub>
          <m:sSubPr>
            <m:ctrlPr>
              <w:rPr>
                <w:rFonts w:ascii="Cambria Math" w:hAnsi="Cambria Math"/>
                <w:bCs/>
                <w:lang w:val="en-US"/>
              </w:rPr>
            </m:ctrlPr>
          </m:sSubPr>
          <m:e>
            <m:r>
              <w:rPr>
                <w:rFonts w:ascii="Cambria Math" w:hAnsi="Cambria Math"/>
                <w:lang w:val="en-US"/>
              </w:rPr>
              <m:t>c</m:t>
            </m:r>
          </m:e>
          <m:sub>
            <m:r>
              <w:rPr>
                <w:rFonts w:ascii="Cambria Math" w:hAnsi="Cambria Math"/>
                <w:lang w:val="en-US"/>
              </w:rPr>
              <m:t>2</m:t>
            </m:r>
          </m:sub>
        </m:sSub>
        <m:r>
          <w:rPr>
            <w:rFonts w:ascii="Cambria Math" w:hAnsi="Cambria Math"/>
            <w:lang w:val="en-US"/>
          </w:rPr>
          <m:t>=</m:t>
        </m:r>
        <m:r>
          <m:rPr>
            <m:sty m:val="p"/>
          </m:rPr>
          <w:rPr>
            <w:rFonts w:ascii="Cambria Math" w:hAnsi="Cambria Math"/>
            <w:lang w:val="en-US"/>
          </w:rPr>
          <m:t>center</m:t>
        </m:r>
        <m:d>
          <m:dPr>
            <m:ctrlPr>
              <w:rPr>
                <w:rFonts w:ascii="Cambria Math" w:hAnsi="Cambria Math"/>
                <w:bCs/>
                <w:i/>
                <w:lang w:val="en-US"/>
              </w:rPr>
            </m:ctrlPr>
          </m:dPr>
          <m:e>
            <m:sSub>
              <m:sSubPr>
                <m:ctrlPr>
                  <w:rPr>
                    <w:rFonts w:ascii="Cambria Math" w:hAnsi="Cambria Math"/>
                    <w:bCs/>
                    <w:lang w:val="en-US"/>
                  </w:rPr>
                </m:ctrlPr>
              </m:sSubPr>
              <m:e>
                <m:r>
                  <w:rPr>
                    <w:rFonts w:ascii="Cambria Math" w:hAnsi="Cambria Math"/>
                    <w:lang w:val="en-US"/>
                  </w:rPr>
                  <m:t>W</m:t>
                </m:r>
              </m:e>
              <m:sub>
                <m:r>
                  <w:rPr>
                    <w:rFonts w:ascii="Cambria Math" w:hAnsi="Cambria Math"/>
                    <w:lang w:val="en-US"/>
                  </w:rPr>
                  <m:t>2</m:t>
                </m:r>
              </m:sub>
            </m:sSub>
          </m:e>
        </m:d>
      </m:oMath>
    </w:p>
    <w:p w14:paraId="63F2523E" w14:textId="154F6A06" w:rsidR="00AB1FA0" w:rsidRPr="00AB1FA0" w:rsidRDefault="00AB1FA0" w:rsidP="00AB1FA0">
      <w:pPr>
        <w:pStyle w:val="NoSpacing"/>
        <w:numPr>
          <w:ilvl w:val="0"/>
          <w:numId w:val="9"/>
        </w:numPr>
        <w:rPr>
          <w:bCs/>
          <w:lang w:val="en-US"/>
        </w:rPr>
      </w:pPr>
      <w:r w:rsidRPr="00AB1FA0">
        <w:rPr>
          <w:bCs/>
          <w:lang w:val="en-US"/>
        </w:rPr>
        <w:t xml:space="preserve">Gap in weeks: </w:t>
      </w:r>
      <m:oMath>
        <m:r>
          <m:rPr>
            <m:sty m:val="p"/>
          </m:rPr>
          <w:rPr>
            <w:rFonts w:ascii="Cambria Math" w:hAnsi="Cambria Math"/>
            <w:lang w:val="en-US"/>
          </w:rPr>
          <m:t>Δ</m:t>
        </m:r>
        <m:r>
          <w:rPr>
            <w:rFonts w:ascii="Cambria Math" w:hAnsi="Cambria Math"/>
            <w:lang w:val="en-US"/>
          </w:rPr>
          <m:t>t=</m:t>
        </m:r>
        <m:sSub>
          <m:sSubPr>
            <m:ctrlPr>
              <w:rPr>
                <w:rFonts w:ascii="Cambria Math" w:hAnsi="Cambria Math"/>
                <w:bCs/>
                <w:lang w:val="en-US"/>
              </w:rPr>
            </m:ctrlPr>
          </m:sSubPr>
          <m:e>
            <m:r>
              <w:rPr>
                <w:rFonts w:ascii="Cambria Math" w:hAnsi="Cambria Math"/>
                <w:lang w:val="en-US"/>
              </w:rPr>
              <m:t>c</m:t>
            </m:r>
          </m:e>
          <m:sub>
            <m:r>
              <w:rPr>
                <w:rFonts w:ascii="Cambria Math" w:hAnsi="Cambria Math"/>
                <w:lang w:val="en-US"/>
              </w:rPr>
              <m:t>2</m:t>
            </m:r>
          </m:sub>
        </m:sSub>
        <m:r>
          <w:rPr>
            <w:rFonts w:ascii="Cambria Math" w:hAnsi="Cambria Math"/>
            <w:lang w:val="en-US"/>
          </w:rPr>
          <m:t>-</m:t>
        </m:r>
        <m:sSub>
          <m:sSubPr>
            <m:ctrlPr>
              <w:rPr>
                <w:rFonts w:ascii="Cambria Math" w:hAnsi="Cambria Math"/>
                <w:bCs/>
                <w:lang w:val="en-US"/>
              </w:rPr>
            </m:ctrlPr>
          </m:sSubPr>
          <m:e>
            <m:r>
              <w:rPr>
                <w:rFonts w:ascii="Cambria Math" w:hAnsi="Cambria Math"/>
                <w:lang w:val="en-US"/>
              </w:rPr>
              <m:t>c</m:t>
            </m:r>
          </m:e>
          <m:sub>
            <m:r>
              <w:rPr>
                <w:rFonts w:ascii="Cambria Math" w:hAnsi="Cambria Math"/>
                <w:lang w:val="en-US"/>
              </w:rPr>
              <m:t>1</m:t>
            </m:r>
          </m:sub>
        </m:sSub>
      </m:oMath>
    </w:p>
    <w:p w14:paraId="624A0F08" w14:textId="77777777" w:rsidR="00AB1FA0" w:rsidRPr="00AB1FA0" w:rsidRDefault="00AB1FA0" w:rsidP="00AB1FA0">
      <w:pPr>
        <w:pStyle w:val="NoSpacing"/>
        <w:numPr>
          <w:ilvl w:val="0"/>
          <w:numId w:val="10"/>
        </w:numPr>
        <w:rPr>
          <w:bCs/>
          <w:lang w:val="en-US"/>
        </w:rPr>
      </w:pPr>
      <w:r w:rsidRPr="00AB1FA0">
        <w:rPr>
          <w:b/>
          <w:bCs/>
          <w:lang w:val="en-US"/>
        </w:rPr>
        <w:t>Baseline slope (beta)</w:t>
      </w:r>
    </w:p>
    <w:p w14:paraId="4E2F7F12" w14:textId="7ADF0DFE" w:rsidR="00AB1FA0" w:rsidRPr="00AB1FA0" w:rsidRDefault="00000000" w:rsidP="00AB1FA0">
      <w:pPr>
        <w:pStyle w:val="NoSpacing"/>
        <w:rPr>
          <w:bCs/>
          <w:lang w:val="en-US"/>
        </w:rPr>
      </w:pPr>
      <m:oMathPara>
        <m:oMath>
          <m:sSub>
            <m:sSubPr>
              <m:ctrlPr>
                <w:rPr>
                  <w:rFonts w:ascii="Cambria Math" w:hAnsi="Cambria Math"/>
                  <w:bCs/>
                  <w:lang w:val="en-US"/>
                </w:rPr>
              </m:ctrlPr>
            </m:sSubPr>
            <m:e>
              <m:r>
                <w:rPr>
                  <w:rFonts w:ascii="Cambria Math" w:hAnsi="Cambria Math"/>
                  <w:lang w:val="en-US"/>
                </w:rPr>
                <m:t>β</m:t>
              </m:r>
            </m:e>
            <m:sub>
              <m:r>
                <w:rPr>
                  <w:rFonts w:ascii="Cambria Math" w:hAnsi="Cambria Math"/>
                  <w:lang w:val="en-US"/>
                </w:rPr>
                <m:t>g</m:t>
              </m:r>
            </m:sub>
          </m:sSub>
          <m:r>
            <w:rPr>
              <w:rFonts w:ascii="Cambria Math" w:hAnsi="Cambria Math"/>
              <w:lang w:val="en-US"/>
            </w:rPr>
            <m:t>=</m:t>
          </m:r>
          <m:f>
            <m:fPr>
              <m:ctrlPr>
                <w:rPr>
                  <w:rFonts w:ascii="Cambria Math" w:hAnsi="Cambria Math"/>
                  <w:bCs/>
                  <w:lang w:val="en-US"/>
                </w:rPr>
              </m:ctrlPr>
            </m:fPr>
            <m:num>
              <m:r>
                <m:rPr>
                  <m:sty m:val="p"/>
                </m:rPr>
                <w:rPr>
                  <w:rFonts w:ascii="Cambria Math" w:hAnsi="Cambria Math"/>
                  <w:lang w:val="en-US"/>
                </w:rPr>
                <m:t>l</m:t>
              </m:r>
              <m:func>
                <m:funcPr>
                  <m:ctrlPr>
                    <w:rPr>
                      <w:rFonts w:ascii="Cambria Math" w:hAnsi="Cambria Math"/>
                      <w:bCs/>
                      <w:i/>
                      <w:lang w:val="en-US"/>
                    </w:rPr>
                  </m:ctrlPr>
                </m:funcPr>
                <m:fName>
                  <m:r>
                    <m:rPr>
                      <m:sty m:val="p"/>
                    </m:rPr>
                    <w:rPr>
                      <w:rFonts w:ascii="Cambria Math" w:hAnsi="Cambria Math"/>
                      <w:lang w:val="en-US"/>
                    </w:rPr>
                    <m:t>n</m:t>
                  </m:r>
                  <m:ctrlPr>
                    <w:rPr>
                      <w:rFonts w:ascii="Cambria Math" w:hAnsi="Cambria Math"/>
                      <w:bCs/>
                      <w:lang w:val="en-US"/>
                    </w:rPr>
                  </m:ctrlPr>
                </m:fName>
                <m:e>
                  <m:sSub>
                    <m:sSubPr>
                      <m:ctrlPr>
                        <w:rPr>
                          <w:rFonts w:ascii="Cambria Math" w:hAnsi="Cambria Math"/>
                          <w:bCs/>
                          <w:lang w:val="en-US"/>
                        </w:rPr>
                      </m:ctrlPr>
                    </m:sSubPr>
                    <m:e>
                      <m:r>
                        <w:rPr>
                          <w:rFonts w:ascii="Cambria Math" w:hAnsi="Cambria Math"/>
                          <w:lang w:val="en-US"/>
                        </w:rPr>
                        <m:t>μ</m:t>
                      </m:r>
                    </m:e>
                    <m:sub>
                      <m:r>
                        <w:rPr>
                          <w:rFonts w:ascii="Cambria Math" w:hAnsi="Cambria Math"/>
                          <w:lang w:val="en-US"/>
                        </w:rPr>
                        <m:t>g,2</m:t>
                      </m:r>
                    </m:sub>
                  </m:sSub>
                </m:e>
              </m:func>
              <m:r>
                <w:rPr>
                  <w:rFonts w:ascii="Cambria Math" w:hAnsi="Cambria Math"/>
                  <w:lang w:val="en-US"/>
                </w:rPr>
                <m:t>-</m:t>
              </m:r>
              <m:r>
                <m:rPr>
                  <m:sty m:val="p"/>
                </m:rPr>
                <w:rPr>
                  <w:rFonts w:ascii="Cambria Math" w:hAnsi="Cambria Math"/>
                  <w:lang w:val="en-US"/>
                </w:rPr>
                <m:t>l</m:t>
              </m:r>
              <m:func>
                <m:funcPr>
                  <m:ctrlPr>
                    <w:rPr>
                      <w:rFonts w:ascii="Cambria Math" w:hAnsi="Cambria Math"/>
                      <w:bCs/>
                      <w:i/>
                      <w:lang w:val="en-US"/>
                    </w:rPr>
                  </m:ctrlPr>
                </m:funcPr>
                <m:fName>
                  <m:r>
                    <m:rPr>
                      <m:sty m:val="p"/>
                    </m:rPr>
                    <w:rPr>
                      <w:rFonts w:ascii="Cambria Math" w:hAnsi="Cambria Math"/>
                      <w:lang w:val="en-US"/>
                    </w:rPr>
                    <m:t>n</m:t>
                  </m:r>
                  <m:ctrlPr>
                    <w:rPr>
                      <w:rFonts w:ascii="Cambria Math" w:hAnsi="Cambria Math"/>
                      <w:bCs/>
                      <w:lang w:val="en-US"/>
                    </w:rPr>
                  </m:ctrlPr>
                </m:fName>
                <m:e>
                  <m:sSub>
                    <m:sSubPr>
                      <m:ctrlPr>
                        <w:rPr>
                          <w:rFonts w:ascii="Cambria Math" w:hAnsi="Cambria Math"/>
                          <w:bCs/>
                          <w:lang w:val="en-US"/>
                        </w:rPr>
                      </m:ctrlPr>
                    </m:sSubPr>
                    <m:e>
                      <m:r>
                        <w:rPr>
                          <w:rFonts w:ascii="Cambria Math" w:hAnsi="Cambria Math"/>
                          <w:lang w:val="en-US"/>
                        </w:rPr>
                        <m:t>μ</m:t>
                      </m:r>
                    </m:e>
                    <m:sub>
                      <m:r>
                        <w:rPr>
                          <w:rFonts w:ascii="Cambria Math" w:hAnsi="Cambria Math"/>
                          <w:lang w:val="en-US"/>
                        </w:rPr>
                        <m:t>g,1</m:t>
                      </m:r>
                    </m:sub>
                  </m:sSub>
                </m:e>
              </m:func>
            </m:num>
            <m:den>
              <m:r>
                <m:rPr>
                  <m:sty m:val="p"/>
                </m:rPr>
                <w:rPr>
                  <w:rFonts w:ascii="Cambria Math" w:hAnsi="Cambria Math"/>
                  <w:lang w:val="en-US"/>
                </w:rPr>
                <m:t>Δ</m:t>
              </m:r>
              <m:r>
                <w:rPr>
                  <w:rFonts w:ascii="Cambria Math" w:hAnsi="Cambria Math"/>
                  <w:lang w:val="en-US"/>
                </w:rPr>
                <m:t>t</m:t>
              </m:r>
            </m:den>
          </m:f>
          <m:r>
            <m:rPr>
              <m:sty m:val="p"/>
            </m:rPr>
            <w:rPr>
              <w:lang w:val="en-US"/>
            </w:rPr>
            <w:br/>
          </m:r>
        </m:oMath>
      </m:oMathPara>
    </w:p>
    <w:p w14:paraId="0F2AB53A" w14:textId="65C1B78D" w:rsidR="00AB1FA0" w:rsidRPr="00AB1FA0" w:rsidRDefault="00AB1FA0" w:rsidP="00AB1FA0">
      <w:pPr>
        <w:pStyle w:val="NoSpacing"/>
        <w:numPr>
          <w:ilvl w:val="0"/>
          <w:numId w:val="11"/>
        </w:numPr>
        <w:rPr>
          <w:bCs/>
          <w:lang w:val="en-US"/>
        </w:rPr>
      </w:pPr>
      <w:r w:rsidRPr="00AB1FA0">
        <w:rPr>
          <w:b/>
          <w:bCs/>
          <w:lang w:val="en-US"/>
        </w:rPr>
        <w:t>Baseline trend and normalization</w:t>
      </w:r>
      <w:r w:rsidRPr="00AB1FA0">
        <w:rPr>
          <w:bCs/>
          <w:lang w:val="en-US"/>
        </w:rPr>
        <w:br/>
        <w:t xml:space="preserve">Anchor at </w:t>
      </w:r>
      <m:oMath>
        <m:sSub>
          <m:sSubPr>
            <m:ctrlPr>
              <w:rPr>
                <w:rFonts w:ascii="Cambria Math" w:hAnsi="Cambria Math"/>
                <w:bCs/>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m:t>
        </m:r>
        <m:sSub>
          <m:sSubPr>
            <m:ctrlPr>
              <w:rPr>
                <w:rFonts w:ascii="Cambria Math" w:hAnsi="Cambria Math"/>
                <w:bCs/>
                <w:lang w:val="en-US"/>
              </w:rPr>
            </m:ctrlPr>
          </m:sSubPr>
          <m:e>
            <m:r>
              <w:rPr>
                <w:rFonts w:ascii="Cambria Math" w:hAnsi="Cambria Math"/>
                <w:lang w:val="en-US"/>
              </w:rPr>
              <m:t>c</m:t>
            </m:r>
          </m:e>
          <m:sub>
            <m:r>
              <w:rPr>
                <w:rFonts w:ascii="Cambria Math" w:hAnsi="Cambria Math"/>
                <w:lang w:val="en-US"/>
              </w:rPr>
              <m:t>2</m:t>
            </m:r>
          </m:sub>
        </m:sSub>
      </m:oMath>
      <w:r w:rsidRPr="00AB1FA0">
        <w:rPr>
          <w:bCs/>
          <w:lang w:val="en-US"/>
        </w:rPr>
        <w:t>and define</w:t>
      </w:r>
    </w:p>
    <w:p w14:paraId="747723D2" w14:textId="4D490E5E" w:rsidR="00AB1FA0" w:rsidRPr="00AB1FA0" w:rsidRDefault="00000000" w:rsidP="00AB1FA0">
      <w:pPr>
        <w:pStyle w:val="NoSpacing"/>
        <w:rPr>
          <w:bCs/>
          <w:lang w:val="en-US"/>
        </w:rPr>
      </w:pPr>
      <m:oMathPara>
        <m:oMath>
          <m:sSubSup>
            <m:sSubSupPr>
              <m:ctrlPr>
                <w:rPr>
                  <w:rFonts w:ascii="Cambria Math" w:hAnsi="Cambria Math"/>
                  <w:bCs/>
                  <w:lang w:val="en-US"/>
                </w:rPr>
              </m:ctrlPr>
            </m:sSubSupPr>
            <m:e>
              <m:acc>
                <m:accPr>
                  <m:ctrlPr>
                    <w:rPr>
                      <w:rFonts w:ascii="Cambria Math" w:hAnsi="Cambria Math"/>
                      <w:bCs/>
                      <w:lang w:val="en-US"/>
                    </w:rPr>
                  </m:ctrlPr>
                </m:accPr>
                <m:e>
                  <m:r>
                    <w:rPr>
                      <w:rFonts w:ascii="Cambria Math" w:hAnsi="Cambria Math"/>
                      <w:lang w:val="en-US"/>
                    </w:rPr>
                    <m:t>h</m:t>
                  </m:r>
                </m:e>
              </m:acc>
            </m:e>
            <m:sub>
              <m:r>
                <w:rPr>
                  <w:rFonts w:ascii="Cambria Math" w:hAnsi="Cambria Math"/>
                  <w:lang w:val="en-US"/>
                </w:rPr>
                <m:t>g</m:t>
              </m:r>
            </m:sub>
            <m:sup>
              <m:r>
                <m:rPr>
                  <m:nor/>
                </m:rPr>
                <w:rPr>
                  <w:bCs/>
                  <w:lang w:val="en-US"/>
                </w:rPr>
                <m:t>base</m:t>
              </m:r>
            </m:sup>
          </m:sSubSup>
          <m:d>
            <m:dPr>
              <m:ctrlPr>
                <w:rPr>
                  <w:rFonts w:ascii="Cambria Math" w:hAnsi="Cambria Math"/>
                  <w:bCs/>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bCs/>
                  <w:lang w:val="en-US"/>
                </w:rPr>
              </m:ctrlPr>
            </m:sSubPr>
            <m:e>
              <m:r>
                <w:rPr>
                  <w:rFonts w:ascii="Cambria Math" w:hAnsi="Cambria Math"/>
                  <w:lang w:val="en-US"/>
                </w:rPr>
                <m:t>μ</m:t>
              </m:r>
            </m:e>
            <m:sub>
              <m:r>
                <w:rPr>
                  <w:rFonts w:ascii="Cambria Math" w:hAnsi="Cambria Math"/>
                  <w:lang w:val="en-US"/>
                </w:rPr>
                <m:t>g,2</m:t>
              </m:r>
            </m:sub>
          </m:sSub>
          <m:r>
            <m:rPr>
              <m:nor/>
            </m:rPr>
            <w:rPr>
              <w:rFonts w:ascii="Arial" w:hAnsi="Arial" w:cs="Arial"/>
              <w:bCs/>
              <w:lang w:val="en-US"/>
            </w:rPr>
            <m:t> </m:t>
          </m:r>
          <m:r>
            <m:rPr>
              <m:sty m:val="p"/>
            </m:rPr>
            <w:rPr>
              <w:rFonts w:ascii="Cambria Math" w:hAnsi="Cambria Math"/>
              <w:lang w:val="en-US"/>
            </w:rPr>
            <m:t>ex</m:t>
          </m:r>
          <m:func>
            <m:funcPr>
              <m:ctrlPr>
                <w:rPr>
                  <w:rFonts w:ascii="Cambria Math" w:hAnsi="Cambria Math"/>
                  <w:bCs/>
                  <w:i/>
                  <w:lang w:val="en-US"/>
                </w:rPr>
              </m:ctrlPr>
            </m:funcPr>
            <m:fName>
              <m:r>
                <m:rPr>
                  <m:sty m:val="p"/>
                </m:rPr>
                <w:rPr>
                  <w:rFonts w:ascii="Cambria Math" w:hAnsi="Cambria Math"/>
                  <w:lang w:val="en-US"/>
                </w:rPr>
                <m:t>p</m:t>
              </m:r>
              <m:ctrlPr>
                <w:rPr>
                  <w:rFonts w:ascii="Cambria Math" w:hAnsi="Cambria Math"/>
                  <w:bCs/>
                  <w:lang w:val="en-US"/>
                </w:rPr>
              </m:ctrlPr>
            </m:fName>
            <m:e>
              <m:d>
                <m:dPr>
                  <m:begChr m:val="["/>
                  <m:endChr m:val="]"/>
                  <m:ctrlPr>
                    <w:rPr>
                      <w:rFonts w:ascii="Cambria Math" w:hAnsi="Cambria Math"/>
                      <w:bCs/>
                      <w:i/>
                      <w:lang w:val="en-US"/>
                    </w:rPr>
                  </m:ctrlPr>
                </m:dPr>
                <m:e>
                  <m:sSub>
                    <m:sSubPr>
                      <m:ctrlPr>
                        <w:rPr>
                          <w:rFonts w:ascii="Cambria Math" w:hAnsi="Cambria Math"/>
                          <w:bCs/>
                          <w:lang w:val="en-US"/>
                        </w:rPr>
                      </m:ctrlPr>
                    </m:sSubPr>
                    <m:e>
                      <m:r>
                        <w:rPr>
                          <w:rFonts w:ascii="Cambria Math" w:hAnsi="Cambria Math"/>
                          <w:lang w:val="en-US"/>
                        </w:rPr>
                        <m:t>β</m:t>
                      </m:r>
                    </m:e>
                    <m:sub>
                      <m:r>
                        <w:rPr>
                          <w:rFonts w:ascii="Cambria Math" w:hAnsi="Cambria Math"/>
                          <w:lang w:val="en-US"/>
                        </w:rPr>
                        <m:t>g</m:t>
                      </m:r>
                    </m:sub>
                  </m:sSub>
                  <m:d>
                    <m:dPr>
                      <m:ctrlPr>
                        <w:rPr>
                          <w:rFonts w:ascii="Cambria Math" w:hAnsi="Cambria Math"/>
                          <w:bCs/>
                          <w:i/>
                          <w:lang w:val="en-US"/>
                        </w:rPr>
                      </m:ctrlPr>
                    </m:dPr>
                    <m:e>
                      <m:r>
                        <w:rPr>
                          <w:rFonts w:ascii="Cambria Math" w:hAnsi="Cambria Math"/>
                          <w:lang w:val="en-US"/>
                        </w:rPr>
                        <m:t>t-</m:t>
                      </m:r>
                      <m:sSub>
                        <m:sSubPr>
                          <m:ctrlPr>
                            <w:rPr>
                              <w:rFonts w:ascii="Cambria Math" w:hAnsi="Cambria Math"/>
                              <w:bCs/>
                              <w:lang w:val="en-US"/>
                            </w:rPr>
                          </m:ctrlPr>
                        </m:sSubPr>
                        <m:e>
                          <m:r>
                            <w:rPr>
                              <w:rFonts w:ascii="Cambria Math" w:hAnsi="Cambria Math"/>
                              <w:lang w:val="en-US"/>
                            </w:rPr>
                            <m:t>c</m:t>
                          </m:r>
                        </m:e>
                        <m:sub>
                          <m:r>
                            <w:rPr>
                              <w:rFonts w:ascii="Cambria Math" w:hAnsi="Cambria Math"/>
                              <w:lang w:val="en-US"/>
                            </w:rPr>
                            <m:t>2</m:t>
                          </m:r>
                        </m:sub>
                      </m:sSub>
                    </m:e>
                  </m:d>
                </m:e>
              </m:d>
            </m:e>
          </m:func>
          <m:r>
            <m:rPr>
              <m:sty m:val="p"/>
            </m:rPr>
            <w:rPr>
              <w:rFonts w:ascii="Cambria Math" w:hAnsi="Cambria Math"/>
              <w:lang w:val="en-US"/>
            </w:rPr>
            <m:t>.</m:t>
          </m:r>
          <m:r>
            <m:rPr>
              <m:sty m:val="p"/>
            </m:rPr>
            <w:rPr>
              <w:lang w:val="en-US"/>
            </w:rPr>
            <w:br/>
          </m:r>
        </m:oMath>
      </m:oMathPara>
    </w:p>
    <w:p w14:paraId="19A62082" w14:textId="77777777" w:rsidR="00AB1FA0" w:rsidRPr="00AB1FA0" w:rsidRDefault="00AB1FA0" w:rsidP="00AB1FA0">
      <w:pPr>
        <w:pStyle w:val="NoSpacing"/>
        <w:rPr>
          <w:bCs/>
          <w:lang w:val="en-US"/>
        </w:rPr>
      </w:pPr>
      <w:r w:rsidRPr="00AB1FA0">
        <w:rPr>
          <w:bCs/>
          <w:lang w:val="en-US"/>
        </w:rPr>
        <w:t>Normalize hazards by</w:t>
      </w:r>
    </w:p>
    <w:p w14:paraId="4BAB84C7" w14:textId="4ABD2DB1" w:rsidR="00A3696B" w:rsidRPr="00405221" w:rsidRDefault="00000000" w:rsidP="00405221">
      <w:pPr>
        <w:pStyle w:val="NoSpacing"/>
        <w:rPr>
          <w:bCs/>
        </w:rPr>
      </w:pPr>
      <m:oMathPara>
        <m:oMath>
          <m:sSub>
            <m:sSubPr>
              <m:ctrlPr>
                <w:rPr>
                  <w:rFonts w:ascii="Cambria Math" w:hAnsi="Cambria Math"/>
                  <w:bCs/>
                  <w:lang w:val="en-US"/>
                </w:rPr>
              </m:ctrlPr>
            </m:sSubPr>
            <m:e>
              <m:acc>
                <m:accPr>
                  <m:chr m:val="̃"/>
                  <m:ctrlPr>
                    <w:rPr>
                      <w:rFonts w:ascii="Cambria Math" w:hAnsi="Cambria Math"/>
                      <w:bCs/>
                      <w:lang w:val="en-US"/>
                    </w:rPr>
                  </m:ctrlPr>
                </m:accPr>
                <m:e>
                  <m:r>
                    <w:rPr>
                      <w:rFonts w:ascii="Cambria Math" w:hAnsi="Cambria Math"/>
                      <w:lang w:val="en-US"/>
                    </w:rPr>
                    <m:t>h</m:t>
                  </m:r>
                </m:e>
              </m:acc>
            </m:e>
            <m:sub>
              <m:r>
                <w:rPr>
                  <w:rFonts w:ascii="Cambria Math" w:hAnsi="Cambria Math"/>
                  <w:lang w:val="en-US"/>
                </w:rPr>
                <m:t>g</m:t>
              </m:r>
            </m:sub>
          </m:sSub>
          <m:d>
            <m:dPr>
              <m:ctrlPr>
                <w:rPr>
                  <w:rFonts w:ascii="Cambria Math" w:hAnsi="Cambria Math"/>
                  <w:bCs/>
                  <w:i/>
                  <w:lang w:val="en-US"/>
                </w:rPr>
              </m:ctrlPr>
            </m:dPr>
            <m:e>
              <m:r>
                <w:rPr>
                  <w:rFonts w:ascii="Cambria Math" w:hAnsi="Cambria Math"/>
                  <w:lang w:val="en-US"/>
                </w:rPr>
                <m:t>t</m:t>
              </m:r>
            </m:e>
          </m:d>
          <m:r>
            <w:rPr>
              <w:rFonts w:ascii="Cambria Math" w:hAnsi="Cambria Math"/>
              <w:lang w:val="en-US"/>
            </w:rPr>
            <m:t>=</m:t>
          </m:r>
          <m:f>
            <m:fPr>
              <m:ctrlPr>
                <w:rPr>
                  <w:rFonts w:ascii="Cambria Math" w:hAnsi="Cambria Math"/>
                  <w:bCs/>
                  <w:lang w:val="en-US"/>
                </w:rPr>
              </m:ctrlPr>
            </m:fPr>
            <m:num>
              <m:sSub>
                <m:sSubPr>
                  <m:ctrlPr>
                    <w:rPr>
                      <w:rFonts w:ascii="Cambria Math" w:hAnsi="Cambria Math"/>
                      <w:bCs/>
                      <w:lang w:val="en-US"/>
                    </w:rPr>
                  </m:ctrlPr>
                </m:sSubPr>
                <m:e>
                  <m:r>
                    <w:rPr>
                      <w:rFonts w:ascii="Cambria Math" w:hAnsi="Cambria Math"/>
                      <w:lang w:val="en-US"/>
                    </w:rPr>
                    <m:t>h</m:t>
                  </m:r>
                </m:e>
                <m:sub>
                  <m:r>
                    <w:rPr>
                      <w:rFonts w:ascii="Cambria Math" w:hAnsi="Cambria Math"/>
                      <w:lang w:val="en-US"/>
                    </w:rPr>
                    <m:t>g</m:t>
                  </m:r>
                </m:sub>
              </m:sSub>
              <m:d>
                <m:dPr>
                  <m:ctrlPr>
                    <w:rPr>
                      <w:rFonts w:ascii="Cambria Math" w:hAnsi="Cambria Math"/>
                      <w:bCs/>
                      <w:i/>
                      <w:lang w:val="en-US"/>
                    </w:rPr>
                  </m:ctrlPr>
                </m:dPr>
                <m:e>
                  <m:r>
                    <w:rPr>
                      <w:rFonts w:ascii="Cambria Math" w:hAnsi="Cambria Math"/>
                      <w:lang w:val="en-US"/>
                    </w:rPr>
                    <m:t>t</m:t>
                  </m:r>
                </m:e>
              </m:d>
            </m:num>
            <m:den>
              <m:sSubSup>
                <m:sSubSupPr>
                  <m:ctrlPr>
                    <w:rPr>
                      <w:rFonts w:ascii="Cambria Math" w:hAnsi="Cambria Math"/>
                      <w:bCs/>
                      <w:lang w:val="en-US"/>
                    </w:rPr>
                  </m:ctrlPr>
                </m:sSubSupPr>
                <m:e>
                  <m:acc>
                    <m:accPr>
                      <m:ctrlPr>
                        <w:rPr>
                          <w:rFonts w:ascii="Cambria Math" w:hAnsi="Cambria Math"/>
                          <w:bCs/>
                          <w:lang w:val="en-US"/>
                        </w:rPr>
                      </m:ctrlPr>
                    </m:accPr>
                    <m:e>
                      <m:r>
                        <w:rPr>
                          <w:rFonts w:ascii="Cambria Math" w:hAnsi="Cambria Math"/>
                          <w:lang w:val="en-US"/>
                        </w:rPr>
                        <m:t>h</m:t>
                      </m:r>
                    </m:e>
                  </m:acc>
                </m:e>
                <m:sub>
                  <m:r>
                    <w:rPr>
                      <w:rFonts w:ascii="Cambria Math" w:hAnsi="Cambria Math"/>
                      <w:lang w:val="en-US"/>
                    </w:rPr>
                    <m:t>g</m:t>
                  </m:r>
                </m:sub>
                <m:sup>
                  <m:r>
                    <m:rPr>
                      <m:nor/>
                    </m:rPr>
                    <w:rPr>
                      <w:bCs/>
                      <w:lang w:val="en-US"/>
                    </w:rPr>
                    <m:t>base</m:t>
                  </m:r>
                </m:sup>
              </m:sSubSup>
              <m:d>
                <m:dPr>
                  <m:ctrlPr>
                    <w:rPr>
                      <w:rFonts w:ascii="Cambria Math" w:hAnsi="Cambria Math"/>
                      <w:bCs/>
                      <w:i/>
                      <w:lang w:val="en-US"/>
                    </w:rPr>
                  </m:ctrlPr>
                </m:dPr>
                <m:e>
                  <m:r>
                    <w:rPr>
                      <w:rFonts w:ascii="Cambria Math" w:hAnsi="Cambria Math"/>
                      <w:lang w:val="en-US"/>
                    </w:rPr>
                    <m:t>t</m:t>
                  </m:r>
                </m:e>
              </m:d>
            </m:den>
          </m:f>
          <m:r>
            <m:rPr>
              <m:sty m:val="p"/>
            </m:rPr>
            <w:rPr>
              <w:rFonts w:ascii="Cambria Math" w:hAnsi="Cambria Math"/>
              <w:lang w:val="en-US"/>
            </w:rPr>
            <m:t>.</m:t>
          </m:r>
          <m:r>
            <m:rPr>
              <m:sty m:val="p"/>
            </m:rPr>
            <w:rPr>
              <w:lang w:val="en-US"/>
            </w:rPr>
            <w:br/>
          </m:r>
        </m:oMath>
      </m:oMathPara>
    </w:p>
    <w:p w14:paraId="0E11A6F4" w14:textId="77777777" w:rsidR="00A3696B" w:rsidRDefault="00A3696B" w:rsidP="00A3696B">
      <w:pPr>
        <w:rPr>
          <w:b/>
          <w:bCs/>
          <w:lang w:val="en-US"/>
        </w:rPr>
      </w:pPr>
      <w:r w:rsidRPr="00104F46">
        <w:rPr>
          <w:b/>
          <w:bCs/>
          <w:lang w:val="en-US"/>
        </w:rPr>
        <w:t>Step 5 – Compute the KCOR(t) (baseline-normalized cumulative hazard ratio)</w:t>
      </w:r>
    </w:p>
    <w:p w14:paraId="588E9AFA" w14:textId="11CB17A0" w:rsidR="00405221" w:rsidRDefault="00873CBC" w:rsidP="00405221">
      <w:pPr>
        <w:pStyle w:val="NoSpacing"/>
      </w:pPr>
      <w:r>
        <w:t>Compute the</w:t>
      </w:r>
      <w:r w:rsidR="00405221">
        <w:t xml:space="preserve"> cumulative hazard for each group during a </w:t>
      </w:r>
      <w:r>
        <w:t xml:space="preserve">short (e.g., 4 or 5 week) </w:t>
      </w:r>
      <w:r w:rsidR="00405221">
        <w:t xml:space="preserve">baseline "quiet" period when </w:t>
      </w:r>
      <w:r>
        <w:t>there is not likely to be a differential stress on the cohorts, e.g., during a low COVID period</w:t>
      </w:r>
      <w:r w:rsidR="00405221">
        <w:t xml:space="preserve">. </w:t>
      </w:r>
      <w:r>
        <w:t>This represents a “baseline” cumulative hazard ratio. At each point t, compute the ratio of the cumulative hazards of the two cohorts and divide that by the baseline cumulative hazard ratio.</w:t>
      </w:r>
      <w:r w:rsidR="00405221">
        <w:t xml:space="preserve"> </w:t>
      </w:r>
    </w:p>
    <w:p w14:paraId="16705CF7" w14:textId="77777777" w:rsidR="00405221" w:rsidRPr="00104F46" w:rsidRDefault="00405221" w:rsidP="00405221">
      <w:pPr>
        <w:pStyle w:val="NoSpacing"/>
      </w:pPr>
    </w:p>
    <w:p w14:paraId="7453CBE7" w14:textId="2209A854" w:rsidR="00227FDE" w:rsidRPr="00227FDE" w:rsidRDefault="00873CBC" w:rsidP="00227FDE">
      <w:pPr>
        <w:tabs>
          <w:tab w:val="center" w:pos="4513"/>
        </w:tabs>
        <w:rPr>
          <w:lang w:val="en-US"/>
        </w:rPr>
      </w:pPr>
      <w:r>
        <w:rPr>
          <w:lang w:val="en-US"/>
        </w:rPr>
        <w:t>More formally, l</w:t>
      </w:r>
      <w:r w:rsidR="00227FDE" w:rsidRPr="00227FDE">
        <w:rPr>
          <w:lang w:val="en-US"/>
        </w:rPr>
        <w:t xml:space="preserve">et </w:t>
      </w:r>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g</m:t>
            </m:r>
          </m:sub>
        </m:sSub>
        <m:d>
          <m:dPr>
            <m:ctrlPr>
              <w:rPr>
                <w:rFonts w:ascii="Cambria Math" w:hAnsi="Cambria Math"/>
                <w:i/>
                <w:lang w:val="en-US"/>
              </w:rPr>
            </m:ctrlPr>
          </m:dPr>
          <m:e>
            <m:r>
              <w:rPr>
                <w:rFonts w:ascii="Cambria Math" w:hAnsi="Cambria Math"/>
                <w:lang w:val="en-US"/>
              </w:rPr>
              <m:t>t</m:t>
            </m:r>
          </m:e>
        </m:d>
      </m:oMath>
      <w:r w:rsidR="00227FDE" w:rsidRPr="00227FDE">
        <w:rPr>
          <w:lang w:val="en-US"/>
        </w:rPr>
        <w:t xml:space="preserve">be the </w:t>
      </w:r>
      <w:r w:rsidR="00227FDE" w:rsidRPr="00227FDE">
        <w:rPr>
          <w:b/>
          <w:bCs/>
          <w:lang w:val="en-US"/>
        </w:rPr>
        <w:t>slope-normalized hazard</w:t>
      </w:r>
      <w:r w:rsidR="00227FDE" w:rsidRPr="00227FDE">
        <w:rPr>
          <w:lang w:val="en-US"/>
        </w:rPr>
        <w:t xml:space="preserve"> for group </w:t>
      </w:r>
      <m:oMath>
        <m:r>
          <w:rPr>
            <w:rFonts w:ascii="Cambria Math" w:hAnsi="Cambria Math"/>
            <w:lang w:val="en-US"/>
          </w:rPr>
          <m:t>g∈T,U</m:t>
        </m:r>
      </m:oMath>
      <w:r w:rsidR="00227FDE" w:rsidRPr="00227FDE">
        <w:rPr>
          <w:lang w:val="en-US"/>
        </w:rPr>
        <w:t xml:space="preserve">(treated, untreated). </w:t>
      </w:r>
      <w:proofErr w:type="gramStart"/>
      <w:r w:rsidR="00227FDE" w:rsidRPr="00227FDE">
        <w:rPr>
          <w:lang w:val="en-US"/>
        </w:rPr>
        <w:t>Form</w:t>
      </w:r>
      <w:proofErr w:type="gramEnd"/>
      <w:r w:rsidR="00227FDE" w:rsidRPr="00227FDE">
        <w:rPr>
          <w:lang w:val="en-US"/>
        </w:rPr>
        <w:t xml:space="preserve"> </w:t>
      </w:r>
      <w:r w:rsidR="00227FDE" w:rsidRPr="00227FDE">
        <w:rPr>
          <w:b/>
          <w:bCs/>
          <w:lang w:val="en-US"/>
        </w:rPr>
        <w:t>cumulative hazards</w:t>
      </w:r>
      <w:r w:rsidR="00227FDE" w:rsidRPr="00227FDE">
        <w:rPr>
          <w:lang w:val="en-US"/>
        </w:rPr>
        <w:t xml:space="preserve"> from the index week through week </w:t>
      </w:r>
      <m:oMath>
        <m:r>
          <w:rPr>
            <w:rFonts w:ascii="Cambria Math" w:hAnsi="Cambria Math"/>
            <w:lang w:val="en-US"/>
          </w:rPr>
          <m:t>t</m:t>
        </m:r>
      </m:oMath>
      <w:r w:rsidR="00227FDE" w:rsidRPr="00227FDE">
        <w:rPr>
          <w:lang w:val="en-US"/>
        </w:rPr>
        <w:t>:</w:t>
      </w:r>
    </w:p>
    <w:p w14:paraId="3B4A059F" w14:textId="49FFB9B7" w:rsidR="00A3696B" w:rsidRPr="00104F46" w:rsidRDefault="00000000" w:rsidP="00227FDE">
      <w:pPr>
        <w:tabs>
          <w:tab w:val="center" w:pos="4513"/>
        </w:tabs>
        <w:jc w:val="center"/>
        <w:rPr>
          <w:lang w:val="en-US"/>
        </w:rPr>
      </w:pPr>
      <m:oMathPara>
        <m:oMath>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g</m:t>
              </m:r>
            </m:sub>
          </m:sSub>
          <m:d>
            <m:dPr>
              <m:ctrlPr>
                <w:rPr>
                  <w:rFonts w:ascii="Cambria Math" w:hAnsi="Cambria Math"/>
                  <w:i/>
                  <w:lang w:val="en-US"/>
                </w:rPr>
              </m:ctrlPr>
            </m:dPr>
            <m:e>
              <m:r>
                <w:rPr>
                  <w:rFonts w:ascii="Cambria Math" w:hAnsi="Cambria Math"/>
                  <w:lang w:val="en-US"/>
                </w:rPr>
                <m:t>t</m:t>
              </m:r>
            </m:e>
          </m:d>
          <m:r>
            <m:rPr>
              <m:nor/>
            </m:rPr>
            <w:rPr>
              <w:rFonts w:ascii="Arial" w:hAnsi="Arial" w:cs="Arial"/>
              <w:lang w:val="en-US"/>
            </w:rPr>
            <m:t>  </m:t>
          </m:r>
          <m:r>
            <w:rPr>
              <w:rFonts w:ascii="Cambria Math" w:hAnsi="Cambria Math"/>
              <w:lang w:val="en-US"/>
            </w:rPr>
            <m:t>=</m:t>
          </m:r>
          <m:r>
            <m:rPr>
              <m:nor/>
            </m:rPr>
            <w:rPr>
              <w:rFonts w:ascii="Arial" w:hAnsi="Arial" w:cs="Arial"/>
              <w:lang w:val="en-US"/>
            </w:rPr>
            <m:t>  </m:t>
          </m:r>
          <m:nary>
            <m:naryPr>
              <m:chr m:val="∑"/>
              <m:limLoc m:val="undOvr"/>
              <m:grow m:val="1"/>
              <m:supHide m:val="1"/>
              <m:ctrlPr>
                <w:rPr>
                  <w:rFonts w:ascii="Cambria Math" w:hAnsi="Cambria Math"/>
                  <w:lang w:val="en-US"/>
                </w:rPr>
              </m:ctrlPr>
            </m:naryPr>
            <m:sub>
              <m:r>
                <w:rPr>
                  <w:rFonts w:ascii="Cambria Math" w:hAnsi="Cambria Math"/>
                  <w:lang w:val="en-US"/>
                </w:rPr>
                <m:t>τ≤t</m:t>
              </m:r>
            </m:sub>
            <m:sup/>
            <m:e>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g</m:t>
                  </m:r>
                </m:sub>
              </m:sSub>
              <m:d>
                <m:dPr>
                  <m:ctrlPr>
                    <w:rPr>
                      <w:rFonts w:ascii="Cambria Math" w:hAnsi="Cambria Math"/>
                      <w:i/>
                      <w:lang w:val="en-US"/>
                    </w:rPr>
                  </m:ctrlPr>
                </m:dPr>
                <m:e>
                  <m:r>
                    <w:rPr>
                      <w:rFonts w:ascii="Cambria Math" w:hAnsi="Cambria Math"/>
                      <w:lang w:val="en-US"/>
                    </w:rPr>
                    <m:t>τ</m:t>
                  </m:r>
                </m:e>
              </m:d>
              <m:r>
                <m:rPr>
                  <m:sty m:val="p"/>
                </m:rPr>
                <w:rPr>
                  <w:rFonts w:ascii="Cambria Math" w:hAnsi="Cambria Math"/>
                  <w:lang w:val="en-US"/>
                </w:rPr>
                <m:t>.</m:t>
              </m:r>
            </m:e>
          </m:nary>
        </m:oMath>
      </m:oMathPara>
    </w:p>
    <w:p w14:paraId="21C66EB8" w14:textId="1B5BEE83" w:rsidR="00A3696B" w:rsidRPr="00104F46" w:rsidRDefault="00A3696B" w:rsidP="00A3696B">
      <w:pPr>
        <w:rPr>
          <w:lang w:val="en-US"/>
        </w:rPr>
      </w:pPr>
      <w:r w:rsidRPr="00104F46">
        <w:rPr>
          <w:lang w:val="en-US"/>
        </w:rPr>
        <w:t xml:space="preserve">Choose a pre-specified </w:t>
      </w:r>
      <w:r w:rsidRPr="00104F46">
        <w:rPr>
          <w:b/>
          <w:bCs/>
          <w:lang w:val="en-US"/>
        </w:rPr>
        <w:t>baseline (quiet) window</w:t>
      </w:r>
      <w:r w:rsidRPr="00104F46">
        <w:rPr>
          <w:lang w:val="en-US"/>
        </w:rPr>
        <w:t xml:space="preserve"> </w:t>
      </w:r>
      <m:oMath>
        <m:r>
          <m:rPr>
            <m:scr m:val="script"/>
          </m:rPr>
          <w:rPr>
            <w:rFonts w:ascii="Cambria Math" w:hAnsi="Cambria Math"/>
            <w:lang w:val="en-US"/>
          </w:rPr>
          <m:t>B</m:t>
        </m:r>
      </m:oMath>
      <w:r w:rsidR="00B87A5D">
        <w:rPr>
          <w:rFonts w:eastAsiaTheme="minorEastAsia"/>
          <w:lang w:val="en-US"/>
        </w:rPr>
        <w:t xml:space="preserve"> </w:t>
      </w:r>
      <w:r w:rsidRPr="00104F46">
        <w:rPr>
          <w:lang w:val="en-US"/>
        </w:rPr>
        <w:t xml:space="preserve">before the exposure effect is expected. Define the </w:t>
      </w:r>
      <w:r w:rsidRPr="00104F46">
        <w:rPr>
          <w:b/>
          <w:bCs/>
          <w:lang w:val="en-US"/>
        </w:rPr>
        <w:t>baseline anchor</w:t>
      </w:r>
      <w:r w:rsidRPr="00104F46">
        <w:rPr>
          <w:lang w:val="en-US"/>
        </w:rPr>
        <w:t xml:space="preserve"> at the last baseline week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0</m:t>
            </m:r>
          </m:sub>
        </m:sSub>
        <m:r>
          <m:rPr>
            <m:scr m:val="script"/>
          </m:rPr>
          <w:rPr>
            <w:rFonts w:ascii="Cambria Math" w:hAnsi="Cambria Math"/>
            <w:lang w:val="en-US"/>
          </w:rPr>
          <m:t>∈B</m:t>
        </m:r>
      </m:oMath>
      <w:r w:rsidRPr="00104F46">
        <w:rPr>
          <w:lang w:val="en-US"/>
        </w:rPr>
        <w:t xml:space="preserve">. The </w:t>
      </w:r>
      <w:r w:rsidRPr="00104F46">
        <w:rPr>
          <w:b/>
          <w:bCs/>
          <w:lang w:val="en-US"/>
        </w:rPr>
        <w:t>KCOR</w:t>
      </w:r>
      <w:r w:rsidRPr="00104F46">
        <w:rPr>
          <w:lang w:val="en-US"/>
        </w:rPr>
        <w:t xml:space="preserve"> at week </w:t>
      </w:r>
      <m:oMath>
        <m:r>
          <w:rPr>
            <w:rFonts w:ascii="Cambria Math" w:hAnsi="Cambria Math"/>
            <w:lang w:val="en-US"/>
          </w:rPr>
          <m:t>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0</m:t>
            </m:r>
          </m:sub>
        </m:sSub>
      </m:oMath>
      <w:r w:rsidRPr="00104F46">
        <w:rPr>
          <w:lang w:val="en-US"/>
        </w:rPr>
        <w:t xml:space="preserve">is the </w:t>
      </w:r>
      <w:r w:rsidRPr="00104F46">
        <w:rPr>
          <w:b/>
          <w:bCs/>
          <w:lang w:val="en-US"/>
        </w:rPr>
        <w:t>baseline-normalized cumulative hazard ratio</w:t>
      </w:r>
      <w:r w:rsidRPr="00104F46">
        <w:rPr>
          <w:lang w:val="en-US"/>
        </w:rPr>
        <w:t>:</w:t>
      </w:r>
    </w:p>
    <w:p w14:paraId="54924709" w14:textId="561C555C" w:rsidR="00A3696B" w:rsidRPr="00104F46" w:rsidRDefault="00424F3E" w:rsidP="00A3696B">
      <w:pPr>
        <w:rPr>
          <w:lang w:val="en-US"/>
        </w:rPr>
      </w:pPr>
      <m:oMathPara>
        <m:oMath>
          <m:r>
            <m:rPr>
              <m:sty m:val="p"/>
            </m:rPr>
            <w:rPr>
              <w:rFonts w:ascii="Cambria Math" w:hAnsi="Cambria Math"/>
              <w:lang w:val="en-US"/>
            </w:rPr>
            <m:t>KCOR</m:t>
          </m:r>
          <m:d>
            <m:dPr>
              <m:ctrlPr>
                <w:rPr>
                  <w:rFonts w:ascii="Cambria Math" w:hAnsi="Cambria Math"/>
                  <w:i/>
                  <w:lang w:val="en-US"/>
                </w:rPr>
              </m:ctrlPr>
            </m:dPr>
            <m:e>
              <m:r>
                <w:rPr>
                  <w:rFonts w:ascii="Cambria Math" w:hAnsi="Cambria Math"/>
                  <w:lang w:val="en-US"/>
                </w:rPr>
                <m:t>t</m:t>
              </m:r>
            </m:e>
          </m:d>
          <m:r>
            <m:rPr>
              <m:nor/>
            </m:rPr>
            <w:rPr>
              <w:lang w:val="en-US"/>
            </w:rPr>
            <m:t>  </m:t>
          </m:r>
          <m:r>
            <w:rPr>
              <w:rFonts w:ascii="Cambria Math" w:hAnsi="Cambria Math"/>
              <w:lang w:val="en-US"/>
            </w:rPr>
            <m:t>=</m:t>
          </m:r>
          <m:r>
            <m:rPr>
              <m:nor/>
            </m:rPr>
            <w:rPr>
              <w:lang w:val="en-US"/>
            </w:rPr>
            <m:t>  </m:t>
          </m:r>
          <m:f>
            <m:fPr>
              <m:ctrlPr>
                <w:rPr>
                  <w:rFonts w:ascii="Cambria Math" w:hAnsi="Cambria Math"/>
                  <w:lang w:val="en-US"/>
                </w:rPr>
              </m:ctrlPr>
            </m:fPr>
            <m:num>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d>
                <m:dPr>
                  <m:ctrlPr>
                    <w:rPr>
                      <w:rFonts w:ascii="Cambria Math" w:hAnsi="Cambria Math"/>
                      <w:i/>
                      <w:lang w:val="en-US"/>
                    </w:rPr>
                  </m:ctrlPr>
                </m:dPr>
                <m:e>
                  <m:r>
                    <w:rPr>
                      <w:rFonts w:ascii="Cambria Math" w:hAnsi="Cambria Math"/>
                      <w:lang w:val="en-US"/>
                    </w:rPr>
                    <m:t>t</m:t>
                  </m:r>
                </m:e>
              </m:d>
              <m:r>
                <m:rPr>
                  <m:lit/>
                  <m:sty m:val="p"/>
                </m:rP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U</m:t>
                  </m:r>
                </m:sub>
              </m:sSub>
              <m:d>
                <m:dPr>
                  <m:ctrlPr>
                    <w:rPr>
                      <w:rFonts w:ascii="Cambria Math" w:hAnsi="Cambria Math"/>
                      <w:i/>
                      <w:lang w:val="en-US"/>
                    </w:rPr>
                  </m:ctrlPr>
                </m:dPr>
                <m:e>
                  <m:r>
                    <w:rPr>
                      <w:rFonts w:ascii="Cambria Math" w:hAnsi="Cambria Math"/>
                      <w:lang w:val="en-US"/>
                    </w:rPr>
                    <m:t>t</m:t>
                  </m:r>
                </m:e>
              </m:d>
            </m:num>
            <m:den>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T</m:t>
                  </m:r>
                </m:sub>
              </m:sSub>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0</m:t>
                      </m:r>
                    </m:sub>
                  </m:sSub>
                </m:e>
              </m:d>
              <m:r>
                <m:rPr>
                  <m:lit/>
                  <m:sty m:val="p"/>
                </m:rPr>
                <w:rPr>
                  <w:rFonts w:ascii="Cambria Math" w:hAnsi="Cambria Math"/>
                  <w:lang w:val="en-US"/>
                </w:rPr>
                <m:t>/</m:t>
              </m:r>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H</m:t>
                      </m:r>
                    </m:e>
                  </m:acc>
                </m:e>
                <m:sub>
                  <m:r>
                    <w:rPr>
                      <w:rFonts w:ascii="Cambria Math" w:hAnsi="Cambria Math"/>
                      <w:lang w:val="en-US"/>
                    </w:rPr>
                    <m:t>U</m:t>
                  </m:r>
                </m:sub>
              </m:sSub>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0</m:t>
                      </m:r>
                    </m:sub>
                  </m:sSub>
                </m:e>
              </m:d>
            </m:den>
          </m:f>
          <m:r>
            <m:rPr>
              <m:nor/>
            </m:rPr>
            <w:rPr>
              <w:lang w:val="en-US"/>
            </w:rPr>
            <m:t>  </m:t>
          </m:r>
          <m:r>
            <m:rPr>
              <m:sty m:val="p"/>
            </m:rPr>
            <w:rPr>
              <w:lang w:val="en-US"/>
            </w:rPr>
            <w:br/>
          </m:r>
        </m:oMath>
      </m:oMathPara>
    </w:p>
    <w:p w14:paraId="0ABBF4F9" w14:textId="77777777" w:rsidR="00A3696B" w:rsidRPr="00104F46" w:rsidRDefault="00A3696B" w:rsidP="00A3696B">
      <w:pPr>
        <w:rPr>
          <w:lang w:val="en-US"/>
        </w:rPr>
      </w:pPr>
      <w:r w:rsidRPr="00104F46">
        <w:rPr>
          <w:b/>
          <w:bCs/>
          <w:lang w:val="en-US"/>
        </w:rPr>
        <w:t>Interpretation (decision rule):</w:t>
      </w:r>
    </w:p>
    <w:p w14:paraId="67B1999F" w14:textId="7DC6308C" w:rsidR="00A3696B" w:rsidRPr="00104F46" w:rsidRDefault="00424F3E" w:rsidP="00A3696B">
      <w:pPr>
        <w:numPr>
          <w:ilvl w:val="0"/>
          <w:numId w:val="2"/>
        </w:numPr>
        <w:rPr>
          <w:lang w:val="en-US"/>
        </w:rPr>
      </w:pPr>
      <m:oMath>
        <m:r>
          <m:rPr>
            <m:sty m:val="p"/>
          </m:rPr>
          <w:rPr>
            <w:rFonts w:ascii="Cambria Math" w:hAnsi="Cambria Math"/>
            <w:lang w:val="en-US"/>
          </w:rPr>
          <m:t>KCOR</m:t>
        </m:r>
        <m:d>
          <m:dPr>
            <m:ctrlPr>
              <w:rPr>
                <w:rFonts w:ascii="Cambria Math" w:hAnsi="Cambria Math"/>
                <w:i/>
                <w:lang w:val="en-US"/>
              </w:rPr>
            </m:ctrlPr>
          </m:dPr>
          <m:e>
            <m:r>
              <w:rPr>
                <w:rFonts w:ascii="Cambria Math" w:hAnsi="Cambria Math"/>
                <w:lang w:val="en-US"/>
              </w:rPr>
              <m:t>t</m:t>
            </m:r>
          </m:e>
        </m:d>
        <m:r>
          <w:rPr>
            <w:rFonts w:ascii="Cambria Math" w:hAnsi="Cambria Math"/>
            <w:lang w:val="en-US"/>
          </w:rPr>
          <m:t>=1</m:t>
        </m:r>
      </m:oMath>
      <w:r w:rsidR="00A3696B" w:rsidRPr="00104F46">
        <w:rPr>
          <w:lang w:val="en-US"/>
        </w:rPr>
        <w:t xml:space="preserve">: no net effect on mortality up to week </w:t>
      </w:r>
      <m:oMath>
        <m:r>
          <w:rPr>
            <w:rFonts w:ascii="Cambria Math" w:hAnsi="Cambria Math"/>
            <w:lang w:val="en-US"/>
          </w:rPr>
          <m:t>t</m:t>
        </m:r>
      </m:oMath>
      <w:r w:rsidR="00A3696B" w:rsidRPr="00104F46">
        <w:rPr>
          <w:lang w:val="en-US"/>
        </w:rPr>
        <w:t>.</w:t>
      </w:r>
    </w:p>
    <w:p w14:paraId="235F4633" w14:textId="76A0FA3D" w:rsidR="00A3696B" w:rsidRPr="00104F46" w:rsidRDefault="00424F3E" w:rsidP="00A3696B">
      <w:pPr>
        <w:numPr>
          <w:ilvl w:val="0"/>
          <w:numId w:val="2"/>
        </w:numPr>
        <w:rPr>
          <w:lang w:val="en-US"/>
        </w:rPr>
      </w:pPr>
      <m:oMath>
        <m:r>
          <m:rPr>
            <m:sty m:val="p"/>
          </m:rPr>
          <w:rPr>
            <w:rFonts w:ascii="Cambria Math" w:hAnsi="Cambria Math"/>
            <w:lang w:val="en-US"/>
          </w:rPr>
          <m:t>KCOR</m:t>
        </m:r>
        <m:d>
          <m:dPr>
            <m:ctrlPr>
              <w:rPr>
                <w:rFonts w:ascii="Cambria Math" w:hAnsi="Cambria Math"/>
                <w:i/>
                <w:lang w:val="en-US"/>
              </w:rPr>
            </m:ctrlPr>
          </m:dPr>
          <m:e>
            <m:r>
              <w:rPr>
                <w:rFonts w:ascii="Cambria Math" w:hAnsi="Cambria Math"/>
                <w:lang w:val="en-US"/>
              </w:rPr>
              <m:t>t</m:t>
            </m:r>
          </m:e>
        </m:d>
        <m:r>
          <w:rPr>
            <w:rFonts w:ascii="Cambria Math" w:hAnsi="Cambria Math"/>
            <w:lang w:val="en-US"/>
          </w:rPr>
          <m:t>&lt;1</m:t>
        </m:r>
      </m:oMath>
      <w:r w:rsidR="00A3696B" w:rsidRPr="00104F46">
        <w:rPr>
          <w:lang w:val="en-US"/>
        </w:rPr>
        <w:t xml:space="preserve">: net </w:t>
      </w:r>
      <w:r w:rsidR="00A3696B" w:rsidRPr="00104F46">
        <w:rPr>
          <w:b/>
          <w:bCs/>
          <w:lang w:val="en-US"/>
        </w:rPr>
        <w:t>benefit</w:t>
      </w:r>
      <w:r w:rsidR="00A3696B" w:rsidRPr="00104F46">
        <w:rPr>
          <w:lang w:val="en-US"/>
        </w:rPr>
        <w:t xml:space="preserve"> (treated accumulating less hazard).</w:t>
      </w:r>
    </w:p>
    <w:p w14:paraId="1914D96A" w14:textId="14F5524E" w:rsidR="00A3696B" w:rsidRPr="00104F46" w:rsidRDefault="00424F3E" w:rsidP="00A3696B">
      <w:pPr>
        <w:numPr>
          <w:ilvl w:val="0"/>
          <w:numId w:val="2"/>
        </w:numPr>
        <w:rPr>
          <w:lang w:val="en-US"/>
        </w:rPr>
      </w:pPr>
      <m:oMath>
        <m:r>
          <m:rPr>
            <m:sty m:val="p"/>
          </m:rPr>
          <w:rPr>
            <w:rFonts w:ascii="Cambria Math" w:hAnsi="Cambria Math"/>
            <w:lang w:val="en-US"/>
          </w:rPr>
          <m:t>KCOR</m:t>
        </m:r>
        <m:d>
          <m:dPr>
            <m:ctrlPr>
              <w:rPr>
                <w:rFonts w:ascii="Cambria Math" w:hAnsi="Cambria Math"/>
                <w:i/>
                <w:lang w:val="en-US"/>
              </w:rPr>
            </m:ctrlPr>
          </m:dPr>
          <m:e>
            <m:r>
              <w:rPr>
                <w:rFonts w:ascii="Cambria Math" w:hAnsi="Cambria Math"/>
                <w:lang w:val="en-US"/>
              </w:rPr>
              <m:t>t</m:t>
            </m:r>
          </m:e>
        </m:d>
        <m:r>
          <w:rPr>
            <w:rFonts w:ascii="Cambria Math" w:hAnsi="Cambria Math"/>
            <w:lang w:val="en-US"/>
          </w:rPr>
          <m:t>&gt;1</m:t>
        </m:r>
      </m:oMath>
      <w:r w:rsidR="00A3696B" w:rsidRPr="00104F46">
        <w:rPr>
          <w:lang w:val="en-US"/>
        </w:rPr>
        <w:t xml:space="preserve">: net </w:t>
      </w:r>
      <w:r w:rsidR="00A3696B" w:rsidRPr="00104F46">
        <w:rPr>
          <w:b/>
          <w:bCs/>
          <w:lang w:val="en-US"/>
        </w:rPr>
        <w:t>harm</w:t>
      </w:r>
      <w:r w:rsidR="00A3696B" w:rsidRPr="00104F46">
        <w:rPr>
          <w:lang w:val="en-US"/>
        </w:rPr>
        <w:t xml:space="preserve"> (treated accumulating more hazard).</w:t>
      </w:r>
    </w:p>
    <w:p w14:paraId="4FE5648A" w14:textId="77777777" w:rsidR="00A3696B" w:rsidRPr="00104F46" w:rsidRDefault="00000000" w:rsidP="00A3696B">
      <w:pPr>
        <w:rPr>
          <w:lang w:val="en-US"/>
        </w:rPr>
      </w:pPr>
      <w:r>
        <w:rPr>
          <w:lang w:val="en-US"/>
        </w:rPr>
        <w:pict w14:anchorId="78ACA129">
          <v:rect id="_x0000_i1025" style="width:0;height:1.5pt" o:hralign="center" o:hrstd="t" o:hr="t" fillcolor="#a0a0a0" stroked="f"/>
        </w:pict>
      </w:r>
    </w:p>
    <w:p w14:paraId="2E4EE258" w14:textId="77777777" w:rsidR="00A3696B" w:rsidRPr="00104F46" w:rsidRDefault="00A3696B" w:rsidP="00A3696B">
      <w:pPr>
        <w:rPr>
          <w:b/>
          <w:bCs/>
          <w:lang w:val="en-US"/>
        </w:rPr>
      </w:pPr>
      <w:r w:rsidRPr="00104F46">
        <w:rPr>
          <w:b/>
          <w:bCs/>
          <w:lang w:val="en-US"/>
        </w:rPr>
        <w:t>Step 6 – Plot and quantify uncertainty</w:t>
      </w:r>
    </w:p>
    <w:p w14:paraId="6C402FB7" w14:textId="76F5A72A" w:rsidR="004166C2" w:rsidRDefault="00A3696B" w:rsidP="00A3696B">
      <w:pPr>
        <w:rPr>
          <w:lang w:val="en-US"/>
        </w:rPr>
      </w:pPr>
      <w:r w:rsidRPr="00104F46">
        <w:rPr>
          <w:lang w:val="en-US"/>
        </w:rPr>
        <w:t xml:space="preserve">Plot </w:t>
      </w:r>
      <m:oMath>
        <m:r>
          <m:rPr>
            <m:sty m:val="p"/>
          </m:rPr>
          <w:rPr>
            <w:rFonts w:ascii="Cambria Math" w:hAnsi="Cambria Math"/>
            <w:lang w:val="en-US"/>
          </w:rPr>
          <m:t>KCOR</m:t>
        </m:r>
        <m:d>
          <m:dPr>
            <m:ctrlPr>
              <w:rPr>
                <w:rFonts w:ascii="Cambria Math" w:hAnsi="Cambria Math"/>
                <w:i/>
                <w:lang w:val="en-US"/>
              </w:rPr>
            </m:ctrlPr>
          </m:dPr>
          <m:e>
            <m:r>
              <w:rPr>
                <w:rFonts w:ascii="Cambria Math" w:hAnsi="Cambria Math"/>
                <w:lang w:val="en-US"/>
              </w:rPr>
              <m:t>t</m:t>
            </m:r>
          </m:e>
        </m:d>
      </m:oMath>
      <w:r w:rsidRPr="00104F46">
        <w:rPr>
          <w:lang w:val="en-US"/>
        </w:rPr>
        <w:t xml:space="preserve">weekly from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0</m:t>
            </m:r>
          </m:sub>
        </m:sSub>
      </m:oMath>
      <w:r w:rsidR="004166C2">
        <w:rPr>
          <w:rFonts w:eastAsiaTheme="minorEastAsia"/>
          <w:lang w:val="en-US"/>
        </w:rPr>
        <w:t xml:space="preserve"> </w:t>
      </w:r>
      <w:r w:rsidRPr="00104F46">
        <w:rPr>
          <w:lang w:val="en-US"/>
        </w:rPr>
        <w:t xml:space="preserve">onward. </w:t>
      </w:r>
    </w:p>
    <w:p w14:paraId="72BEC02A" w14:textId="76EA8084" w:rsidR="004166C2" w:rsidRDefault="00A3696B" w:rsidP="004166C2">
      <w:pPr>
        <w:rPr>
          <w:lang w:val="en-US"/>
        </w:rPr>
      </w:pPr>
      <w:r w:rsidRPr="00104F46">
        <w:rPr>
          <w:lang w:val="en-US"/>
        </w:rPr>
        <w:t xml:space="preserve">For uncertainty, report </w:t>
      </w:r>
      <w:r w:rsidRPr="00104F46">
        <w:rPr>
          <w:b/>
          <w:bCs/>
          <w:lang w:val="en-US"/>
        </w:rPr>
        <w:t>pointwise 95% C</w:t>
      </w:r>
      <w:r w:rsidR="004166C2">
        <w:rPr>
          <w:b/>
          <w:bCs/>
          <w:lang w:val="en-US"/>
        </w:rPr>
        <w:t>I</w:t>
      </w:r>
      <w:r w:rsidRPr="00104F46">
        <w:rPr>
          <w:b/>
          <w:bCs/>
          <w:lang w:val="en-US"/>
        </w:rPr>
        <w:t>s</w:t>
      </w:r>
      <w:r w:rsidR="004166C2">
        <w:rPr>
          <w:lang w:val="en-US"/>
        </w:rPr>
        <w:t xml:space="preserve">. </w:t>
      </w:r>
    </w:p>
    <w:p w14:paraId="6EA24C00" w14:textId="1888B6E2" w:rsidR="00424F3E" w:rsidRDefault="00424F3E" w:rsidP="004166C2">
      <w:pPr>
        <w:rPr>
          <w:lang w:val="en-US"/>
        </w:rPr>
      </w:pPr>
      <w:r w:rsidRPr="00424F3E">
        <w:rPr>
          <w:lang w:val="en-US"/>
        </w:rPr>
        <w:t xml:space="preserve">The standard error on </w:t>
      </w:r>
      <w:proofErr w:type="gramStart"/>
      <w:r w:rsidRPr="00424F3E">
        <w:rPr>
          <w:lang w:val="en-US"/>
        </w:rPr>
        <w:t>log(</w:t>
      </w:r>
      <w:proofErr w:type="gramEnd"/>
      <w:r w:rsidRPr="00424F3E">
        <w:rPr>
          <w:lang w:val="en-US"/>
        </w:rPr>
        <w:t>KCOR) is computed via Poisson/</w:t>
      </w:r>
      <w:proofErr w:type="gramStart"/>
      <w:r w:rsidRPr="00424F3E">
        <w:rPr>
          <w:lang w:val="en-US"/>
        </w:rPr>
        <w:t>binomial  variance</w:t>
      </w:r>
      <w:proofErr w:type="gramEnd"/>
      <w:r w:rsidRPr="00424F3E">
        <w:rPr>
          <w:lang w:val="en-US"/>
        </w:rPr>
        <w:t xml:space="preserve"> propagation for cumulative deaths/hazards at t and at baseline:</w:t>
      </w:r>
    </w:p>
    <w:p w14:paraId="6A1CC643" w14:textId="010E0683" w:rsidR="004166C2" w:rsidRPr="004166C2" w:rsidRDefault="00000000" w:rsidP="004166C2">
      <w:pPr>
        <w:rPr>
          <w:lang w:val="en-US"/>
        </w:rPr>
      </w:pPr>
      <m:oMathPara>
        <m:oMath>
          <m:sSub>
            <m:sSubPr>
              <m:ctrlPr>
                <w:rPr>
                  <w:rFonts w:ascii="Cambria Math" w:hAnsi="Cambria Math"/>
                </w:rPr>
              </m:ctrlPr>
            </m:sSubPr>
            <m:e>
              <m:r>
                <m:rPr>
                  <m:nor/>
                </m:rPr>
                <m:t>SE</m:t>
              </m:r>
            </m:e>
            <m:sub>
              <m:func>
                <m:funcPr>
                  <m:ctrlPr>
                    <w:rPr>
                      <w:rFonts w:ascii="Cambria Math" w:hAnsi="Cambria Math"/>
                    </w:rPr>
                  </m:ctrlPr>
                </m:funcPr>
                <m:fName>
                  <m:r>
                    <m:rPr>
                      <m:sty m:val="p"/>
                    </m:rPr>
                    <w:rPr>
                      <w:rFonts w:ascii="Cambria Math" w:hAnsi="Cambria Math"/>
                    </w:rPr>
                    <m:t>log</m:t>
                  </m:r>
                </m:fName>
                <m:e>
                  <m:r>
                    <m:rPr>
                      <m:nor/>
                    </m:rPr>
                    <m:t>KCOR</m:t>
                  </m:r>
                </m:e>
              </m:func>
            </m:sub>
          </m:sSub>
          <m:r>
            <w:rPr>
              <w:rFonts w:ascii="Cambria Math" w:hAnsi="Cambria Math"/>
            </w:rPr>
            <m:t>≈</m:t>
          </m:r>
          <m:rad>
            <m:radPr>
              <m:degHide m:val="1"/>
              <m:ctrlPr>
                <w:rPr>
                  <w:rFonts w:ascii="Cambria Math" w:hAnsi="Cambria Math"/>
                  <w:noProof/>
                </w:rPr>
              </m:ctrlPr>
            </m:radPr>
            <m:deg/>
            <m:e>
              <m:f>
                <m:fPr>
                  <m:ctrlPr>
                    <w:rPr>
                      <w:rFonts w:ascii="Cambria Math" w:hAnsi="Cambria Math"/>
                      <w:noProof/>
                    </w:rPr>
                  </m:ctrlPr>
                </m:fPr>
                <m:num>
                  <m:r>
                    <m:rPr>
                      <m:nor/>
                    </m:rPr>
                    <w:rPr>
                      <w:noProof/>
                    </w:rPr>
                    <m:t>Var</m:t>
                  </m:r>
                  <m:r>
                    <w:rPr>
                      <w:rFonts w:ascii="Cambria Math" w:hAnsi="Cambria Math"/>
                      <w:noProof/>
                    </w:rPr>
                    <m:t>[</m:t>
                  </m:r>
                  <m:sSub>
                    <m:sSubPr>
                      <m:ctrlPr>
                        <w:rPr>
                          <w:rFonts w:ascii="Cambria Math" w:hAnsi="Cambria Math"/>
                          <w:noProof/>
                        </w:rPr>
                      </m:ctrlPr>
                    </m:sSubPr>
                    <m:e>
                      <m:r>
                        <m:rPr>
                          <m:nor/>
                        </m:rPr>
                        <w:rPr>
                          <w:noProof/>
                        </w:rPr>
                        <m:t>CH</m:t>
                      </m:r>
                    </m:e>
                    <m:sub>
                      <m:r>
                        <m:rPr>
                          <m:nor/>
                        </m:rPr>
                        <w:rPr>
                          <w:noProof/>
                        </w:rPr>
                        <m:t>num</m:t>
                      </m:r>
                    </m:sub>
                  </m:sSub>
                  <m:r>
                    <w:rPr>
                      <w:rFonts w:ascii="Cambria Math" w:hAnsi="Cambria Math"/>
                      <w:noProof/>
                    </w:rPr>
                    <m:t>]</m:t>
                  </m:r>
                </m:num>
                <m:den>
                  <m:sSubSup>
                    <m:sSubSupPr>
                      <m:ctrlPr>
                        <w:rPr>
                          <w:rFonts w:ascii="Cambria Math" w:hAnsi="Cambria Math"/>
                          <w:noProof/>
                        </w:rPr>
                      </m:ctrlPr>
                    </m:sSubSupPr>
                    <m:e>
                      <m:r>
                        <m:rPr>
                          <m:nor/>
                        </m:rPr>
                        <w:rPr>
                          <w:noProof/>
                        </w:rPr>
                        <m:t>CH</m:t>
                      </m:r>
                    </m:e>
                    <m:sub>
                      <m:r>
                        <m:rPr>
                          <m:nor/>
                        </m:rPr>
                        <w:rPr>
                          <w:noProof/>
                        </w:rPr>
                        <m:t>num</m:t>
                      </m:r>
                    </m:sub>
                    <m:sup>
                      <m:r>
                        <w:rPr>
                          <w:rFonts w:ascii="Cambria Math" w:hAnsi="Cambria Math"/>
                          <w:noProof/>
                        </w:rPr>
                        <m:t>2</m:t>
                      </m:r>
                    </m:sup>
                  </m:sSubSup>
                </m:den>
              </m:f>
              <m:r>
                <w:rPr>
                  <w:rFonts w:ascii="Cambria Math" w:hAnsi="Cambria Math"/>
                  <w:noProof/>
                </w:rPr>
                <m:t>+</m:t>
              </m:r>
              <m:f>
                <m:fPr>
                  <m:ctrlPr>
                    <w:rPr>
                      <w:rFonts w:ascii="Cambria Math" w:hAnsi="Cambria Math"/>
                      <w:noProof/>
                    </w:rPr>
                  </m:ctrlPr>
                </m:fPr>
                <m:num>
                  <m:r>
                    <m:rPr>
                      <m:nor/>
                    </m:rPr>
                    <w:rPr>
                      <w:noProof/>
                    </w:rPr>
                    <m:t>Var</m:t>
                  </m:r>
                  <m:r>
                    <w:rPr>
                      <w:rFonts w:ascii="Cambria Math" w:hAnsi="Cambria Math"/>
                      <w:noProof/>
                    </w:rPr>
                    <m:t>[</m:t>
                  </m:r>
                  <m:sSub>
                    <m:sSubPr>
                      <m:ctrlPr>
                        <w:rPr>
                          <w:rFonts w:ascii="Cambria Math" w:hAnsi="Cambria Math"/>
                          <w:noProof/>
                        </w:rPr>
                      </m:ctrlPr>
                    </m:sSubPr>
                    <m:e>
                      <m:r>
                        <m:rPr>
                          <m:nor/>
                        </m:rPr>
                        <w:rPr>
                          <w:noProof/>
                        </w:rPr>
                        <m:t>CH</m:t>
                      </m:r>
                    </m:e>
                    <m:sub>
                      <m:r>
                        <m:rPr>
                          <m:nor/>
                        </m:rPr>
                        <w:rPr>
                          <w:noProof/>
                        </w:rPr>
                        <m:t>den</m:t>
                      </m:r>
                    </m:sub>
                  </m:sSub>
                  <m:r>
                    <w:rPr>
                      <w:rFonts w:ascii="Cambria Math" w:hAnsi="Cambria Math"/>
                      <w:noProof/>
                    </w:rPr>
                    <m:t>]</m:t>
                  </m:r>
                </m:num>
                <m:den>
                  <m:sSubSup>
                    <m:sSubSupPr>
                      <m:ctrlPr>
                        <w:rPr>
                          <w:rFonts w:ascii="Cambria Math" w:hAnsi="Cambria Math"/>
                          <w:noProof/>
                        </w:rPr>
                      </m:ctrlPr>
                    </m:sSubSupPr>
                    <m:e>
                      <m:r>
                        <m:rPr>
                          <m:nor/>
                        </m:rPr>
                        <w:rPr>
                          <w:noProof/>
                        </w:rPr>
                        <m:t>CH</m:t>
                      </m:r>
                    </m:e>
                    <m:sub>
                      <m:r>
                        <m:rPr>
                          <m:nor/>
                        </m:rPr>
                        <w:rPr>
                          <w:noProof/>
                        </w:rPr>
                        <m:t>den</m:t>
                      </m:r>
                    </m:sub>
                    <m:sup>
                      <m:r>
                        <w:rPr>
                          <w:rFonts w:ascii="Cambria Math" w:hAnsi="Cambria Math"/>
                          <w:noProof/>
                        </w:rPr>
                        <m:t>2</m:t>
                      </m:r>
                    </m:sup>
                  </m:sSubSup>
                </m:den>
              </m:f>
              <m:r>
                <w:rPr>
                  <w:rFonts w:ascii="Cambria Math" w:hAnsi="Cambria Math"/>
                  <w:noProof/>
                </w:rPr>
                <m:t>+</m:t>
              </m:r>
              <m:f>
                <m:fPr>
                  <m:ctrlPr>
                    <w:rPr>
                      <w:rFonts w:ascii="Cambria Math" w:hAnsi="Cambria Math"/>
                      <w:noProof/>
                    </w:rPr>
                  </m:ctrlPr>
                </m:fPr>
                <m:num>
                  <m:r>
                    <m:rPr>
                      <m:nor/>
                    </m:rPr>
                    <w:rPr>
                      <w:noProof/>
                    </w:rPr>
                    <m:t>Var</m:t>
                  </m:r>
                  <m:r>
                    <w:rPr>
                      <w:rFonts w:ascii="Cambria Math" w:hAnsi="Cambria Math"/>
                      <w:noProof/>
                    </w:rPr>
                    <m:t>[</m:t>
                  </m:r>
                  <m:sSub>
                    <m:sSubPr>
                      <m:ctrlPr>
                        <w:rPr>
                          <w:rFonts w:ascii="Cambria Math" w:hAnsi="Cambria Math"/>
                          <w:noProof/>
                        </w:rPr>
                      </m:ctrlPr>
                    </m:sSubPr>
                    <m:e>
                      <m:r>
                        <m:rPr>
                          <m:nor/>
                        </m:rPr>
                        <w:rPr>
                          <w:noProof/>
                        </w:rPr>
                        <m:t>CH</m:t>
                      </m:r>
                    </m:e>
                    <m:sub>
                      <m:r>
                        <m:rPr>
                          <m:nor/>
                        </m:rPr>
                        <w:rPr>
                          <w:noProof/>
                        </w:rPr>
                        <m:t>num</m:t>
                      </m:r>
                    </m:sub>
                  </m:sSub>
                  <m:r>
                    <w:rPr>
                      <w:rFonts w:ascii="Cambria Math" w:hAnsi="Cambria Math"/>
                      <w:noProof/>
                    </w:rPr>
                    <m:t>(</m:t>
                  </m:r>
                  <m:sSub>
                    <m:sSubPr>
                      <m:ctrlPr>
                        <w:rPr>
                          <w:rFonts w:ascii="Cambria Math" w:hAnsi="Cambria Math"/>
                          <w:noProof/>
                        </w:rPr>
                      </m:ctrlPr>
                    </m:sSubPr>
                    <m:e>
                      <m:r>
                        <w:rPr>
                          <w:rFonts w:ascii="Cambria Math" w:hAnsi="Cambria Math"/>
                          <w:noProof/>
                        </w:rPr>
                        <m:t>t</m:t>
                      </m:r>
                    </m:e>
                    <m:sub>
                      <m:r>
                        <w:rPr>
                          <w:rFonts w:ascii="Cambria Math" w:hAnsi="Cambria Math"/>
                          <w:noProof/>
                        </w:rPr>
                        <m:t>0</m:t>
                      </m:r>
                    </m:sub>
                  </m:sSub>
                  <m:r>
                    <w:rPr>
                      <w:rFonts w:ascii="Cambria Math" w:hAnsi="Cambria Math"/>
                      <w:noProof/>
                    </w:rPr>
                    <m:t>)]</m:t>
                  </m:r>
                </m:num>
                <m:den>
                  <m:sSub>
                    <m:sSubPr>
                      <m:ctrlPr>
                        <w:rPr>
                          <w:rFonts w:ascii="Cambria Math" w:hAnsi="Cambria Math"/>
                          <w:noProof/>
                        </w:rPr>
                      </m:ctrlPr>
                    </m:sSubPr>
                    <m:e>
                      <m:r>
                        <m:rPr>
                          <m:nor/>
                        </m:rPr>
                        <w:rPr>
                          <w:noProof/>
                        </w:rPr>
                        <m:t>CH</m:t>
                      </m:r>
                    </m:e>
                    <m:sub>
                      <m:r>
                        <m:rPr>
                          <m:nor/>
                        </m:rPr>
                        <w:rPr>
                          <w:noProof/>
                        </w:rPr>
                        <m:t>num</m:t>
                      </m:r>
                    </m:sub>
                  </m:sSub>
                  <m:r>
                    <w:rPr>
                      <w:rFonts w:ascii="Cambria Math" w:hAnsi="Cambria Math"/>
                      <w:noProof/>
                    </w:rPr>
                    <m:t>(</m:t>
                  </m:r>
                  <m:sSub>
                    <m:sSubPr>
                      <m:ctrlPr>
                        <w:rPr>
                          <w:rFonts w:ascii="Cambria Math" w:hAnsi="Cambria Math"/>
                          <w:noProof/>
                        </w:rPr>
                      </m:ctrlPr>
                    </m:sSubPr>
                    <m:e>
                      <m:r>
                        <w:rPr>
                          <w:rFonts w:ascii="Cambria Math" w:hAnsi="Cambria Math"/>
                          <w:noProof/>
                        </w:rPr>
                        <m:t>t</m:t>
                      </m:r>
                    </m:e>
                    <m:sub>
                      <m:r>
                        <w:rPr>
                          <w:rFonts w:ascii="Cambria Math" w:hAnsi="Cambria Math"/>
                          <w:noProof/>
                        </w:rPr>
                        <m:t>0</m:t>
                      </m:r>
                    </m:sub>
                  </m:sSub>
                  <m:sSup>
                    <m:sSupPr>
                      <m:ctrlPr>
                        <w:rPr>
                          <w:rFonts w:ascii="Cambria Math" w:hAnsi="Cambria Math"/>
                          <w:noProof/>
                        </w:rPr>
                      </m:ctrlPr>
                    </m:sSupPr>
                    <m:e>
                      <m:r>
                        <w:rPr>
                          <w:rFonts w:ascii="Cambria Math" w:hAnsi="Cambria Math"/>
                          <w:noProof/>
                        </w:rPr>
                        <m:t>)</m:t>
                      </m:r>
                    </m:e>
                    <m:sup>
                      <m:r>
                        <w:rPr>
                          <w:rFonts w:ascii="Cambria Math" w:hAnsi="Cambria Math"/>
                          <w:noProof/>
                        </w:rPr>
                        <m:t>2</m:t>
                      </m:r>
                    </m:sup>
                  </m:sSup>
                </m:den>
              </m:f>
              <m:r>
                <w:rPr>
                  <w:rFonts w:ascii="Cambria Math" w:hAnsi="Cambria Math"/>
                  <w:noProof/>
                </w:rPr>
                <m:t>+</m:t>
              </m:r>
              <m:f>
                <m:fPr>
                  <m:ctrlPr>
                    <w:rPr>
                      <w:rFonts w:ascii="Cambria Math" w:hAnsi="Cambria Math"/>
                      <w:noProof/>
                    </w:rPr>
                  </m:ctrlPr>
                </m:fPr>
                <m:num>
                  <m:r>
                    <m:rPr>
                      <m:nor/>
                    </m:rPr>
                    <w:rPr>
                      <w:noProof/>
                    </w:rPr>
                    <m:t>Var</m:t>
                  </m:r>
                  <m:r>
                    <w:rPr>
                      <w:rFonts w:ascii="Cambria Math" w:hAnsi="Cambria Math"/>
                      <w:noProof/>
                    </w:rPr>
                    <m:t>[</m:t>
                  </m:r>
                  <m:sSub>
                    <m:sSubPr>
                      <m:ctrlPr>
                        <w:rPr>
                          <w:rFonts w:ascii="Cambria Math" w:hAnsi="Cambria Math"/>
                          <w:noProof/>
                        </w:rPr>
                      </m:ctrlPr>
                    </m:sSubPr>
                    <m:e>
                      <m:r>
                        <m:rPr>
                          <m:nor/>
                        </m:rPr>
                        <w:rPr>
                          <w:noProof/>
                        </w:rPr>
                        <m:t>CH</m:t>
                      </m:r>
                    </m:e>
                    <m:sub>
                      <m:r>
                        <m:rPr>
                          <m:nor/>
                        </m:rPr>
                        <w:rPr>
                          <w:noProof/>
                        </w:rPr>
                        <m:t>den</m:t>
                      </m:r>
                    </m:sub>
                  </m:sSub>
                  <m:r>
                    <w:rPr>
                      <w:rFonts w:ascii="Cambria Math" w:hAnsi="Cambria Math"/>
                      <w:noProof/>
                    </w:rPr>
                    <m:t>(</m:t>
                  </m:r>
                  <m:sSub>
                    <m:sSubPr>
                      <m:ctrlPr>
                        <w:rPr>
                          <w:rFonts w:ascii="Cambria Math" w:hAnsi="Cambria Math"/>
                          <w:noProof/>
                        </w:rPr>
                      </m:ctrlPr>
                    </m:sSubPr>
                    <m:e>
                      <m:r>
                        <w:rPr>
                          <w:rFonts w:ascii="Cambria Math" w:hAnsi="Cambria Math"/>
                          <w:noProof/>
                        </w:rPr>
                        <m:t>t</m:t>
                      </m:r>
                    </m:e>
                    <m:sub>
                      <m:r>
                        <w:rPr>
                          <w:rFonts w:ascii="Cambria Math" w:hAnsi="Cambria Math"/>
                          <w:noProof/>
                        </w:rPr>
                        <m:t>0</m:t>
                      </m:r>
                    </m:sub>
                  </m:sSub>
                  <m:r>
                    <w:rPr>
                      <w:rFonts w:ascii="Cambria Math" w:hAnsi="Cambria Math"/>
                      <w:noProof/>
                    </w:rPr>
                    <m:t>)]</m:t>
                  </m:r>
                </m:num>
                <m:den>
                  <m:sSub>
                    <m:sSubPr>
                      <m:ctrlPr>
                        <w:rPr>
                          <w:rFonts w:ascii="Cambria Math" w:hAnsi="Cambria Math"/>
                          <w:noProof/>
                        </w:rPr>
                      </m:ctrlPr>
                    </m:sSubPr>
                    <m:e>
                      <m:r>
                        <m:rPr>
                          <m:nor/>
                        </m:rPr>
                        <w:rPr>
                          <w:noProof/>
                        </w:rPr>
                        <m:t>CH</m:t>
                      </m:r>
                    </m:e>
                    <m:sub>
                      <m:r>
                        <m:rPr>
                          <m:nor/>
                        </m:rPr>
                        <w:rPr>
                          <w:noProof/>
                        </w:rPr>
                        <m:t>den</m:t>
                      </m:r>
                    </m:sub>
                  </m:sSub>
                  <m:r>
                    <w:rPr>
                      <w:rFonts w:ascii="Cambria Math" w:hAnsi="Cambria Math"/>
                      <w:noProof/>
                    </w:rPr>
                    <m:t>(</m:t>
                  </m:r>
                  <m:sSub>
                    <m:sSubPr>
                      <m:ctrlPr>
                        <w:rPr>
                          <w:rFonts w:ascii="Cambria Math" w:hAnsi="Cambria Math"/>
                          <w:noProof/>
                        </w:rPr>
                      </m:ctrlPr>
                    </m:sSubPr>
                    <m:e>
                      <m:r>
                        <w:rPr>
                          <w:rFonts w:ascii="Cambria Math" w:hAnsi="Cambria Math"/>
                          <w:noProof/>
                        </w:rPr>
                        <m:t>t</m:t>
                      </m:r>
                    </m:e>
                    <m:sub>
                      <m:r>
                        <w:rPr>
                          <w:rFonts w:ascii="Cambria Math" w:hAnsi="Cambria Math"/>
                          <w:noProof/>
                        </w:rPr>
                        <m:t>0</m:t>
                      </m:r>
                    </m:sub>
                  </m:sSub>
                  <m:sSup>
                    <m:sSupPr>
                      <m:ctrlPr>
                        <w:rPr>
                          <w:rFonts w:ascii="Cambria Math" w:hAnsi="Cambria Math"/>
                          <w:noProof/>
                        </w:rPr>
                      </m:ctrlPr>
                    </m:sSupPr>
                    <m:e>
                      <m:r>
                        <w:rPr>
                          <w:rFonts w:ascii="Cambria Math" w:hAnsi="Cambria Math"/>
                          <w:noProof/>
                        </w:rPr>
                        <m:t>)</m:t>
                      </m:r>
                    </m:e>
                    <m:sup>
                      <m:r>
                        <w:rPr>
                          <w:rFonts w:ascii="Cambria Math" w:hAnsi="Cambria Math"/>
                          <w:noProof/>
                        </w:rPr>
                        <m:t>2</m:t>
                      </m:r>
                    </m:sup>
                  </m:sSup>
                </m:den>
              </m:f>
            </m:e>
          </m:rad>
          <m:r>
            <w:rPr>
              <w:rFonts w:ascii="Cambria Math" w:hAnsi="Cambria Math"/>
            </w:rPr>
            <m:t>,</m:t>
          </m:r>
          <m:r>
            <m:rPr>
              <m:sty m:val="p"/>
            </m:rPr>
            <w:br/>
          </m:r>
        </m:oMath>
      </m:oMathPara>
      <w:r w:rsidR="004166C2" w:rsidRPr="004166C2">
        <w:rPr>
          <w:lang w:val="en-US"/>
        </w:rPr>
        <w:t>with </w:t>
      </w:r>
      <w:proofErr w:type="gramStart"/>
      <w:r w:rsidR="004166C2" w:rsidRPr="004166C2">
        <w:rPr>
          <w:lang w:val="en-US"/>
        </w:rPr>
        <w:t>Var[</w:t>
      </w:r>
      <w:proofErr w:type="gramEnd"/>
      <w:r w:rsidR="004166C2" w:rsidRPr="004166C2">
        <w:rPr>
          <w:lang w:val="en-US"/>
        </w:rPr>
        <w:t>CH] ≈ CH.</w:t>
      </w:r>
    </w:p>
    <w:p w14:paraId="59F6F8DB" w14:textId="46D7E79A" w:rsidR="00A3696B" w:rsidRPr="00405221" w:rsidRDefault="004166C2" w:rsidP="00A3696B">
      <w:pPr>
        <w:rPr>
          <w:lang w:val="en-US"/>
        </w:rPr>
      </w:pPr>
      <w:r w:rsidRPr="004166C2">
        <w:rPr>
          <w:lang w:val="en-US"/>
        </w:rPr>
        <w:t xml:space="preserve">Pointwise 95% CI: </w:t>
      </w:r>
      <m:oMath>
        <m:r>
          <m:rPr>
            <m:nor/>
          </m:rPr>
          <m:t>KCOR</m:t>
        </m:r>
        <m:r>
          <w:rPr>
            <w:rFonts w:ascii="Cambria Math" w:hAnsi="Cambria Math"/>
          </w:rPr>
          <m:t>×</m:t>
        </m:r>
        <m:r>
          <m:rPr>
            <m:sty m:val="p"/>
          </m:rPr>
          <w:rPr>
            <w:rFonts w:ascii="Cambria Math" w:hAnsi="Cambria Math"/>
          </w:rPr>
          <m:t>exp</m:t>
        </m:r>
        <m:r>
          <w:rPr>
            <w:rFonts w:ascii="Cambria Math" w:hAnsi="Cambria Math"/>
          </w:rPr>
          <m:t>⁡(±1.96×</m:t>
        </m:r>
        <m:sSub>
          <m:sSubPr>
            <m:ctrlPr>
              <w:rPr>
                <w:rFonts w:ascii="Cambria Math" w:hAnsi="Cambria Math"/>
              </w:rPr>
            </m:ctrlPr>
          </m:sSubPr>
          <m:e>
            <m:r>
              <m:rPr>
                <m:nor/>
              </m:rPr>
              <m:t>SE</m:t>
            </m:r>
          </m:e>
          <m:sub>
            <m:func>
              <m:funcPr>
                <m:ctrlPr>
                  <w:rPr>
                    <w:rFonts w:ascii="Cambria Math" w:hAnsi="Cambria Math"/>
                  </w:rPr>
                </m:ctrlPr>
              </m:funcPr>
              <m:fName>
                <m:r>
                  <m:rPr>
                    <m:sty m:val="p"/>
                  </m:rPr>
                  <w:rPr>
                    <w:rFonts w:ascii="Cambria Math" w:hAnsi="Cambria Math"/>
                  </w:rPr>
                  <m:t>log</m:t>
                </m:r>
              </m:fName>
              <m:e>
                <m:r>
                  <m:rPr>
                    <m:nor/>
                  </m:rPr>
                  <m:t>KCOR</m:t>
                </m:r>
              </m:e>
            </m:func>
          </m:sub>
        </m:sSub>
        <m:r>
          <w:rPr>
            <w:rFonts w:ascii="Cambria Math" w:hAnsi="Cambria Math"/>
          </w:rPr>
          <m:t>)</m:t>
        </m:r>
      </m:oMath>
      <w:r w:rsidR="00405221" w:rsidRPr="00405221">
        <w:rPr>
          <w:i/>
        </w:rPr>
        <w:t xml:space="preserve"> </w:t>
      </w:r>
      <w:r w:rsidRPr="004166C2">
        <w:rPr>
          <w:lang w:val="en-US"/>
        </w:rPr>
        <w:t>with light numeric clipping for stability.</w:t>
      </w:r>
    </w:p>
    <w:p w14:paraId="72B5E0C4" w14:textId="77777777" w:rsidR="00A3696B" w:rsidRPr="00845381" w:rsidRDefault="00A3696B" w:rsidP="00A3696B">
      <w:pPr>
        <w:rPr>
          <w:b/>
          <w:sz w:val="28"/>
          <w:szCs w:val="28"/>
        </w:rPr>
      </w:pPr>
      <w:r w:rsidRPr="00845381">
        <w:rPr>
          <w:b/>
          <w:sz w:val="28"/>
          <w:szCs w:val="28"/>
        </w:rPr>
        <w:t>Results</w:t>
      </w:r>
    </w:p>
    <w:p w14:paraId="467CBF08" w14:textId="77777777" w:rsidR="00A3696B" w:rsidRDefault="00A3696B" w:rsidP="00A3696B">
      <w:r>
        <w:t xml:space="preserve">Negative control </w:t>
      </w:r>
      <w:proofErr w:type="gramStart"/>
      <w:r>
        <w:t>demonstration ?</w:t>
      </w:r>
      <w:proofErr w:type="gramEnd"/>
    </w:p>
    <w:p w14:paraId="3AB96B40" w14:textId="77777777" w:rsidR="00A3696B" w:rsidRDefault="00A3696B" w:rsidP="00A3696B"/>
    <w:p w14:paraId="76544BD1" w14:textId="77777777" w:rsidR="00A3696B" w:rsidRDefault="00A3696B" w:rsidP="00A3696B">
      <w:pPr>
        <w:rPr>
          <w:b/>
          <w:sz w:val="28"/>
          <w:szCs w:val="28"/>
        </w:rPr>
      </w:pPr>
      <w:r w:rsidRPr="00845381">
        <w:rPr>
          <w:b/>
          <w:sz w:val="28"/>
          <w:szCs w:val="28"/>
        </w:rPr>
        <w:t>Discussion</w:t>
      </w:r>
    </w:p>
    <w:p w14:paraId="37F8BC5C" w14:textId="77777777" w:rsidR="00BF1D85" w:rsidRPr="00BF1D85" w:rsidRDefault="00BF1D85" w:rsidP="00BF1D85">
      <w:pPr>
        <w:rPr>
          <w:lang w:val="en-US"/>
        </w:rPr>
      </w:pPr>
      <w:r w:rsidRPr="00BF1D85">
        <w:rPr>
          <w:lang w:val="en-US"/>
        </w:rPr>
        <w:t xml:space="preserve">When interventions are widely adopted before definitive mortality evidence is available, policy makers must rely on observational data that are vulnerable to selection bias and residual confounding. In such settings, methods that compare like-with-like on </w:t>
      </w:r>
      <w:r w:rsidRPr="00BF1D85">
        <w:rPr>
          <w:i/>
          <w:iCs/>
          <w:lang w:val="en-US"/>
        </w:rPr>
        <w:t>outcomes</w:t>
      </w:r>
      <w:r w:rsidRPr="00BF1D85">
        <w:rPr>
          <w:lang w:val="en-US"/>
        </w:rPr>
        <w:t xml:space="preserve"> rather than demographics are needed to estimate net benefit or harm.</w:t>
      </w:r>
    </w:p>
    <w:p w14:paraId="5C5EF63A" w14:textId="77777777" w:rsidR="00BF1D85" w:rsidRPr="00BF1D85" w:rsidRDefault="00BF1D85" w:rsidP="00BF1D85">
      <w:pPr>
        <w:rPr>
          <w:lang w:val="en-US"/>
        </w:rPr>
      </w:pPr>
      <w:r w:rsidRPr="00BF1D85">
        <w:rPr>
          <w:b/>
          <w:bCs/>
          <w:lang w:val="en-US"/>
        </w:rPr>
        <w:t>KCOR</w:t>
      </w:r>
      <w:r w:rsidRPr="00BF1D85">
        <w:rPr>
          <w:lang w:val="en-US"/>
        </w:rPr>
        <w:t xml:space="preserve"> provides a hazard-based framework that compares fixed cohorts using only retrospective records. By transforming weekly mortality probabilities to hazards, aligning baseline level and slope in pre-specified quiet periods, and then evaluating a baseline-normalized cumulative hazard ratio, KCOR emphasizes </w:t>
      </w:r>
      <w:r w:rsidRPr="00BF1D85">
        <w:rPr>
          <w:i/>
          <w:iCs/>
          <w:lang w:val="en-US"/>
        </w:rPr>
        <w:t>relative shifts in mortality intensity</w:t>
      </w:r>
      <w:r w:rsidRPr="00BF1D85">
        <w:rPr>
          <w:lang w:val="en-US"/>
        </w:rPr>
        <w:t xml:space="preserve"> after the index date. This yields an interpretable “below/above 1.0” curve for net benefit or harm and can be applied when traditional 1:1 matching underperforms due to strong vaccine/treatment selection effects.</w:t>
      </w:r>
    </w:p>
    <w:p w14:paraId="421902FC" w14:textId="77777777" w:rsidR="00BF1D85" w:rsidRPr="00BF1D85" w:rsidRDefault="00BF1D85" w:rsidP="00BF1D85">
      <w:pPr>
        <w:rPr>
          <w:b/>
          <w:bCs/>
          <w:lang w:val="en-US"/>
        </w:rPr>
      </w:pPr>
      <w:r w:rsidRPr="00BF1D85">
        <w:rPr>
          <w:b/>
          <w:bCs/>
          <w:lang w:val="en-US"/>
        </w:rPr>
        <w:t>Strengths</w:t>
      </w:r>
    </w:p>
    <w:p w14:paraId="5494574F" w14:textId="77777777" w:rsidR="00BF1D85" w:rsidRPr="00BF1D85" w:rsidRDefault="00BF1D85" w:rsidP="00BF1D85">
      <w:pPr>
        <w:numPr>
          <w:ilvl w:val="0"/>
          <w:numId w:val="14"/>
        </w:numPr>
        <w:rPr>
          <w:lang w:val="en-US"/>
        </w:rPr>
      </w:pPr>
      <w:r w:rsidRPr="00BF1D85">
        <w:rPr>
          <w:b/>
          <w:bCs/>
          <w:lang w:val="en-US"/>
        </w:rPr>
        <w:t>Minimal data</w:t>
      </w:r>
      <w:r w:rsidRPr="00BF1D85">
        <w:rPr>
          <w:lang w:val="en-US"/>
        </w:rPr>
        <w:t>: requires only date of birth, date of death (if any), and intervention status at enrollment.</w:t>
      </w:r>
    </w:p>
    <w:p w14:paraId="59E662C4" w14:textId="77777777" w:rsidR="00BF1D85" w:rsidRPr="00BF1D85" w:rsidRDefault="00BF1D85" w:rsidP="00BF1D85">
      <w:pPr>
        <w:numPr>
          <w:ilvl w:val="0"/>
          <w:numId w:val="14"/>
        </w:numPr>
        <w:rPr>
          <w:lang w:val="en-US"/>
        </w:rPr>
      </w:pPr>
      <w:r w:rsidRPr="00BF1D85">
        <w:rPr>
          <w:b/>
          <w:bCs/>
          <w:lang w:val="en-US"/>
        </w:rPr>
        <w:t>Outcome-anchored comparability</w:t>
      </w:r>
      <w:r w:rsidRPr="00BF1D85">
        <w:rPr>
          <w:lang w:val="en-US"/>
        </w:rPr>
        <w:t xml:space="preserve">: cohorts are matched on </w:t>
      </w:r>
      <w:r w:rsidRPr="00BF1D85">
        <w:rPr>
          <w:b/>
          <w:bCs/>
          <w:lang w:val="en-US"/>
        </w:rPr>
        <w:t>baseline mortality level and slope</w:t>
      </w:r>
      <w:r w:rsidRPr="00BF1D85">
        <w:rPr>
          <w:lang w:val="en-US"/>
        </w:rPr>
        <w:t>, reducing bias from static differences in age/frailty mix.</w:t>
      </w:r>
    </w:p>
    <w:p w14:paraId="7667D6B6" w14:textId="77777777" w:rsidR="00BF1D85" w:rsidRPr="00BF1D85" w:rsidRDefault="00BF1D85" w:rsidP="00BF1D85">
      <w:pPr>
        <w:numPr>
          <w:ilvl w:val="0"/>
          <w:numId w:val="14"/>
        </w:numPr>
        <w:rPr>
          <w:lang w:val="en-US"/>
        </w:rPr>
      </w:pPr>
      <w:r w:rsidRPr="00BF1D85">
        <w:rPr>
          <w:b/>
          <w:bCs/>
          <w:lang w:val="en-US"/>
        </w:rPr>
        <w:t>Mathematically consistent</w:t>
      </w:r>
      <w:r w:rsidRPr="00BF1D85">
        <w:rPr>
          <w:lang w:val="en-US"/>
        </w:rPr>
        <w:t xml:space="preserve">: uses a discrete-time hazard transform, so cumulative risk is </w:t>
      </w:r>
      <w:proofErr w:type="gramStart"/>
      <w:r w:rsidRPr="00BF1D85">
        <w:rPr>
          <w:lang w:val="en-US"/>
        </w:rPr>
        <w:t>additive</w:t>
      </w:r>
      <w:proofErr w:type="gramEnd"/>
      <w:r w:rsidRPr="00BF1D85">
        <w:rPr>
          <w:lang w:val="en-US"/>
        </w:rPr>
        <w:t xml:space="preserve"> and ratios are well-defined.</w:t>
      </w:r>
    </w:p>
    <w:p w14:paraId="08A4F856" w14:textId="77777777" w:rsidR="00BF1D85" w:rsidRPr="00BF1D85" w:rsidRDefault="00BF1D85" w:rsidP="00BF1D85">
      <w:pPr>
        <w:numPr>
          <w:ilvl w:val="0"/>
          <w:numId w:val="14"/>
        </w:numPr>
        <w:rPr>
          <w:lang w:val="en-US"/>
        </w:rPr>
      </w:pPr>
      <w:r w:rsidRPr="00BF1D85">
        <w:rPr>
          <w:b/>
          <w:bCs/>
          <w:lang w:val="en-US"/>
        </w:rPr>
        <w:t>Diagnostics (explicit)</w:t>
      </w:r>
      <w:r w:rsidRPr="00BF1D85">
        <w:rPr>
          <w:lang w:val="en-US"/>
        </w:rPr>
        <w:t xml:space="preserve">: log-slope fit checks within baseline windows; anchor-window sensitivity analyses; </w:t>
      </w:r>
      <w:r w:rsidRPr="00BF1D85">
        <w:rPr>
          <w:b/>
          <w:bCs/>
          <w:lang w:val="en-US"/>
        </w:rPr>
        <w:t>negative-control outcomes</w:t>
      </w:r>
      <w:r w:rsidRPr="00BF1D85">
        <w:rPr>
          <w:lang w:val="en-US"/>
        </w:rPr>
        <w:t xml:space="preserve"> and </w:t>
      </w:r>
      <w:r w:rsidRPr="00BF1D85">
        <w:rPr>
          <w:b/>
          <w:bCs/>
          <w:lang w:val="en-US"/>
        </w:rPr>
        <w:t>negative-control cohorts</w:t>
      </w:r>
      <w:r w:rsidRPr="00BF1D85">
        <w:rPr>
          <w:lang w:val="en-US"/>
        </w:rPr>
        <w:t xml:space="preserve"> to verify flat KCOR curves when no effect is expected.</w:t>
      </w:r>
    </w:p>
    <w:p w14:paraId="3BD7A43B" w14:textId="77777777" w:rsidR="00BF1D85" w:rsidRPr="00BF1D85" w:rsidRDefault="00BF1D85" w:rsidP="00BF1D85">
      <w:pPr>
        <w:numPr>
          <w:ilvl w:val="0"/>
          <w:numId w:val="14"/>
        </w:numPr>
        <w:rPr>
          <w:lang w:val="en-US"/>
        </w:rPr>
      </w:pPr>
      <w:r w:rsidRPr="00BF1D85">
        <w:rPr>
          <w:b/>
          <w:bCs/>
          <w:lang w:val="en-US"/>
        </w:rPr>
        <w:t>Modular and reproducible</w:t>
      </w:r>
      <w:r w:rsidRPr="00BF1D85">
        <w:rPr>
          <w:lang w:val="en-US"/>
        </w:rPr>
        <w:t>: the same pipeline applies to any binary outcome (mortality or otherwise) and any exposure; given the three input fields, results are deterministic and easy to audit.</w:t>
      </w:r>
    </w:p>
    <w:p w14:paraId="5AC42C9F" w14:textId="77777777" w:rsidR="00BF1D85" w:rsidRPr="00BF1D85" w:rsidRDefault="00BF1D85" w:rsidP="00BF1D85">
      <w:pPr>
        <w:rPr>
          <w:b/>
          <w:bCs/>
          <w:lang w:val="en-US"/>
        </w:rPr>
      </w:pPr>
      <w:r w:rsidRPr="00BF1D85">
        <w:rPr>
          <w:b/>
          <w:bCs/>
          <w:lang w:val="en-US"/>
        </w:rPr>
        <w:t>Limitations</w:t>
      </w:r>
    </w:p>
    <w:p w14:paraId="32F0AAA7" w14:textId="77777777" w:rsidR="00BF1D85" w:rsidRPr="00BF1D85" w:rsidRDefault="00BF1D85" w:rsidP="00BF1D85">
      <w:pPr>
        <w:numPr>
          <w:ilvl w:val="0"/>
          <w:numId w:val="15"/>
        </w:numPr>
        <w:rPr>
          <w:lang w:val="en-US"/>
        </w:rPr>
      </w:pPr>
      <w:r w:rsidRPr="00BF1D85">
        <w:rPr>
          <w:b/>
          <w:bCs/>
          <w:lang w:val="en-US"/>
        </w:rPr>
        <w:lastRenderedPageBreak/>
        <w:t>Data quality and linkage</w:t>
      </w:r>
      <w:r w:rsidRPr="00BF1D85">
        <w:rPr>
          <w:lang w:val="en-US"/>
        </w:rPr>
        <w:t xml:space="preserve">: KCOR requires accurate, individual-level dates (birth, death) and reliable intervention status at the </w:t>
      </w:r>
      <w:r w:rsidRPr="00BF1D85">
        <w:rPr>
          <w:b/>
          <w:bCs/>
          <w:lang w:val="en-US"/>
        </w:rPr>
        <w:t>enrollment/index</w:t>
      </w:r>
      <w:r w:rsidRPr="00BF1D85">
        <w:rPr>
          <w:lang w:val="en-US"/>
        </w:rPr>
        <w:t xml:space="preserve"> date; misclassification or incomplete linkage can bias hazards.</w:t>
      </w:r>
    </w:p>
    <w:p w14:paraId="55CF88CE" w14:textId="77777777" w:rsidR="00BF1D85" w:rsidRPr="00BF1D85" w:rsidRDefault="00BF1D85" w:rsidP="00BF1D85">
      <w:pPr>
        <w:numPr>
          <w:ilvl w:val="0"/>
          <w:numId w:val="15"/>
        </w:numPr>
        <w:rPr>
          <w:lang w:val="en-US"/>
        </w:rPr>
      </w:pPr>
      <w:r w:rsidRPr="00BF1D85">
        <w:rPr>
          <w:b/>
          <w:bCs/>
          <w:lang w:val="en-US"/>
        </w:rPr>
        <w:t>Quiet-period assumption</w:t>
      </w:r>
      <w:r w:rsidRPr="00BF1D85">
        <w:rPr>
          <w:lang w:val="en-US"/>
        </w:rPr>
        <w:t>: baseline alignment assumes approximately exponential (log-linear) mortality growth during the chosen windows; violations reduce normalization fidelity.</w:t>
      </w:r>
    </w:p>
    <w:p w14:paraId="15C03343" w14:textId="0F746599" w:rsidR="00BF1D85" w:rsidRPr="00BF1D85" w:rsidRDefault="00BF1D85" w:rsidP="00BF1D85">
      <w:pPr>
        <w:numPr>
          <w:ilvl w:val="0"/>
          <w:numId w:val="15"/>
        </w:numPr>
        <w:rPr>
          <w:lang w:val="en-US"/>
        </w:rPr>
      </w:pPr>
      <w:r w:rsidRPr="00BF1D85">
        <w:rPr>
          <w:b/>
          <w:bCs/>
          <w:lang w:val="en-US"/>
        </w:rPr>
        <w:t>Cohort-differential shocks within anchors</w:t>
      </w:r>
      <w:r w:rsidRPr="00BF1D85">
        <w:rPr>
          <w:lang w:val="en-US"/>
        </w:rPr>
        <w:t xml:space="preserve">: events disproportionately affecting one cohort during baseline windows can bias the estimated slope </w:t>
      </w:r>
      <m:oMath>
        <m:r>
          <w:rPr>
            <w:rFonts w:ascii="Cambria Math" w:hAnsi="Cambria Math"/>
            <w:lang w:val="en-US"/>
          </w:rPr>
          <m:t>β</m:t>
        </m:r>
      </m:oMath>
      <w:r w:rsidRPr="00BF1D85">
        <w:rPr>
          <w:lang w:val="en-US"/>
        </w:rPr>
        <w:t>and hence the normalization.</w:t>
      </w:r>
    </w:p>
    <w:p w14:paraId="097B3E73" w14:textId="77777777" w:rsidR="00BF1D85" w:rsidRPr="00BF1D85" w:rsidRDefault="00BF1D85" w:rsidP="00BF1D85">
      <w:pPr>
        <w:numPr>
          <w:ilvl w:val="0"/>
          <w:numId w:val="15"/>
        </w:numPr>
        <w:rPr>
          <w:lang w:val="en-US"/>
        </w:rPr>
      </w:pPr>
      <w:r w:rsidRPr="00BF1D85">
        <w:rPr>
          <w:b/>
          <w:bCs/>
          <w:lang w:val="en-US"/>
        </w:rPr>
        <w:t>Immediate effects near the index date</w:t>
      </w:r>
      <w:r w:rsidRPr="00BF1D85">
        <w:rPr>
          <w:lang w:val="en-US"/>
        </w:rPr>
        <w:t>: because normalization anchors to pre-effect periods, very acute effects that occur exactly at the index transition may be partially absorbed by anchoring, yielding conservative estimates.</w:t>
      </w:r>
    </w:p>
    <w:p w14:paraId="58178297" w14:textId="77777777" w:rsidR="00BF1D85" w:rsidRPr="00BF1D85" w:rsidRDefault="00BF1D85" w:rsidP="00BF1D85">
      <w:pPr>
        <w:numPr>
          <w:ilvl w:val="0"/>
          <w:numId w:val="15"/>
        </w:numPr>
        <w:rPr>
          <w:lang w:val="en-US"/>
        </w:rPr>
      </w:pPr>
      <w:r w:rsidRPr="00BF1D85">
        <w:rPr>
          <w:b/>
          <w:bCs/>
          <w:lang w:val="en-US"/>
        </w:rPr>
        <w:t>Time-varying confounding</w:t>
      </w:r>
      <w:r w:rsidRPr="00BF1D85">
        <w:rPr>
          <w:lang w:val="en-US"/>
        </w:rPr>
        <w:t>: as with all observational designs, unmeasured factors that change differentially after the index date can remain.</w:t>
      </w:r>
    </w:p>
    <w:p w14:paraId="18F9B945" w14:textId="77777777" w:rsidR="00BF1D85" w:rsidRPr="00BF1D85" w:rsidRDefault="00BF1D85" w:rsidP="00BF1D85">
      <w:pPr>
        <w:rPr>
          <w:b/>
          <w:bCs/>
          <w:lang w:val="en-US"/>
        </w:rPr>
      </w:pPr>
      <w:r w:rsidRPr="00BF1D85">
        <w:rPr>
          <w:b/>
          <w:bCs/>
          <w:lang w:val="en-US"/>
        </w:rPr>
        <w:t>Implications</w:t>
      </w:r>
    </w:p>
    <w:p w14:paraId="3F453A73" w14:textId="77777777" w:rsidR="00BF1D85" w:rsidRPr="00BF1D85" w:rsidRDefault="00BF1D85" w:rsidP="00BF1D85">
      <w:pPr>
        <w:rPr>
          <w:lang w:val="en-US"/>
        </w:rPr>
      </w:pPr>
      <w:r w:rsidRPr="00BF1D85">
        <w:rPr>
          <w:lang w:val="en-US"/>
        </w:rPr>
        <w:t>Despite these limitations, KCOR’s outcome-based matching and minimal data footprint make it a practical tool for post-deployment evaluation when RCT evidence on mortality is absent or not yet replicated. It is directly applicable to controversial or widely used interventions (e.g., vaccines) and may help stratify benefit for established therapies (e.g., statins) by identifying subgroups with net benefit versus net harm. KCOR’s transparent diagnostics and negative controls can strengthen evidential confidence and improve patient communication and informed-consent practices.</w:t>
      </w:r>
    </w:p>
    <w:p w14:paraId="4A16990E" w14:textId="77777777" w:rsidR="00A3696B" w:rsidRDefault="00A3696B" w:rsidP="00A3696B"/>
    <w:p w14:paraId="5FFA9AA8" w14:textId="77777777" w:rsidR="00A3696B" w:rsidRDefault="00A3696B" w:rsidP="00A3696B">
      <w:pPr>
        <w:rPr>
          <w:b/>
          <w:sz w:val="32"/>
          <w:szCs w:val="32"/>
        </w:rPr>
      </w:pPr>
      <w:r>
        <w:rPr>
          <w:b/>
          <w:sz w:val="32"/>
          <w:szCs w:val="32"/>
        </w:rPr>
        <w:br w:type="page"/>
      </w:r>
    </w:p>
    <w:p w14:paraId="2C0C0071" w14:textId="77777777" w:rsidR="00A3696B" w:rsidRPr="002A7763" w:rsidRDefault="00A3696B" w:rsidP="00A3696B">
      <w:pPr>
        <w:rPr>
          <w:b/>
          <w:sz w:val="28"/>
          <w:szCs w:val="28"/>
        </w:rPr>
      </w:pPr>
      <w:r w:rsidRPr="002A7763">
        <w:rPr>
          <w:b/>
          <w:sz w:val="28"/>
          <w:szCs w:val="28"/>
        </w:rPr>
        <w:lastRenderedPageBreak/>
        <w:t>Appendix</w:t>
      </w:r>
    </w:p>
    <w:p w14:paraId="6379A79F" w14:textId="77777777" w:rsidR="00A3696B" w:rsidRPr="002F61DD" w:rsidRDefault="00A3696B" w:rsidP="00A3696B">
      <w:pPr>
        <w:pStyle w:val="Heading1"/>
        <w:rPr>
          <w:rFonts w:asciiTheme="minorHAnsi" w:hAnsiTheme="minorHAnsi" w:cstheme="minorHAnsi"/>
          <w:sz w:val="24"/>
          <w:szCs w:val="24"/>
        </w:rPr>
      </w:pPr>
      <w:r w:rsidRPr="002F61DD">
        <w:rPr>
          <w:rFonts w:asciiTheme="minorHAnsi" w:hAnsiTheme="minorHAnsi" w:cstheme="minorHAnsi"/>
          <w:sz w:val="24"/>
          <w:szCs w:val="24"/>
        </w:rPr>
        <w:t>1 Notation</w:t>
      </w:r>
    </w:p>
    <w:tbl>
      <w:tblPr>
        <w:tblW w:w="0" w:type="auto"/>
        <w:tblLook w:val="04A0" w:firstRow="1" w:lastRow="0" w:firstColumn="1" w:lastColumn="0" w:noHBand="0" w:noVBand="1"/>
      </w:tblPr>
      <w:tblGrid>
        <w:gridCol w:w="4320"/>
        <w:gridCol w:w="4320"/>
      </w:tblGrid>
      <w:tr w:rsidR="00A3696B" w:rsidRPr="002F61DD" w14:paraId="78112E06" w14:textId="77777777" w:rsidTr="00392142">
        <w:tc>
          <w:tcPr>
            <w:tcW w:w="4320" w:type="dxa"/>
          </w:tcPr>
          <w:p w14:paraId="4D205DEC" w14:textId="77777777" w:rsidR="00A3696B" w:rsidRPr="002F61DD" w:rsidRDefault="00A3696B" w:rsidP="00392142">
            <w:pPr>
              <w:rPr>
                <w:rFonts w:cstheme="minorHAnsi"/>
                <w:b/>
              </w:rPr>
            </w:pPr>
            <w:r w:rsidRPr="002F61DD">
              <w:rPr>
                <w:rFonts w:cstheme="minorHAnsi"/>
                <w:b/>
              </w:rPr>
              <w:t>Symbol</w:t>
            </w:r>
          </w:p>
        </w:tc>
        <w:tc>
          <w:tcPr>
            <w:tcW w:w="4320" w:type="dxa"/>
          </w:tcPr>
          <w:p w14:paraId="6DBFF46F" w14:textId="77777777" w:rsidR="00A3696B" w:rsidRPr="002F61DD" w:rsidRDefault="00A3696B" w:rsidP="00392142">
            <w:pPr>
              <w:rPr>
                <w:rFonts w:cstheme="minorHAnsi"/>
                <w:b/>
              </w:rPr>
            </w:pPr>
            <w:r w:rsidRPr="002F61DD">
              <w:rPr>
                <w:rFonts w:cstheme="minorHAnsi"/>
                <w:b/>
              </w:rPr>
              <w:t>Meaning</w:t>
            </w:r>
          </w:p>
        </w:tc>
      </w:tr>
      <w:tr w:rsidR="00A3696B" w:rsidRPr="002F61DD" w14:paraId="6C6A81CD" w14:textId="77777777" w:rsidTr="00392142">
        <w:tc>
          <w:tcPr>
            <w:tcW w:w="4320" w:type="dxa"/>
          </w:tcPr>
          <w:p w14:paraId="461F8501" w14:textId="77777777" w:rsidR="00A3696B" w:rsidRPr="002F61DD" w:rsidRDefault="00A3696B" w:rsidP="00392142">
            <w:pPr>
              <w:rPr>
                <w:rFonts w:cstheme="minorHAnsi"/>
              </w:rPr>
            </w:pPr>
            <w:r w:rsidRPr="002F61DD">
              <w:rPr>
                <w:rFonts w:cstheme="minorHAnsi"/>
              </w:rPr>
              <w:t>t</w:t>
            </w:r>
          </w:p>
        </w:tc>
        <w:tc>
          <w:tcPr>
            <w:tcW w:w="4320" w:type="dxa"/>
          </w:tcPr>
          <w:p w14:paraId="423E55B3" w14:textId="77777777" w:rsidR="00A3696B" w:rsidRPr="002F61DD" w:rsidRDefault="00A3696B" w:rsidP="00392142">
            <w:pPr>
              <w:rPr>
                <w:rFonts w:cstheme="minorHAnsi"/>
              </w:rPr>
            </w:pPr>
            <w:r w:rsidRPr="002F61DD">
              <w:rPr>
                <w:rFonts w:cstheme="minorHAnsi"/>
              </w:rPr>
              <w:t>Week index (calendar time), with t = 0 at enrollment</w:t>
            </w:r>
          </w:p>
        </w:tc>
      </w:tr>
      <w:tr w:rsidR="00A3696B" w:rsidRPr="002F61DD" w14:paraId="7615E029" w14:textId="77777777" w:rsidTr="00392142">
        <w:tc>
          <w:tcPr>
            <w:tcW w:w="4320" w:type="dxa"/>
          </w:tcPr>
          <w:p w14:paraId="4D028424" w14:textId="77777777" w:rsidR="00A3696B" w:rsidRPr="002F61DD" w:rsidRDefault="00A3696B" w:rsidP="00392142">
            <w:pPr>
              <w:rPr>
                <w:rFonts w:cstheme="minorHAnsi"/>
              </w:rPr>
            </w:pPr>
            <w:r w:rsidRPr="002F61DD">
              <w:rPr>
                <w:rFonts w:cstheme="minorHAnsi"/>
              </w:rPr>
              <w:t>MR(t)</w:t>
            </w:r>
          </w:p>
        </w:tc>
        <w:tc>
          <w:tcPr>
            <w:tcW w:w="4320" w:type="dxa"/>
          </w:tcPr>
          <w:p w14:paraId="74943DDB" w14:textId="77777777" w:rsidR="00A3696B" w:rsidRPr="002F61DD" w:rsidRDefault="00A3696B" w:rsidP="00392142">
            <w:pPr>
              <w:rPr>
                <w:rFonts w:cstheme="minorHAnsi"/>
              </w:rPr>
            </w:pPr>
            <w:r w:rsidRPr="002F61DD">
              <w:rPr>
                <w:rFonts w:cstheme="minorHAnsi"/>
              </w:rPr>
              <w:t>Observed mortality rate in week t for a fixed cohort</w:t>
            </w:r>
          </w:p>
        </w:tc>
      </w:tr>
      <w:tr w:rsidR="00A3696B" w:rsidRPr="002F61DD" w14:paraId="106C214D" w14:textId="77777777" w:rsidTr="00392142">
        <w:tc>
          <w:tcPr>
            <w:tcW w:w="4320" w:type="dxa"/>
          </w:tcPr>
          <w:p w14:paraId="40456A6C" w14:textId="77777777" w:rsidR="00A3696B" w:rsidRPr="002F61DD" w:rsidRDefault="00A3696B" w:rsidP="00392142">
            <w:pPr>
              <w:rPr>
                <w:rFonts w:cstheme="minorHAnsi"/>
              </w:rPr>
            </w:pPr>
            <w:r w:rsidRPr="002F61DD">
              <w:rPr>
                <w:rFonts w:cstheme="minorHAnsi"/>
              </w:rPr>
              <w:t>r</w:t>
            </w:r>
          </w:p>
        </w:tc>
        <w:tc>
          <w:tcPr>
            <w:tcW w:w="4320" w:type="dxa"/>
          </w:tcPr>
          <w:p w14:paraId="42108FDE" w14:textId="77777777" w:rsidR="00A3696B" w:rsidRPr="002F61DD" w:rsidRDefault="00A3696B" w:rsidP="00392142">
            <w:pPr>
              <w:rPr>
                <w:rFonts w:cstheme="minorHAnsi"/>
              </w:rPr>
            </w:pPr>
            <w:r w:rsidRPr="002F61DD">
              <w:rPr>
                <w:rFonts w:cstheme="minorHAnsi"/>
              </w:rPr>
              <w:t>Exponential slope of baseline mortality for the cohort</w:t>
            </w:r>
          </w:p>
        </w:tc>
      </w:tr>
      <w:tr w:rsidR="00A3696B" w:rsidRPr="002F61DD" w14:paraId="13E055D4" w14:textId="77777777" w:rsidTr="00392142">
        <w:tc>
          <w:tcPr>
            <w:tcW w:w="4320" w:type="dxa"/>
          </w:tcPr>
          <w:p w14:paraId="1F463ECC" w14:textId="77777777" w:rsidR="00A3696B" w:rsidRPr="002F61DD" w:rsidRDefault="00A3696B" w:rsidP="00392142">
            <w:pPr>
              <w:rPr>
                <w:rFonts w:cstheme="minorHAnsi"/>
              </w:rPr>
            </w:pPr>
            <w:proofErr w:type="spellStart"/>
            <w:r w:rsidRPr="002F61DD">
              <w:rPr>
                <w:rFonts w:cstheme="minorHAnsi"/>
              </w:rPr>
              <w:t>MR_adj</w:t>
            </w:r>
            <w:proofErr w:type="spellEnd"/>
            <w:r w:rsidRPr="002F61DD">
              <w:rPr>
                <w:rFonts w:cstheme="minorHAnsi"/>
              </w:rPr>
              <w:t>(t)</w:t>
            </w:r>
          </w:p>
        </w:tc>
        <w:tc>
          <w:tcPr>
            <w:tcW w:w="4320" w:type="dxa"/>
          </w:tcPr>
          <w:p w14:paraId="64E3D7F2" w14:textId="77777777" w:rsidR="00A3696B" w:rsidRPr="002F61DD" w:rsidRDefault="00A3696B" w:rsidP="00392142">
            <w:pPr>
              <w:rPr>
                <w:rFonts w:cstheme="minorHAnsi"/>
              </w:rPr>
            </w:pPr>
            <w:r w:rsidRPr="002F61DD">
              <w:rPr>
                <w:rFonts w:cstheme="minorHAnsi"/>
              </w:rPr>
              <w:t>Slope</w:t>
            </w:r>
            <w:r w:rsidRPr="002F61DD">
              <w:rPr>
                <w:rFonts w:hAnsi="Cambria Math" w:cstheme="minorHAnsi"/>
              </w:rPr>
              <w:t>‑</w:t>
            </w:r>
            <w:r w:rsidRPr="002F61DD">
              <w:rPr>
                <w:rFonts w:cstheme="minorHAnsi"/>
              </w:rPr>
              <w:t>adjusted mortality rate</w:t>
            </w:r>
          </w:p>
        </w:tc>
      </w:tr>
      <w:tr w:rsidR="00A3696B" w:rsidRPr="002F61DD" w14:paraId="38A1AE0B" w14:textId="77777777" w:rsidTr="00392142">
        <w:tc>
          <w:tcPr>
            <w:tcW w:w="4320" w:type="dxa"/>
          </w:tcPr>
          <w:p w14:paraId="2049639C" w14:textId="77777777" w:rsidR="00A3696B" w:rsidRPr="002F61DD" w:rsidRDefault="00A3696B" w:rsidP="00392142">
            <w:pPr>
              <w:rPr>
                <w:rFonts w:cstheme="minorHAnsi"/>
              </w:rPr>
            </w:pPr>
            <w:r w:rsidRPr="002F61DD">
              <w:rPr>
                <w:rFonts w:cstheme="minorHAnsi"/>
              </w:rPr>
              <w:t>hazard(t)</w:t>
            </w:r>
          </w:p>
        </w:tc>
        <w:tc>
          <w:tcPr>
            <w:tcW w:w="4320" w:type="dxa"/>
          </w:tcPr>
          <w:p w14:paraId="3A7F16FD" w14:textId="77777777" w:rsidR="00A3696B" w:rsidRPr="002F61DD" w:rsidRDefault="00A3696B" w:rsidP="00392142">
            <w:pPr>
              <w:rPr>
                <w:rFonts w:cstheme="minorHAnsi"/>
              </w:rPr>
            </w:pPr>
            <w:r w:rsidRPr="002F61DD">
              <w:rPr>
                <w:rFonts w:cstheme="minorHAnsi"/>
              </w:rPr>
              <w:t>Discrete hazard in week t</w:t>
            </w:r>
          </w:p>
        </w:tc>
      </w:tr>
      <w:tr w:rsidR="00A3696B" w:rsidRPr="002F61DD" w14:paraId="1E8D9F06" w14:textId="77777777" w:rsidTr="00392142">
        <w:tc>
          <w:tcPr>
            <w:tcW w:w="4320" w:type="dxa"/>
          </w:tcPr>
          <w:p w14:paraId="2D9EB670" w14:textId="77777777" w:rsidR="00A3696B" w:rsidRPr="002F61DD" w:rsidRDefault="00A3696B" w:rsidP="00392142">
            <w:pPr>
              <w:rPr>
                <w:rFonts w:cstheme="minorHAnsi"/>
              </w:rPr>
            </w:pPr>
            <w:r w:rsidRPr="002F61DD">
              <w:rPr>
                <w:rFonts w:cstheme="minorHAnsi"/>
              </w:rPr>
              <w:t>CH(t)</w:t>
            </w:r>
          </w:p>
        </w:tc>
        <w:tc>
          <w:tcPr>
            <w:tcW w:w="4320" w:type="dxa"/>
          </w:tcPr>
          <w:p w14:paraId="3CC9A361" w14:textId="77777777" w:rsidR="00A3696B" w:rsidRPr="002F61DD" w:rsidRDefault="00A3696B" w:rsidP="00392142">
            <w:pPr>
              <w:rPr>
                <w:rFonts w:cstheme="minorHAnsi"/>
              </w:rPr>
            </w:pPr>
            <w:r w:rsidRPr="002F61DD">
              <w:rPr>
                <w:rFonts w:cstheme="minorHAnsi"/>
              </w:rPr>
              <w:t>Cumulative hazard up to week t</w:t>
            </w:r>
          </w:p>
        </w:tc>
      </w:tr>
      <w:tr w:rsidR="00A3696B" w:rsidRPr="002F61DD" w14:paraId="57798B5F" w14:textId="77777777" w:rsidTr="00392142">
        <w:tc>
          <w:tcPr>
            <w:tcW w:w="4320" w:type="dxa"/>
          </w:tcPr>
          <w:p w14:paraId="3A1A7A67" w14:textId="77777777" w:rsidR="00A3696B" w:rsidRPr="002F61DD" w:rsidRDefault="00A3696B" w:rsidP="00392142">
            <w:pPr>
              <w:rPr>
                <w:rFonts w:cstheme="minorHAnsi"/>
              </w:rPr>
            </w:pPr>
            <w:r w:rsidRPr="002F61DD">
              <w:rPr>
                <w:rFonts w:cstheme="minorHAnsi"/>
              </w:rPr>
              <w:t>t0</w:t>
            </w:r>
          </w:p>
        </w:tc>
        <w:tc>
          <w:tcPr>
            <w:tcW w:w="4320" w:type="dxa"/>
          </w:tcPr>
          <w:p w14:paraId="24D6975D" w14:textId="77777777" w:rsidR="00A3696B" w:rsidRPr="002F61DD" w:rsidRDefault="00A3696B" w:rsidP="00392142">
            <w:pPr>
              <w:rPr>
                <w:rFonts w:cstheme="minorHAnsi"/>
              </w:rPr>
            </w:pPr>
            <w:r w:rsidRPr="002F61DD">
              <w:rPr>
                <w:rFonts w:cstheme="minorHAnsi"/>
              </w:rPr>
              <w:t>Baseline week used for normalization (default t0 = 4)</w:t>
            </w:r>
          </w:p>
        </w:tc>
      </w:tr>
      <w:tr w:rsidR="00A3696B" w:rsidRPr="002F61DD" w14:paraId="6C94DE64" w14:textId="77777777" w:rsidTr="00392142">
        <w:tc>
          <w:tcPr>
            <w:tcW w:w="4320" w:type="dxa"/>
          </w:tcPr>
          <w:p w14:paraId="6CE4AB61" w14:textId="77777777" w:rsidR="00A3696B" w:rsidRPr="002F61DD" w:rsidRDefault="00A3696B" w:rsidP="00392142">
            <w:pPr>
              <w:rPr>
                <w:rFonts w:cstheme="minorHAnsi"/>
              </w:rPr>
            </w:pPr>
            <w:r w:rsidRPr="002F61DD">
              <w:rPr>
                <w:rFonts w:cstheme="minorHAnsi"/>
              </w:rPr>
              <w:t>KCOR(t)</w:t>
            </w:r>
          </w:p>
        </w:tc>
        <w:tc>
          <w:tcPr>
            <w:tcW w:w="4320" w:type="dxa"/>
          </w:tcPr>
          <w:p w14:paraId="1B8F8959" w14:textId="77777777" w:rsidR="00A3696B" w:rsidRPr="002F61DD" w:rsidRDefault="00A3696B" w:rsidP="00392142">
            <w:pPr>
              <w:rPr>
                <w:rFonts w:cstheme="minorHAnsi"/>
              </w:rPr>
            </w:pPr>
            <w:r w:rsidRPr="002F61DD">
              <w:rPr>
                <w:rFonts w:cstheme="minorHAnsi"/>
              </w:rPr>
              <w:t>Cumulative</w:t>
            </w:r>
            <w:r w:rsidRPr="002F61DD">
              <w:rPr>
                <w:rFonts w:hAnsi="Cambria Math" w:cstheme="minorHAnsi"/>
              </w:rPr>
              <w:t>‑</w:t>
            </w:r>
            <w:r w:rsidRPr="002F61DD">
              <w:rPr>
                <w:rFonts w:cstheme="minorHAnsi"/>
              </w:rPr>
              <w:t>hazard ratio, normalized at t0</w:t>
            </w:r>
          </w:p>
        </w:tc>
      </w:tr>
    </w:tbl>
    <w:p w14:paraId="262491F9" w14:textId="77777777" w:rsidR="00A3696B" w:rsidRPr="002F61DD" w:rsidRDefault="00A3696B" w:rsidP="00A3696B">
      <w:pPr>
        <w:pStyle w:val="Heading1"/>
        <w:rPr>
          <w:rFonts w:asciiTheme="minorHAnsi" w:hAnsiTheme="minorHAnsi" w:cstheme="minorHAnsi"/>
          <w:sz w:val="24"/>
          <w:szCs w:val="24"/>
        </w:rPr>
      </w:pPr>
      <w:r w:rsidRPr="002F61DD">
        <w:rPr>
          <w:rFonts w:asciiTheme="minorHAnsi" w:hAnsiTheme="minorHAnsi" w:cstheme="minorHAnsi"/>
          <w:sz w:val="24"/>
          <w:szCs w:val="24"/>
        </w:rPr>
        <w:t>2 Methods</w:t>
      </w:r>
    </w:p>
    <w:p w14:paraId="6400C9CF" w14:textId="77777777" w:rsidR="00A3696B" w:rsidRPr="002F61DD" w:rsidRDefault="00A3696B" w:rsidP="00A3696B">
      <w:pPr>
        <w:pStyle w:val="Heading2"/>
        <w:rPr>
          <w:rFonts w:asciiTheme="minorHAnsi" w:hAnsiTheme="minorHAnsi" w:cstheme="minorHAnsi"/>
          <w:sz w:val="22"/>
          <w:szCs w:val="22"/>
        </w:rPr>
      </w:pPr>
      <w:r w:rsidRPr="002F61DD">
        <w:rPr>
          <w:rFonts w:asciiTheme="minorHAnsi" w:hAnsiTheme="minorHAnsi" w:cstheme="minorHAnsi"/>
          <w:sz w:val="22"/>
          <w:szCs w:val="22"/>
        </w:rPr>
        <w:t xml:space="preserve">2.1 Mathematical formulation </w:t>
      </w:r>
    </w:p>
    <w:p w14:paraId="0D4AE790" w14:textId="77777777" w:rsidR="00A3696B" w:rsidRPr="002F61DD" w:rsidRDefault="00A3696B" w:rsidP="00A3696B">
      <w:pPr>
        <w:rPr>
          <w:rFonts w:cstheme="minorHAnsi"/>
        </w:rPr>
      </w:pPr>
      <w:r w:rsidRPr="002F61DD">
        <w:rPr>
          <w:rFonts w:cstheme="minorHAnsi"/>
        </w:rPr>
        <w:t>Slope normalization (per cohort):</w:t>
      </w:r>
    </w:p>
    <w:p w14:paraId="0DA23F3B" w14:textId="0FC82F3D" w:rsidR="00A3696B" w:rsidRPr="002F61DD" w:rsidRDefault="00424F3E" w:rsidP="00A3696B">
      <w:pPr>
        <w:rPr>
          <w:rFonts w:cstheme="minorHAnsi"/>
        </w:rPr>
      </w:pPr>
      <m:oMathPara>
        <m:oMath>
          <m:r>
            <w:rPr>
              <w:rFonts w:ascii="Cambria Math" w:hAnsi="Cambria Math" w:cstheme="minorHAnsi"/>
            </w:rPr>
            <m:t>M</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a</m:t>
              </m:r>
            </m:sub>
          </m:sSub>
          <m:r>
            <w:rPr>
              <w:rFonts w:ascii="Cambria Math" w:hAnsi="Cambria Math" w:cstheme="minorHAnsi"/>
            </w:rPr>
            <m:t>dj</m:t>
          </m:r>
          <m:d>
            <m:dPr>
              <m:ctrlPr>
                <w:rPr>
                  <w:rFonts w:ascii="Cambria Math" w:hAnsi="Cambria Math" w:cstheme="minorHAnsi"/>
                  <w:i/>
                </w:rPr>
              </m:ctrlPr>
            </m:dPr>
            <m:e>
              <m:r>
                <w:rPr>
                  <w:rFonts w:ascii="Cambria Math" w:hAnsi="Cambria Math" w:cstheme="minorHAnsi"/>
                </w:rPr>
                <m:t>t</m:t>
              </m:r>
            </m:e>
          </m:d>
          <m:r>
            <w:rPr>
              <w:rFonts w:ascii="Cambria Math" w:cstheme="minorHAnsi"/>
            </w:rPr>
            <m:t>=</m:t>
          </m:r>
          <m:r>
            <w:rPr>
              <w:rFonts w:ascii="Cambria Math" w:hAnsi="Cambria Math" w:cstheme="minorHAnsi"/>
            </w:rPr>
            <m:t>MR</m:t>
          </m:r>
          <m:d>
            <m:dPr>
              <m:ctrlPr>
                <w:rPr>
                  <w:rFonts w:ascii="Cambria Math" w:hAnsi="Cambria Math" w:cstheme="minorHAnsi"/>
                  <w:i/>
                </w:rPr>
              </m:ctrlPr>
            </m:dPr>
            <m:e>
              <m:r>
                <w:rPr>
                  <w:rFonts w:ascii="Cambria Math" w:hAnsi="Cambria Math" w:cstheme="minorHAnsi"/>
                </w:rPr>
                <m:t>t</m:t>
              </m:r>
            </m:e>
          </m:d>
          <m:r>
            <w:rPr>
              <w:rFonts w:ascii="Cambria Math" w:cstheme="minorHAnsi"/>
            </w:rPr>
            <m:t>·</m:t>
          </m:r>
          <m:r>
            <w:rPr>
              <w:rFonts w:ascii="Cambria Math" w:hAnsi="Cambria Math" w:cstheme="minorHAnsi"/>
            </w:rPr>
            <m:t>exp</m:t>
          </m:r>
          <m:d>
            <m:dPr>
              <m:ctrlPr>
                <w:rPr>
                  <w:rFonts w:ascii="Cambria Math" w:hAnsi="Cambria Math" w:cstheme="minorHAnsi"/>
                  <w:i/>
                </w:rPr>
              </m:ctrlPr>
            </m:dPr>
            <m:e>
              <m:r>
                <w:rPr>
                  <w:rFonts w:ascii="Cambria Math" w:cstheme="minorHAnsi"/>
                </w:rPr>
                <m:t>-</m:t>
              </m:r>
              <m:r>
                <w:rPr>
                  <w:rFonts w:ascii="Cambria Math" w:hAnsi="Cambria Math" w:cstheme="minorHAnsi"/>
                </w:rPr>
                <m:t>r</m:t>
              </m:r>
              <m:r>
                <w:rPr>
                  <w:rFonts w:ascii="Cambria Math" w:cstheme="minorHAnsi"/>
                </w:rPr>
                <m:t>·</m:t>
              </m:r>
              <m:d>
                <m:dPr>
                  <m:ctrlPr>
                    <w:rPr>
                      <w:rFonts w:ascii="Cambria Math" w:hAnsi="Cambria Math" w:cstheme="minorHAnsi"/>
                      <w:i/>
                    </w:rPr>
                  </m:ctrlPr>
                </m:dPr>
                <m:e>
                  <m:r>
                    <w:rPr>
                      <w:rFonts w:ascii="Cambria Math" w:hAnsi="Cambria Math" w:cstheme="minorHAnsi"/>
                    </w:rPr>
                    <m:t>t</m:t>
                  </m:r>
                  <m:r>
                    <w:rPr>
                      <w:rFonts w:asci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e</m:t>
                      </m:r>
                    </m:sub>
                  </m:sSub>
                </m:e>
              </m:d>
            </m:e>
          </m:d>
        </m:oMath>
      </m:oMathPara>
    </w:p>
    <w:p w14:paraId="24606B97" w14:textId="77777777" w:rsidR="00A3696B" w:rsidRPr="002F61DD" w:rsidRDefault="00A3696B" w:rsidP="00A3696B">
      <w:pPr>
        <w:rPr>
          <w:rFonts w:cstheme="minorHAnsi"/>
        </w:rPr>
      </w:pPr>
      <w:r w:rsidRPr="002F61DD">
        <w:rPr>
          <w:rFonts w:cstheme="minorHAnsi"/>
        </w:rPr>
        <w:t xml:space="preserve">Discrete </w:t>
      </w:r>
      <w:proofErr w:type="gramStart"/>
      <w:r w:rsidRPr="002F61DD">
        <w:rPr>
          <w:rFonts w:cstheme="minorHAnsi"/>
        </w:rPr>
        <w:t>hazard</w:t>
      </w:r>
      <w:proofErr w:type="gramEnd"/>
      <w:r w:rsidRPr="002F61DD">
        <w:rPr>
          <w:rFonts w:cstheme="minorHAnsi"/>
        </w:rPr>
        <w:t xml:space="preserve"> transform and cumulative hazards:</w:t>
      </w:r>
    </w:p>
    <w:p w14:paraId="220C3954" w14:textId="45232357" w:rsidR="00A3696B" w:rsidRPr="002F61DD" w:rsidRDefault="00424F3E" w:rsidP="00A3696B">
      <w:pPr>
        <w:rPr>
          <w:rFonts w:cstheme="minorHAnsi"/>
        </w:rPr>
      </w:pPr>
      <m:oMathPara>
        <m:oMath>
          <m:r>
            <w:rPr>
              <w:rFonts w:hAnsi="Cambria Math" w:cstheme="minorHAnsi"/>
            </w:rPr>
            <m:t>h</m:t>
          </m:r>
          <m:r>
            <w:rPr>
              <w:rFonts w:ascii="Cambria Math" w:hAnsi="Cambria Math" w:cstheme="minorHAnsi"/>
            </w:rPr>
            <m:t>azard</m:t>
          </m:r>
          <m:d>
            <m:dPr>
              <m:ctrlPr>
                <w:rPr>
                  <w:rFonts w:ascii="Cambria Math" w:hAnsi="Cambria Math" w:cstheme="minorHAnsi"/>
                  <w:i/>
                </w:rPr>
              </m:ctrlPr>
            </m:dPr>
            <m:e>
              <m:r>
                <w:rPr>
                  <w:rFonts w:ascii="Cambria Math" w:hAnsi="Cambria Math" w:cstheme="minorHAnsi"/>
                </w:rPr>
                <m:t>t</m:t>
              </m:r>
            </m:e>
          </m:d>
          <m:r>
            <w:rPr>
              <w:rFonts w:ascii="Cambria Math" w:cstheme="minorHAnsi"/>
            </w:rPr>
            <m:t>=</m:t>
          </m:r>
          <m:r>
            <w:rPr>
              <w:rFonts w:ascii="Cambria Math" w:cstheme="minorHAnsi"/>
            </w:rPr>
            <m:t>-</m:t>
          </m:r>
          <m:r>
            <w:rPr>
              <w:rFonts w:ascii="Cambria Math" w:hAnsi="Cambria Math" w:cstheme="minorHAnsi"/>
            </w:rPr>
            <m:t>ln</m:t>
          </m:r>
          <m:d>
            <m:dPr>
              <m:ctrlPr>
                <w:rPr>
                  <w:rFonts w:ascii="Cambria Math" w:hAnsi="Cambria Math" w:cstheme="minorHAnsi"/>
                  <w:i/>
                </w:rPr>
              </m:ctrlPr>
            </m:dPr>
            <m:e>
              <m:r>
                <w:rPr>
                  <w:rFonts w:ascii="Cambria Math" w:cstheme="minorHAnsi"/>
                </w:rPr>
                <m:t>1</m:t>
              </m:r>
              <m:r>
                <w:rPr>
                  <w:rFonts w:ascii="Cambria Math" w:cstheme="minorHAnsi"/>
                </w:rPr>
                <m:t>-</m:t>
              </m:r>
              <m:r>
                <w:rPr>
                  <w:rFonts w:ascii="Cambria Math" w:hAnsi="Cambria Math" w:cstheme="minorHAnsi"/>
                </w:rPr>
                <m:t>M</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a</m:t>
                  </m:r>
                </m:sub>
              </m:sSub>
              <m:r>
                <w:rPr>
                  <w:rFonts w:ascii="Cambria Math" w:hAnsi="Cambria Math" w:cstheme="minorHAnsi"/>
                </w:rPr>
                <m:t>dj</m:t>
              </m:r>
              <m:d>
                <m:dPr>
                  <m:ctrlPr>
                    <w:rPr>
                      <w:rFonts w:ascii="Cambria Math" w:hAnsi="Cambria Math" w:cstheme="minorHAnsi"/>
                      <w:i/>
                    </w:rPr>
                  </m:ctrlPr>
                </m:dPr>
                <m:e>
                  <m:r>
                    <w:rPr>
                      <w:rFonts w:ascii="Cambria Math" w:hAnsi="Cambria Math" w:cstheme="minorHAnsi"/>
                    </w:rPr>
                    <m:t>t</m:t>
                  </m:r>
                </m:e>
              </m:d>
            </m:e>
          </m:d>
        </m:oMath>
      </m:oMathPara>
    </w:p>
    <w:p w14:paraId="4A000B34" w14:textId="2EE2F115" w:rsidR="00A3696B" w:rsidRPr="002F61DD" w:rsidRDefault="00424F3E" w:rsidP="00A3696B">
      <w:pPr>
        <w:rPr>
          <w:rFonts w:cstheme="minorHAnsi"/>
        </w:rPr>
      </w:pPr>
      <m:oMathPara>
        <m:oMath>
          <m:r>
            <w:rPr>
              <w:rFonts w:ascii="Cambria Math" w:hAnsi="Cambria Math" w:cstheme="minorHAnsi"/>
            </w:rPr>
            <m:t>CH</m:t>
          </m:r>
          <m:d>
            <m:dPr>
              <m:ctrlPr>
                <w:rPr>
                  <w:rFonts w:ascii="Cambria Math" w:hAnsi="Cambria Math" w:cstheme="minorHAnsi"/>
                  <w:i/>
                </w:rPr>
              </m:ctrlPr>
            </m:dPr>
            <m:e>
              <m:r>
                <w:rPr>
                  <w:rFonts w:ascii="Cambria Math" w:hAnsi="Cambria Math" w:cstheme="minorHAnsi"/>
                </w:rPr>
                <m:t>t</m:t>
              </m:r>
            </m:e>
          </m:d>
          <m:r>
            <w:rPr>
              <w:rFonts w:ascii="Cambria Math" w:cstheme="minorHAnsi"/>
            </w:rPr>
            <m:t>=</m:t>
          </m:r>
          <m:nary>
            <m:naryPr>
              <m:chr m:val="∑"/>
              <m:ctrlPr>
                <w:rPr>
                  <w:rFonts w:ascii="Cambria Math" w:hAnsi="Cambria Math" w:cstheme="minorHAnsi"/>
                  <w:i/>
                </w:rPr>
              </m:ctrlPr>
            </m:naryPr>
            <m:sub>
              <m:r>
                <w:rPr>
                  <w:rFonts w:ascii="Cambria Math" w:hAnsi="Cambria Math" w:cstheme="minorHAnsi"/>
                </w:rPr>
                <m:t>i</m:t>
              </m:r>
              <m:r>
                <w:rPr>
                  <w:rFonts w:ascii="Cambria Math" w:cstheme="minorHAnsi"/>
                </w:rPr>
                <m:t>=0</m:t>
              </m:r>
            </m:sub>
            <m:sup>
              <m:r>
                <w:rPr>
                  <w:rFonts w:ascii="Cambria Math" w:hAnsi="Cambria Math" w:cstheme="minorHAnsi"/>
                </w:rPr>
                <m:t>t</m:t>
              </m:r>
            </m:sup>
            <m:e>
              <m:r>
                <w:rPr>
                  <w:rFonts w:ascii="Cambria Math" w:hAnsi="Cambria Math" w:cstheme="minorHAnsi"/>
                </w:rPr>
                <m:t>hazard</m:t>
              </m:r>
              <m:d>
                <m:dPr>
                  <m:ctrlPr>
                    <w:rPr>
                      <w:rFonts w:ascii="Cambria Math" w:hAnsi="Cambria Math" w:cstheme="minorHAnsi"/>
                      <w:i/>
                    </w:rPr>
                  </m:ctrlPr>
                </m:dPr>
                <m:e>
                  <m:r>
                    <w:rPr>
                      <w:rFonts w:ascii="Cambria Math" w:hAnsi="Cambria Math" w:cstheme="minorHAnsi"/>
                    </w:rPr>
                    <m:t>i</m:t>
                  </m:r>
                </m:e>
              </m:d>
            </m:e>
          </m:nary>
        </m:oMath>
      </m:oMathPara>
    </w:p>
    <w:p w14:paraId="7EBAB2DD" w14:textId="77777777" w:rsidR="00A3696B" w:rsidRPr="002F61DD" w:rsidRDefault="00A3696B" w:rsidP="00A3696B">
      <w:pPr>
        <w:rPr>
          <w:rFonts w:cstheme="minorHAnsi"/>
        </w:rPr>
      </w:pPr>
      <w:r w:rsidRPr="002F61DD">
        <w:rPr>
          <w:rFonts w:cstheme="minorHAnsi"/>
        </w:rPr>
        <w:t>Baseline</w:t>
      </w:r>
      <w:r w:rsidRPr="002F61DD">
        <w:rPr>
          <w:rFonts w:hAnsi="Cambria Math" w:cstheme="minorHAnsi"/>
        </w:rPr>
        <w:t>‑</w:t>
      </w:r>
      <w:r w:rsidRPr="002F61DD">
        <w:rPr>
          <w:rFonts w:cstheme="minorHAnsi"/>
        </w:rPr>
        <w:t>normalized cumulative</w:t>
      </w:r>
      <w:r w:rsidRPr="002F61DD">
        <w:rPr>
          <w:rFonts w:hAnsi="Cambria Math" w:cstheme="minorHAnsi"/>
        </w:rPr>
        <w:t>‑</w:t>
      </w:r>
      <w:r w:rsidRPr="002F61DD">
        <w:rPr>
          <w:rFonts w:cstheme="minorHAnsi"/>
        </w:rPr>
        <w:t>hazard ratio (cohorts v over u):</w:t>
      </w:r>
    </w:p>
    <w:p w14:paraId="5B6CB47B" w14:textId="75E36BB5" w:rsidR="00A3696B" w:rsidRPr="002F61DD" w:rsidRDefault="00424F3E" w:rsidP="00A3696B">
      <w:pPr>
        <w:rPr>
          <w:rFonts w:cstheme="minorHAnsi"/>
        </w:rPr>
      </w:pPr>
      <m:oMathPara>
        <m:oMath>
          <m:r>
            <w:rPr>
              <w:rFonts w:ascii="Cambria Math" w:hAnsi="Cambria Math" w:cstheme="minorHAnsi"/>
            </w:rPr>
            <m:t>KCOR</m:t>
          </m:r>
          <m:d>
            <m:dPr>
              <m:ctrlPr>
                <w:rPr>
                  <w:rFonts w:ascii="Cambria Math" w:hAnsi="Cambria Math" w:cstheme="minorHAnsi"/>
                  <w:i/>
                </w:rPr>
              </m:ctrlPr>
            </m:dPr>
            <m:e>
              <m:r>
                <w:rPr>
                  <w:rFonts w:ascii="Cambria Math" w:hAnsi="Cambria Math" w:cstheme="minorHAnsi"/>
                </w:rPr>
                <m:t>t</m:t>
              </m:r>
            </m:e>
          </m:d>
          <m:r>
            <w:rPr>
              <w:rFonts w:ascii="Cambria Math" w:cstheme="minorHAnsi"/>
            </w:rPr>
            <m:t>=</m:t>
          </m:r>
          <m:d>
            <m:dPr>
              <m:begChr m:val="["/>
              <m:endChr m:val="]"/>
              <m:ctrlPr>
                <w:rPr>
                  <w:rFonts w:ascii="Cambria Math" w:hAnsi="Cambria Math" w:cstheme="minorHAnsi"/>
                  <w:i/>
                </w:rPr>
              </m:ctrlPr>
            </m:dPr>
            <m:e>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v</m:t>
                  </m:r>
                </m:sub>
              </m:sSub>
              <m:d>
                <m:dPr>
                  <m:ctrlPr>
                    <w:rPr>
                      <w:rFonts w:ascii="Cambria Math" w:hAnsi="Cambria Math" w:cstheme="minorHAnsi"/>
                      <w:i/>
                    </w:rPr>
                  </m:ctrlPr>
                </m:dPr>
                <m:e>
                  <m:r>
                    <w:rPr>
                      <w:rFonts w:ascii="Cambria Math" w:hAnsi="Cambria Math" w:cstheme="minorHAnsi"/>
                    </w:rPr>
                    <m:t>t</m:t>
                  </m:r>
                </m:e>
              </m:d>
              <m:r>
                <m:rPr>
                  <m:lit/>
                </m:rPr>
                <w:rPr>
                  <w:rFonts w:ascii="Cambria Math" w:cstheme="minorHAnsi"/>
                </w:rPr>
                <m:t>/</m:t>
              </m:r>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u</m:t>
                  </m:r>
                </m:sub>
              </m:sSub>
              <m:d>
                <m:dPr>
                  <m:ctrlPr>
                    <w:rPr>
                      <w:rFonts w:ascii="Cambria Math" w:hAnsi="Cambria Math" w:cstheme="minorHAnsi"/>
                      <w:i/>
                    </w:rPr>
                  </m:ctrlPr>
                </m:dPr>
                <m:e>
                  <m:r>
                    <w:rPr>
                      <w:rFonts w:ascii="Cambria Math" w:hAnsi="Cambria Math" w:cstheme="minorHAnsi"/>
                    </w:rPr>
                    <m:t>t</m:t>
                  </m:r>
                </m:e>
              </m:d>
            </m:e>
          </m:d>
          <m:r>
            <m:rPr>
              <m:lit/>
            </m:rPr>
            <w:rPr>
              <w:rFonts w:ascii="Cambria Math" w:cstheme="minorHAnsi"/>
            </w:rPr>
            <m:t>/</m:t>
          </m:r>
          <m:d>
            <m:dPr>
              <m:begChr m:val="["/>
              <m:endChr m:val="]"/>
              <m:ctrlPr>
                <w:rPr>
                  <w:rFonts w:ascii="Cambria Math" w:hAnsi="Cambria Math" w:cstheme="minorHAnsi"/>
                  <w:i/>
                </w:rPr>
              </m:ctrlPr>
            </m:dPr>
            <m:e>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v</m:t>
                  </m:r>
                </m:sub>
              </m:sSub>
              <m:d>
                <m:dPr>
                  <m:ctrlPr>
                    <w:rPr>
                      <w:rFonts w:ascii="Cambria Math" w:hAnsi="Cambria Math" w:cstheme="minorHAnsi"/>
                      <w:i/>
                    </w:rPr>
                  </m:ctrlPr>
                </m:dPr>
                <m:e>
                  <m:r>
                    <w:rPr>
                      <w:rFonts w:ascii="Cambria Math" w:hAnsi="Cambria Math" w:cstheme="minorHAnsi"/>
                    </w:rPr>
                    <m:t>t</m:t>
                  </m:r>
                  <m:r>
                    <w:rPr>
                      <w:rFonts w:ascii="Cambria Math" w:cstheme="minorHAnsi"/>
                    </w:rPr>
                    <m:t>0</m:t>
                  </m:r>
                </m:e>
              </m:d>
              <m:r>
                <m:rPr>
                  <m:lit/>
                </m:rPr>
                <w:rPr>
                  <w:rFonts w:ascii="Cambria Math" w:cstheme="minorHAnsi"/>
                </w:rPr>
                <m:t>/</m:t>
              </m:r>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u</m:t>
                  </m:r>
                </m:sub>
              </m:sSub>
              <m:d>
                <m:dPr>
                  <m:ctrlPr>
                    <w:rPr>
                      <w:rFonts w:ascii="Cambria Math" w:hAnsi="Cambria Math" w:cstheme="minorHAnsi"/>
                      <w:i/>
                    </w:rPr>
                  </m:ctrlPr>
                </m:dPr>
                <m:e>
                  <m:r>
                    <w:rPr>
                      <w:rFonts w:ascii="Cambria Math" w:hAnsi="Cambria Math" w:cstheme="minorHAnsi"/>
                    </w:rPr>
                    <m:t>t</m:t>
                  </m:r>
                  <m:r>
                    <w:rPr>
                      <w:rFonts w:ascii="Cambria Math" w:cstheme="minorHAnsi"/>
                    </w:rPr>
                    <m:t>0</m:t>
                  </m:r>
                </m:e>
              </m:d>
            </m:e>
          </m:d>
        </m:oMath>
      </m:oMathPara>
    </w:p>
    <w:p w14:paraId="7454B79C" w14:textId="77777777" w:rsidR="00A3696B" w:rsidRPr="002F61DD" w:rsidRDefault="00A3696B" w:rsidP="00A3696B">
      <w:pPr>
        <w:rPr>
          <w:rFonts w:cstheme="minorHAnsi"/>
        </w:rPr>
      </w:pPr>
      <w:r w:rsidRPr="002F61DD">
        <w:rPr>
          <w:rFonts w:cstheme="minorHAnsi"/>
        </w:rPr>
        <w:t>Log</w:t>
      </w:r>
      <w:r w:rsidRPr="002F61DD">
        <w:rPr>
          <w:rFonts w:hAnsi="Cambria Math" w:cstheme="minorHAnsi"/>
        </w:rPr>
        <w:t>‑</w:t>
      </w:r>
      <w:r w:rsidRPr="002F61DD">
        <w:rPr>
          <w:rFonts w:cstheme="minorHAnsi"/>
        </w:rPr>
        <w:t xml:space="preserve">scale uncertainty (Poisson approximation </w:t>
      </w:r>
      <w:proofErr w:type="gramStart"/>
      <w:r w:rsidRPr="002F61DD">
        <w:rPr>
          <w:rFonts w:cstheme="minorHAnsi"/>
        </w:rPr>
        <w:t>Var[</w:t>
      </w:r>
      <w:proofErr w:type="gramEnd"/>
      <w:r w:rsidRPr="002F61DD">
        <w:rPr>
          <w:rFonts w:cstheme="minorHAnsi"/>
        </w:rPr>
        <w:t>CH] ≈ CH):</w:t>
      </w:r>
    </w:p>
    <w:p w14:paraId="7114CF35" w14:textId="28CFFDE7" w:rsidR="00A3696B" w:rsidRPr="002F61DD" w:rsidRDefault="00424F3E" w:rsidP="00A3696B">
      <w:pPr>
        <w:rPr>
          <w:rFonts w:cstheme="minorHAnsi"/>
        </w:rPr>
      </w:pPr>
      <m:oMathPara>
        <m:oMath>
          <m:r>
            <w:rPr>
              <w:rFonts w:ascii="Cambria Math" w:hAnsi="Cambria Math" w:cstheme="minorHAnsi"/>
            </w:rPr>
            <m:t>Var</m:t>
          </m:r>
          <m:d>
            <m:dPr>
              <m:begChr m:val="["/>
              <m:endChr m:val="]"/>
              <m:ctrlPr>
                <w:rPr>
                  <w:rFonts w:ascii="Cambria Math" w:hAnsi="Cambria Math" w:cstheme="minorHAnsi"/>
                  <w:i/>
                </w:rPr>
              </m:ctrlPr>
            </m:dPr>
            <m:e>
              <m:r>
                <w:rPr>
                  <w:rFonts w:ascii="Cambria Math" w:hAnsi="Cambria Math" w:cstheme="minorHAnsi"/>
                </w:rPr>
                <m:t>ln</m:t>
              </m:r>
              <m:d>
                <m:dPr>
                  <m:ctrlPr>
                    <w:rPr>
                      <w:rFonts w:ascii="Cambria Math" w:hAnsi="Cambria Math" w:cstheme="minorHAnsi"/>
                      <w:i/>
                    </w:rPr>
                  </m:ctrlPr>
                </m:dPr>
                <m:e>
                  <m:r>
                    <w:rPr>
                      <w:rFonts w:ascii="Cambria Math" w:hAnsi="Cambria Math" w:cstheme="minorHAnsi"/>
                    </w:rPr>
                    <m:t>KCOR</m:t>
                  </m:r>
                  <m:d>
                    <m:dPr>
                      <m:ctrlPr>
                        <w:rPr>
                          <w:rFonts w:ascii="Cambria Math" w:hAnsi="Cambria Math" w:cstheme="minorHAnsi"/>
                          <w:i/>
                        </w:rPr>
                      </m:ctrlPr>
                    </m:dPr>
                    <m:e>
                      <m:r>
                        <w:rPr>
                          <w:rFonts w:ascii="Cambria Math" w:hAnsi="Cambria Math" w:cstheme="minorHAnsi"/>
                        </w:rPr>
                        <m:t>t</m:t>
                      </m:r>
                    </m:e>
                  </m:d>
                </m:e>
              </m:d>
            </m:e>
          </m:d>
          <m:r>
            <w:rPr>
              <w:rFonts w:ascii="Cambria Math" w:cstheme="minorHAnsi"/>
            </w:rPr>
            <m:t>≈</m:t>
          </m:r>
          <m:r>
            <w:rPr>
              <w:rFonts w:ascii="Cambria Math" w:hAnsi="Cambria Math" w:cstheme="minorHAnsi"/>
            </w:rPr>
            <m:t>Var</m:t>
          </m:r>
          <m:d>
            <m:dPr>
              <m:begChr m:val="["/>
              <m:endChr m:val="]"/>
              <m:ctrlPr>
                <w:rPr>
                  <w:rFonts w:ascii="Cambria Math" w:hAnsi="Cambria Math" w:cstheme="minorHAnsi"/>
                  <w:i/>
                </w:rPr>
              </m:ctrlPr>
            </m:dPr>
            <m:e>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v</m:t>
                  </m:r>
                </m:sub>
              </m:sSub>
              <m:d>
                <m:dPr>
                  <m:ctrlPr>
                    <w:rPr>
                      <w:rFonts w:ascii="Cambria Math" w:hAnsi="Cambria Math" w:cstheme="minorHAnsi"/>
                      <w:i/>
                    </w:rPr>
                  </m:ctrlPr>
                </m:dPr>
                <m:e>
                  <m:r>
                    <w:rPr>
                      <w:rFonts w:ascii="Cambria Math" w:hAnsi="Cambria Math" w:cstheme="minorHAnsi"/>
                    </w:rPr>
                    <m:t>t</m:t>
                  </m:r>
                </m:e>
              </m:d>
            </m:e>
          </m:d>
          <m:r>
            <m:rPr>
              <m:lit/>
            </m:rPr>
            <w:rPr>
              <w:rFonts w:ascii="Cambria Math" w:cstheme="minorHAnsi"/>
            </w:rPr>
            <m:t>/</m:t>
          </m:r>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v</m:t>
              </m:r>
            </m:sub>
          </m:sSub>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t</m:t>
                  </m:r>
                </m:e>
              </m:d>
            </m:e>
            <m:sup>
              <m:r>
                <w:rPr>
                  <w:rFonts w:ascii="Cambria Math" w:cstheme="minorHAnsi"/>
                </w:rPr>
                <m:t>2</m:t>
              </m:r>
            </m:sup>
          </m:sSup>
          <m:r>
            <w:rPr>
              <w:rFonts w:ascii="Cambria Math" w:cstheme="minorHAnsi"/>
            </w:rPr>
            <m:t>+</m:t>
          </m:r>
          <m:r>
            <w:rPr>
              <w:rFonts w:ascii="Cambria Math" w:hAnsi="Cambria Math" w:cstheme="minorHAnsi"/>
            </w:rPr>
            <m:t>Var</m:t>
          </m:r>
          <m:d>
            <m:dPr>
              <m:begChr m:val="["/>
              <m:endChr m:val="]"/>
              <m:ctrlPr>
                <w:rPr>
                  <w:rFonts w:ascii="Cambria Math" w:hAnsi="Cambria Math" w:cstheme="minorHAnsi"/>
                  <w:i/>
                </w:rPr>
              </m:ctrlPr>
            </m:dPr>
            <m:e>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u</m:t>
                  </m:r>
                </m:sub>
              </m:sSub>
              <m:d>
                <m:dPr>
                  <m:ctrlPr>
                    <w:rPr>
                      <w:rFonts w:ascii="Cambria Math" w:hAnsi="Cambria Math" w:cstheme="minorHAnsi"/>
                      <w:i/>
                    </w:rPr>
                  </m:ctrlPr>
                </m:dPr>
                <m:e>
                  <m:r>
                    <w:rPr>
                      <w:rFonts w:ascii="Cambria Math" w:hAnsi="Cambria Math" w:cstheme="minorHAnsi"/>
                    </w:rPr>
                    <m:t>t</m:t>
                  </m:r>
                </m:e>
              </m:d>
            </m:e>
          </m:d>
          <m:r>
            <m:rPr>
              <m:lit/>
            </m:rPr>
            <w:rPr>
              <w:rFonts w:ascii="Cambria Math" w:cstheme="minorHAnsi"/>
            </w:rPr>
            <m:t>/</m:t>
          </m:r>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u</m:t>
              </m:r>
            </m:sub>
          </m:sSub>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t</m:t>
                  </m:r>
                </m:e>
              </m:d>
            </m:e>
            <m:sup>
              <m:r>
                <w:rPr>
                  <w:rFonts w:ascii="Cambria Math" w:cstheme="minorHAnsi"/>
                </w:rPr>
                <m:t>2</m:t>
              </m:r>
            </m:sup>
          </m:sSup>
          <m:r>
            <w:rPr>
              <w:rFonts w:ascii="Cambria Math" w:cstheme="minorHAnsi"/>
            </w:rPr>
            <m:t>+</m:t>
          </m:r>
          <m:r>
            <w:rPr>
              <w:rFonts w:ascii="Cambria Math" w:hAnsi="Cambria Math" w:cstheme="minorHAnsi"/>
            </w:rPr>
            <m:t>Var</m:t>
          </m:r>
          <m:d>
            <m:dPr>
              <m:begChr m:val="["/>
              <m:endChr m:val="]"/>
              <m:ctrlPr>
                <w:rPr>
                  <w:rFonts w:ascii="Cambria Math" w:hAnsi="Cambria Math" w:cstheme="minorHAnsi"/>
                  <w:i/>
                </w:rPr>
              </m:ctrlPr>
            </m:dPr>
            <m:e>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v</m:t>
                  </m:r>
                </m:sub>
              </m:sSub>
              <m:d>
                <m:dPr>
                  <m:ctrlPr>
                    <w:rPr>
                      <w:rFonts w:ascii="Cambria Math" w:hAnsi="Cambria Math" w:cstheme="minorHAnsi"/>
                      <w:i/>
                    </w:rPr>
                  </m:ctrlPr>
                </m:dPr>
                <m:e>
                  <m:r>
                    <w:rPr>
                      <w:rFonts w:ascii="Cambria Math" w:hAnsi="Cambria Math" w:cstheme="minorHAnsi"/>
                    </w:rPr>
                    <m:t>t</m:t>
                  </m:r>
                  <m:r>
                    <w:rPr>
                      <w:rFonts w:ascii="Cambria Math" w:cstheme="minorHAnsi"/>
                    </w:rPr>
                    <m:t>0</m:t>
                  </m:r>
                </m:e>
              </m:d>
            </m:e>
          </m:d>
          <m:r>
            <m:rPr>
              <m:lit/>
            </m:rPr>
            <w:rPr>
              <w:rFonts w:ascii="Cambria Math" w:cstheme="minorHAnsi"/>
            </w:rPr>
            <m:t>/</m:t>
          </m:r>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v</m:t>
              </m:r>
            </m:sub>
          </m:sSub>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t</m:t>
                  </m:r>
                  <m:r>
                    <w:rPr>
                      <w:rFonts w:ascii="Cambria Math" w:cstheme="minorHAnsi"/>
                    </w:rPr>
                    <m:t>0</m:t>
                  </m:r>
                </m:e>
              </m:d>
            </m:e>
            <m:sup>
              <m:r>
                <w:rPr>
                  <w:rFonts w:ascii="Cambria Math" w:cstheme="minorHAnsi"/>
                </w:rPr>
                <m:t>2</m:t>
              </m:r>
            </m:sup>
          </m:sSup>
          <m:r>
            <w:rPr>
              <w:rFonts w:ascii="Cambria Math" w:cstheme="minorHAnsi"/>
            </w:rPr>
            <m:t>+</m:t>
          </m:r>
          <m:r>
            <w:rPr>
              <w:rFonts w:ascii="Cambria Math" w:hAnsi="Cambria Math" w:cstheme="minorHAnsi"/>
            </w:rPr>
            <m:t>Var</m:t>
          </m:r>
          <m:d>
            <m:dPr>
              <m:begChr m:val="["/>
              <m:endChr m:val="]"/>
              <m:ctrlPr>
                <w:rPr>
                  <w:rFonts w:ascii="Cambria Math" w:hAnsi="Cambria Math" w:cstheme="minorHAnsi"/>
                  <w:i/>
                </w:rPr>
              </m:ctrlPr>
            </m:dPr>
            <m:e>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u</m:t>
                  </m:r>
                </m:sub>
              </m:sSub>
              <m:d>
                <m:dPr>
                  <m:ctrlPr>
                    <w:rPr>
                      <w:rFonts w:ascii="Cambria Math" w:hAnsi="Cambria Math" w:cstheme="minorHAnsi"/>
                      <w:i/>
                    </w:rPr>
                  </m:ctrlPr>
                </m:dPr>
                <m:e>
                  <m:r>
                    <w:rPr>
                      <w:rFonts w:ascii="Cambria Math" w:hAnsi="Cambria Math" w:cstheme="minorHAnsi"/>
                    </w:rPr>
                    <m:t>t</m:t>
                  </m:r>
                  <m:r>
                    <w:rPr>
                      <w:rFonts w:ascii="Cambria Math" w:cstheme="minorHAnsi"/>
                    </w:rPr>
                    <m:t>0</m:t>
                  </m:r>
                </m:e>
              </m:d>
            </m:e>
          </m:d>
          <m:r>
            <m:rPr>
              <m:lit/>
            </m:rPr>
            <w:rPr>
              <w:rFonts w:ascii="Cambria Math" w:cstheme="minorHAnsi"/>
            </w:rPr>
            <m:t>/</m:t>
          </m:r>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u</m:t>
              </m:r>
            </m:sub>
          </m:sSub>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t</m:t>
                  </m:r>
                  <m:r>
                    <w:rPr>
                      <w:rFonts w:ascii="Cambria Math" w:cstheme="minorHAnsi"/>
                    </w:rPr>
                    <m:t>0</m:t>
                  </m:r>
                </m:e>
              </m:d>
            </m:e>
            <m:sup>
              <m:r>
                <w:rPr>
                  <w:rFonts w:ascii="Cambria Math" w:cstheme="minorHAnsi"/>
                </w:rPr>
                <m:t>2</m:t>
              </m:r>
            </m:sup>
          </m:sSup>
        </m:oMath>
      </m:oMathPara>
    </w:p>
    <w:p w14:paraId="465E280D" w14:textId="20CE4C93" w:rsidR="00A3696B" w:rsidRPr="002F61DD" w:rsidRDefault="00424F3E" w:rsidP="00A3696B">
      <w:pPr>
        <w:rPr>
          <w:rFonts w:cstheme="minorHAnsi"/>
        </w:rPr>
      </w:pPr>
      <m:oMathPara>
        <m:oMath>
          <m:r>
            <w:rPr>
              <w:rFonts w:ascii="Cambria Math" w:cstheme="minorHAnsi"/>
            </w:rPr>
            <w:lastRenderedPageBreak/>
            <m:t>95%</m:t>
          </m:r>
          <m:r>
            <w:rPr>
              <w:rFonts w:ascii="Cambria Math" w:hAnsi="Cambria Math" w:cstheme="minorHAnsi"/>
            </w:rPr>
            <m:t>CI</m:t>
          </m:r>
          <m:r>
            <w:rPr>
              <w:rFonts w:ascii="Cambria Math" w:cstheme="minorHAnsi"/>
            </w:rPr>
            <m:t>:</m:t>
          </m:r>
          <m:r>
            <w:rPr>
              <w:rFonts w:ascii="Cambria Math" w:hAnsi="Cambria Math" w:cstheme="minorHAnsi"/>
            </w:rPr>
            <m:t>KCOR</m:t>
          </m:r>
          <m:d>
            <m:dPr>
              <m:ctrlPr>
                <w:rPr>
                  <w:rFonts w:ascii="Cambria Math" w:hAnsi="Cambria Math" w:cstheme="minorHAnsi"/>
                  <w:i/>
                </w:rPr>
              </m:ctrlPr>
            </m:dPr>
            <m:e>
              <m:r>
                <w:rPr>
                  <w:rFonts w:ascii="Cambria Math" w:hAnsi="Cambria Math" w:cstheme="minorHAnsi"/>
                </w:rPr>
                <m:t>t</m:t>
              </m:r>
            </m:e>
          </m:d>
          <m:r>
            <w:rPr>
              <w:rFonts w:ascii="Cambria Math" w:cstheme="minorHAnsi"/>
            </w:rPr>
            <m:t>·</m:t>
          </m:r>
          <m:r>
            <w:rPr>
              <w:rFonts w:ascii="Cambria Math" w:hAnsi="Cambria Math" w:cstheme="minorHAnsi"/>
            </w:rPr>
            <m:t>exp</m:t>
          </m:r>
          <m:d>
            <m:dPr>
              <m:ctrlPr>
                <w:rPr>
                  <w:rFonts w:ascii="Cambria Math" w:hAnsi="Cambria Math" w:cstheme="minorHAnsi"/>
                  <w:i/>
                </w:rPr>
              </m:ctrlPr>
            </m:dPr>
            <m:e>
              <m:r>
                <w:rPr>
                  <w:rFonts w:ascii="Cambria Math" w:cstheme="minorHAnsi"/>
                </w:rPr>
                <m:t>±</m:t>
              </m:r>
              <m:r>
                <w:rPr>
                  <w:rFonts w:ascii="Cambria Math" w:cstheme="minorHAnsi"/>
                </w:rPr>
                <m:t>1.96</m:t>
              </m:r>
              <m:r>
                <w:rPr>
                  <w:rFonts w:ascii="Cambria Math" w:cstheme="minorHAnsi"/>
                </w:rPr>
                <m:t>·</m:t>
              </m:r>
              <m:rad>
                <m:radPr>
                  <m:degHide m:val="1"/>
                  <m:ctrlPr>
                    <w:rPr>
                      <w:rFonts w:ascii="Cambria Math" w:hAnsi="Cambria Math" w:cstheme="minorHAnsi"/>
                      <w:i/>
                    </w:rPr>
                  </m:ctrlPr>
                </m:radPr>
                <m:deg/>
                <m:e>
                  <m:r>
                    <w:rPr>
                      <w:rFonts w:ascii="Cambria Math" w:hAnsi="Cambria Math" w:cstheme="minorHAnsi"/>
                    </w:rPr>
                    <m:t>V</m:t>
                  </m:r>
                </m:e>
              </m:rad>
              <m:r>
                <w:rPr>
                  <w:rFonts w:ascii="Cambria Math" w:hAnsi="Cambria Math" w:cstheme="minorHAnsi"/>
                </w:rPr>
                <m:t>ar</m:t>
              </m:r>
              <m:d>
                <m:dPr>
                  <m:begChr m:val="["/>
                  <m:endChr m:val="]"/>
                  <m:ctrlPr>
                    <w:rPr>
                      <w:rFonts w:ascii="Cambria Math" w:hAnsi="Cambria Math" w:cstheme="minorHAnsi"/>
                      <w:i/>
                    </w:rPr>
                  </m:ctrlPr>
                </m:dPr>
                <m:e>
                  <m:r>
                    <w:rPr>
                      <w:rFonts w:ascii="Cambria Math" w:hAnsi="Cambria Math" w:cstheme="minorHAnsi"/>
                    </w:rPr>
                    <m:t>ln</m:t>
                  </m:r>
                  <m:d>
                    <m:dPr>
                      <m:ctrlPr>
                        <w:rPr>
                          <w:rFonts w:ascii="Cambria Math" w:hAnsi="Cambria Math" w:cstheme="minorHAnsi"/>
                          <w:i/>
                        </w:rPr>
                      </m:ctrlPr>
                    </m:dPr>
                    <m:e>
                      <m:r>
                        <w:rPr>
                          <w:rFonts w:ascii="Cambria Math" w:hAnsi="Cambria Math" w:cstheme="minorHAnsi"/>
                        </w:rPr>
                        <m:t>KCOR</m:t>
                      </m:r>
                      <m:d>
                        <m:dPr>
                          <m:ctrlPr>
                            <w:rPr>
                              <w:rFonts w:ascii="Cambria Math" w:hAnsi="Cambria Math" w:cstheme="minorHAnsi"/>
                              <w:i/>
                            </w:rPr>
                          </m:ctrlPr>
                        </m:dPr>
                        <m:e>
                          <m:r>
                            <w:rPr>
                              <w:rFonts w:ascii="Cambria Math" w:hAnsi="Cambria Math" w:cstheme="minorHAnsi"/>
                            </w:rPr>
                            <m:t>t</m:t>
                          </m:r>
                        </m:e>
                      </m:d>
                    </m:e>
                  </m:d>
                </m:e>
              </m:d>
            </m:e>
          </m:d>
        </m:oMath>
      </m:oMathPara>
    </w:p>
    <w:p w14:paraId="2533680C" w14:textId="77777777" w:rsidR="00A3696B" w:rsidRPr="002F61DD" w:rsidRDefault="00A3696B" w:rsidP="00A3696B">
      <w:pPr>
        <w:pStyle w:val="Heading2"/>
        <w:rPr>
          <w:rFonts w:asciiTheme="minorHAnsi" w:hAnsiTheme="minorHAnsi" w:cstheme="minorHAnsi"/>
          <w:sz w:val="22"/>
          <w:szCs w:val="22"/>
        </w:rPr>
      </w:pPr>
      <w:r w:rsidRPr="002F61DD">
        <w:rPr>
          <w:rFonts w:asciiTheme="minorHAnsi" w:hAnsiTheme="minorHAnsi" w:cstheme="minorHAnsi"/>
          <w:sz w:val="22"/>
          <w:szCs w:val="22"/>
        </w:rPr>
        <w:t>2.2 Expected</w:t>
      </w:r>
      <w:r w:rsidRPr="002F61DD">
        <w:rPr>
          <w:rFonts w:cstheme="minorHAnsi"/>
          <w:sz w:val="22"/>
          <w:szCs w:val="22"/>
        </w:rPr>
        <w:t>‑</w:t>
      </w:r>
      <w:r w:rsidRPr="002F61DD">
        <w:rPr>
          <w:rFonts w:asciiTheme="minorHAnsi" w:hAnsiTheme="minorHAnsi" w:cstheme="minorHAnsi"/>
          <w:sz w:val="22"/>
          <w:szCs w:val="22"/>
        </w:rPr>
        <w:t>deaths weighting for pooled summaries</w:t>
      </w:r>
    </w:p>
    <w:p w14:paraId="402B485C" w14:textId="77777777" w:rsidR="00A3696B" w:rsidRPr="002F61DD" w:rsidRDefault="00A3696B" w:rsidP="00A3696B">
      <w:pPr>
        <w:rPr>
          <w:rFonts w:cstheme="minorHAnsi"/>
        </w:rPr>
      </w:pPr>
      <w:r w:rsidRPr="002F61DD">
        <w:rPr>
          <w:rFonts w:cstheme="minorHAnsi"/>
        </w:rPr>
        <w:t>For age</w:t>
      </w:r>
      <w:r w:rsidRPr="002F61DD">
        <w:rPr>
          <w:rFonts w:hAnsi="Cambria Math" w:cstheme="minorHAnsi"/>
        </w:rPr>
        <w:t>‑</w:t>
      </w:r>
      <w:r w:rsidRPr="002F61DD">
        <w:rPr>
          <w:rFonts w:cstheme="minorHAnsi"/>
        </w:rPr>
        <w:t xml:space="preserve">stratified analyses, define weights using expected deaths in a quiet baseline period. Let N_s(t) be persons at risk in stratum s and </w:t>
      </w:r>
      <w:proofErr w:type="spellStart"/>
      <w:r w:rsidRPr="002F61DD">
        <w:rPr>
          <w:rFonts w:cstheme="minorHAnsi"/>
        </w:rPr>
        <w:t>hazard_s</w:t>
      </w:r>
      <w:proofErr w:type="spellEnd"/>
      <w:r w:rsidRPr="002F61DD">
        <w:rPr>
          <w:rFonts w:cstheme="minorHAnsi"/>
        </w:rPr>
        <w:t>(t) the discrete hazard after slope</w:t>
      </w:r>
      <w:r w:rsidRPr="002F61DD">
        <w:rPr>
          <w:rFonts w:hAnsi="Cambria Math" w:cstheme="minorHAnsi"/>
        </w:rPr>
        <w:t>‑</w:t>
      </w:r>
      <w:r w:rsidRPr="002F61DD">
        <w:rPr>
          <w:rFonts w:cstheme="minorHAnsi"/>
        </w:rPr>
        <w:t>adjustment. Then the baseline expected deaths are E_s = ∑_{</w:t>
      </w:r>
      <w:proofErr w:type="spellStart"/>
      <w:r w:rsidRPr="002F61DD">
        <w:rPr>
          <w:rFonts w:cstheme="minorHAnsi"/>
        </w:rPr>
        <w:t>t</w:t>
      </w:r>
      <w:r w:rsidRPr="002F61DD">
        <w:rPr>
          <w:rFonts w:ascii="Cambria Math" w:hAnsi="Cambria Math" w:cstheme="minorHAnsi"/>
        </w:rPr>
        <w:t>∈</w:t>
      </w:r>
      <w:r w:rsidRPr="002F61DD">
        <w:rPr>
          <w:rFonts w:cstheme="minorHAnsi"/>
        </w:rPr>
        <w:t>B</w:t>
      </w:r>
      <w:proofErr w:type="spellEnd"/>
      <w:r w:rsidRPr="002F61DD">
        <w:rPr>
          <w:rFonts w:cstheme="minorHAnsi"/>
        </w:rPr>
        <w:t>} N_s(t)·</w:t>
      </w:r>
      <w:proofErr w:type="spellStart"/>
      <w:r w:rsidRPr="002F61DD">
        <w:rPr>
          <w:rFonts w:cstheme="minorHAnsi"/>
        </w:rPr>
        <w:t>hazard_s</w:t>
      </w:r>
      <w:proofErr w:type="spellEnd"/>
      <w:r w:rsidRPr="002F61DD">
        <w:rPr>
          <w:rFonts w:cstheme="minorHAnsi"/>
        </w:rPr>
        <w:t xml:space="preserve">(t) and weights </w:t>
      </w:r>
      <w:proofErr w:type="spellStart"/>
      <w:r w:rsidRPr="002F61DD">
        <w:rPr>
          <w:rFonts w:cstheme="minorHAnsi"/>
        </w:rPr>
        <w:t>w_s</w:t>
      </w:r>
      <w:proofErr w:type="spellEnd"/>
      <w:r w:rsidRPr="002F61DD">
        <w:rPr>
          <w:rFonts w:cstheme="minorHAnsi"/>
        </w:rPr>
        <w:t xml:space="preserve"> = E_s / ∑_j </w:t>
      </w:r>
      <w:proofErr w:type="spellStart"/>
      <w:r w:rsidRPr="002F61DD">
        <w:rPr>
          <w:rFonts w:cstheme="minorHAnsi"/>
        </w:rPr>
        <w:t>E_j</w:t>
      </w:r>
      <w:proofErr w:type="spellEnd"/>
      <w:r w:rsidRPr="002F61DD">
        <w:rPr>
          <w:rFonts w:cstheme="minorHAnsi"/>
        </w:rPr>
        <w:t xml:space="preserve">. A pooled cumulative hazard is </w:t>
      </w:r>
      <w:proofErr w:type="spellStart"/>
      <w:r w:rsidRPr="002F61DD">
        <w:rPr>
          <w:rFonts w:cstheme="minorHAnsi"/>
        </w:rPr>
        <w:t>CH_pool</w:t>
      </w:r>
      <w:proofErr w:type="spellEnd"/>
      <w:r w:rsidRPr="002F61DD">
        <w:rPr>
          <w:rFonts w:cstheme="minorHAnsi"/>
        </w:rPr>
        <w:t xml:space="preserve">(t) = ∑_s </w:t>
      </w:r>
      <w:proofErr w:type="spellStart"/>
      <w:r w:rsidRPr="002F61DD">
        <w:rPr>
          <w:rFonts w:cstheme="minorHAnsi"/>
        </w:rPr>
        <w:t>w_s·CH_s</w:t>
      </w:r>
      <w:proofErr w:type="spellEnd"/>
      <w:r w:rsidRPr="002F61DD">
        <w:rPr>
          <w:rFonts w:cstheme="minorHAnsi"/>
        </w:rPr>
        <w:t>(t).</w:t>
      </w:r>
    </w:p>
    <w:p w14:paraId="5783CD82" w14:textId="77777777" w:rsidR="00A3696B" w:rsidRPr="002F61DD" w:rsidRDefault="00000000" w:rsidP="00A3696B">
      <w:pPr>
        <w:rPr>
          <w:rFonts w:cstheme="minorHAnsi"/>
        </w:rPr>
      </w:pPr>
      <m:oMathPara>
        <m:oMath>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s</m:t>
              </m:r>
            </m:sub>
          </m:sSub>
          <m:r>
            <w:rPr>
              <w:rFonts w:ascii="Cambria Math" w:cstheme="minorHAnsi"/>
            </w:rPr>
            <m:t>=</m:t>
          </m:r>
          <m:nary>
            <m:naryPr>
              <m:chr m:val="∑"/>
              <m:supHide m:val="1"/>
              <m:ctrlPr>
                <w:rPr>
                  <w:rFonts w:ascii="Cambria Math" w:hAnsi="Cambria Math" w:cstheme="minorHAnsi"/>
                  <w:i/>
                </w:rPr>
              </m:ctrlPr>
            </m:naryPr>
            <m:sub>
              <m:r>
                <w:rPr>
                  <w:rFonts w:ascii="Cambria Math" w:hAnsi="Cambria Math" w:cstheme="minorHAnsi"/>
                </w:rPr>
                <m:t>t∈B</m:t>
              </m:r>
            </m:sub>
            <m:sup/>
            <m:e>
              <m:sSub>
                <m:sSubPr>
                  <m:ctrlPr>
                    <w:rPr>
                      <w:rFonts w:ascii="Cambria Math" w:hAnsi="Cambria Math" w:cstheme="minorHAnsi"/>
                      <w:i/>
                    </w:rPr>
                  </m:ctrlPr>
                </m:sSubPr>
                <m:e>
                  <m:r>
                    <w:rPr>
                      <w:rFonts w:ascii="Cambria Math" w:hAnsi="Cambria Math" w:cstheme="minorHAnsi"/>
                    </w:rPr>
                    <m:t>N</m:t>
                  </m:r>
                </m:e>
                <m:sub>
                  <m:r>
                    <w:rPr>
                      <w:rFonts w:ascii="Cambria Math" w:hAnsi="Cambria Math" w:cstheme="minorHAnsi"/>
                    </w:rPr>
                    <m:t>s</m:t>
                  </m:r>
                </m:sub>
              </m:sSub>
              <m:d>
                <m:dPr>
                  <m:ctrlPr>
                    <w:rPr>
                      <w:rFonts w:ascii="Cambria Math" w:hAnsi="Cambria Math" w:cstheme="minorHAnsi"/>
                      <w:i/>
                    </w:rPr>
                  </m:ctrlPr>
                </m:dPr>
                <m:e>
                  <m:r>
                    <w:rPr>
                      <w:rFonts w:ascii="Cambria Math" w:hAnsi="Cambria Math" w:cstheme="minorHAnsi"/>
                    </w:rPr>
                    <m:t>t</m:t>
                  </m:r>
                </m:e>
              </m:d>
            </m:e>
          </m:nary>
          <m:r>
            <w:rPr>
              <w:rFonts w:ascii="Cambria Math" w:cstheme="minorHAnsi"/>
            </w:rPr>
            <m:t>·</m:t>
          </m:r>
          <m:r>
            <w:rPr>
              <w:rFonts w:ascii="Cambria Math" w:hAnsi="Cambria Math" w:cstheme="minorHAnsi"/>
            </w:rPr>
            <m:t>hazar</m:t>
          </m:r>
          <m:sSub>
            <m:sSubPr>
              <m:ctrlPr>
                <w:rPr>
                  <w:rFonts w:ascii="Cambria Math" w:hAnsi="Cambria Math" w:cstheme="minorHAnsi"/>
                  <w:i/>
                </w:rPr>
              </m:ctrlPr>
            </m:sSubPr>
            <m:e>
              <m:r>
                <w:rPr>
                  <w:rFonts w:ascii="Cambria Math" w:hAnsi="Cambria Math" w:cstheme="minorHAnsi"/>
                </w:rPr>
                <m:t>d</m:t>
              </m:r>
            </m:e>
            <m:sub>
              <m:r>
                <w:rPr>
                  <w:rFonts w:ascii="Cambria Math" w:hAnsi="Cambria Math" w:cstheme="minorHAnsi"/>
                </w:rPr>
                <m:t>s</m:t>
              </m:r>
            </m:sub>
          </m:sSub>
          <m:d>
            <m:dPr>
              <m:ctrlPr>
                <w:rPr>
                  <w:rFonts w:ascii="Cambria Math" w:hAnsi="Cambria Math" w:cstheme="minorHAnsi"/>
                  <w:i/>
                </w:rPr>
              </m:ctrlPr>
            </m:dPr>
            <m:e>
              <m:r>
                <w:rPr>
                  <w:rFonts w:ascii="Cambria Math" w:hAnsi="Cambria Math" w:cstheme="minorHAnsi"/>
                </w:rPr>
                <m:t>t</m:t>
              </m:r>
            </m:e>
          </m:d>
          <m:r>
            <w:rPr>
              <w:rFonts w:ascii="Cambria Math" w:cstheme="minorHAnsi"/>
            </w:rPr>
            <m:t>,</m:t>
          </m:r>
          <m:r>
            <m:rPr>
              <m:sty m:val="p"/>
            </m:rPr>
            <w:rPr>
              <w:rFonts w:ascii="Cambria Math" w:cstheme="minorHAnsi"/>
            </w:rPr>
            <w:br/>
          </m:r>
        </m:oMath>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s</m:t>
              </m:r>
            </m:sub>
          </m:sSub>
          <m:r>
            <w:rPr>
              <w:rFonts w:ascii="Cambria Math" w:cstheme="minorHAnsi"/>
            </w:rPr>
            <m:t>=</m:t>
          </m:r>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s</m:t>
              </m:r>
            </m:sub>
          </m:sSub>
          <m:r>
            <m:rPr>
              <m:lit/>
            </m:rPr>
            <w:rPr>
              <w:rFonts w:ascii="Cambria Math" w:cstheme="minorHAnsi"/>
            </w:rPr>
            <m:t>/</m:t>
          </m:r>
          <m:nary>
            <m:naryPr>
              <m:chr m:val="∑"/>
              <m:supHide m:val="1"/>
              <m:ctrlPr>
                <w:rPr>
                  <w:rFonts w:ascii="Cambria Math" w:hAnsi="Cambria Math" w:cstheme="minorHAnsi"/>
                  <w:i/>
                </w:rPr>
              </m:ctrlPr>
            </m:naryPr>
            <m:sub>
              <m:r>
                <w:rPr>
                  <w:rFonts w:ascii="Cambria Math" w:hAnsi="Cambria Math" w:cstheme="minorHAnsi"/>
                </w:rPr>
                <m:t>j</m:t>
              </m:r>
            </m:sub>
            <m:sup/>
            <m:e>
              <m:sSub>
                <m:sSubPr>
                  <m:ctrlPr>
                    <w:rPr>
                      <w:rFonts w:ascii="Cambria Math" w:hAnsi="Cambria Math" w:cstheme="minorHAnsi"/>
                      <w:i/>
                    </w:rPr>
                  </m:ctrlPr>
                </m:sSubPr>
                <m:e>
                  <m:r>
                    <w:rPr>
                      <w:rFonts w:ascii="Cambria Math" w:hAnsi="Cambria Math" w:cstheme="minorHAnsi"/>
                    </w:rPr>
                    <m:t>E</m:t>
                  </m:r>
                </m:e>
                <m:sub>
                  <m:r>
                    <w:rPr>
                      <w:rFonts w:ascii="Cambria Math" w:hAnsi="Cambria Math" w:cstheme="minorHAnsi"/>
                    </w:rPr>
                    <m:t>j</m:t>
                  </m:r>
                </m:sub>
              </m:sSub>
            </m:e>
          </m:nary>
          <m:r>
            <w:rPr>
              <w:rFonts w:ascii="Cambria Math" w:cstheme="minorHAnsi"/>
            </w:rPr>
            <m:t>,</m:t>
          </m:r>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p</m:t>
              </m:r>
            </m:sub>
          </m:sSub>
          <m:r>
            <w:rPr>
              <w:rFonts w:ascii="Cambria Math" w:hAnsi="Cambria Math" w:cstheme="minorHAnsi"/>
            </w:rPr>
            <m:t>ool</m:t>
          </m:r>
          <m:d>
            <m:dPr>
              <m:ctrlPr>
                <w:rPr>
                  <w:rFonts w:ascii="Cambria Math" w:hAnsi="Cambria Math" w:cstheme="minorHAnsi"/>
                  <w:i/>
                </w:rPr>
              </m:ctrlPr>
            </m:dPr>
            <m:e>
              <m:r>
                <w:rPr>
                  <w:rFonts w:ascii="Cambria Math" w:hAnsi="Cambria Math" w:cstheme="minorHAnsi"/>
                </w:rPr>
                <m:t>t</m:t>
              </m:r>
            </m:e>
          </m:d>
          <m:r>
            <w:rPr>
              <w:rFonts w:ascii="Cambria Math" w:cstheme="minorHAnsi"/>
            </w:rPr>
            <m:t>=</m:t>
          </m:r>
          <m:nary>
            <m:naryPr>
              <m:chr m:val="∑"/>
              <m:supHide m:val="1"/>
              <m:ctrlPr>
                <w:rPr>
                  <w:rFonts w:ascii="Cambria Math" w:hAnsi="Cambria Math" w:cstheme="minorHAnsi"/>
                  <w:i/>
                </w:rPr>
              </m:ctrlPr>
            </m:naryPr>
            <m:sub>
              <m:r>
                <w:rPr>
                  <w:rFonts w:ascii="Cambria Math" w:hAnsi="Cambria Math" w:cstheme="minorHAnsi"/>
                </w:rPr>
                <m:t>s</m:t>
              </m:r>
            </m:sub>
            <m:sup/>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s</m:t>
                  </m:r>
                </m:sub>
              </m:sSub>
            </m:e>
          </m:nary>
          <m:r>
            <w:rPr>
              <w:rFonts w:ascii="Cambria Math" w:cstheme="minorHAnsi"/>
            </w:rPr>
            <m:t>·</m:t>
          </m:r>
          <m:r>
            <w:rPr>
              <w:rFonts w:ascii="Cambria Math" w:hAnsi="Cambria Math" w:cstheme="minorHAnsi"/>
            </w:rPr>
            <m:t>C</m:t>
          </m:r>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s</m:t>
              </m:r>
            </m:sub>
          </m:sSub>
          <m:d>
            <m:dPr>
              <m:ctrlPr>
                <w:rPr>
                  <w:rFonts w:ascii="Cambria Math" w:hAnsi="Cambria Math" w:cstheme="minorHAnsi"/>
                  <w:i/>
                </w:rPr>
              </m:ctrlPr>
            </m:dPr>
            <m:e>
              <m:r>
                <w:rPr>
                  <w:rFonts w:ascii="Cambria Math" w:hAnsi="Cambria Math" w:cstheme="minorHAnsi"/>
                </w:rPr>
                <m:t>t</m:t>
              </m:r>
            </m:e>
          </m:d>
        </m:oMath>
      </m:oMathPara>
    </w:p>
    <w:p w14:paraId="766FD721" w14:textId="77777777" w:rsidR="00A3696B" w:rsidRPr="002F61DD" w:rsidRDefault="00A3696B" w:rsidP="00A3696B">
      <w:pPr>
        <w:pStyle w:val="Heading2"/>
        <w:rPr>
          <w:rFonts w:asciiTheme="minorHAnsi" w:hAnsiTheme="minorHAnsi" w:cstheme="minorHAnsi"/>
          <w:sz w:val="22"/>
          <w:szCs w:val="22"/>
        </w:rPr>
      </w:pPr>
      <w:r w:rsidRPr="002F61DD">
        <w:rPr>
          <w:rFonts w:asciiTheme="minorHAnsi" w:hAnsiTheme="minorHAnsi" w:cstheme="minorHAnsi"/>
          <w:sz w:val="22"/>
          <w:szCs w:val="22"/>
        </w:rPr>
        <w:t>2.3 Algorithm (pseudocode)</w:t>
      </w:r>
    </w:p>
    <w:p w14:paraId="3B9D0433" w14:textId="77777777" w:rsidR="00A3696B" w:rsidRPr="002F61DD" w:rsidRDefault="00A3696B" w:rsidP="00A3696B">
      <w:pPr>
        <w:rPr>
          <w:rFonts w:cstheme="minorHAnsi"/>
        </w:rPr>
      </w:pPr>
      <w:r w:rsidRPr="002F61DD">
        <w:rPr>
          <w:rFonts w:cstheme="minorHAnsi"/>
        </w:rPr>
        <w:t xml:space="preserve">Input: Weekly counts or rates for fixed cohorts v and u; enrollment week </w:t>
      </w:r>
      <w:proofErr w:type="spellStart"/>
      <w:r w:rsidRPr="002F61DD">
        <w:rPr>
          <w:rFonts w:cstheme="minorHAnsi"/>
        </w:rPr>
        <w:t>t_e</w:t>
      </w:r>
      <w:proofErr w:type="spellEnd"/>
      <w:r w:rsidRPr="002F61DD">
        <w:rPr>
          <w:rFonts w:cstheme="minorHAnsi"/>
        </w:rPr>
        <w:t>=0; anchor windows (start date/end date for slope computation); baseline week t0 (typically week 5).</w:t>
      </w:r>
    </w:p>
    <w:p w14:paraId="11B6F212" w14:textId="77777777" w:rsidR="00A3696B" w:rsidRPr="002F61DD" w:rsidRDefault="00A3696B" w:rsidP="00A3696B">
      <w:pPr>
        <w:rPr>
          <w:rFonts w:cstheme="minorHAnsi"/>
        </w:rPr>
      </w:pPr>
      <w:r w:rsidRPr="002F61DD">
        <w:rPr>
          <w:rFonts w:cstheme="minorHAnsi"/>
        </w:rPr>
        <w:t xml:space="preserve">1) Aggregate to weekly </w:t>
      </w:r>
      <w:proofErr w:type="spellStart"/>
      <w:r w:rsidRPr="002F61DD">
        <w:rPr>
          <w:rFonts w:cstheme="minorHAnsi"/>
        </w:rPr>
        <w:t>MR_v</w:t>
      </w:r>
      <w:proofErr w:type="spellEnd"/>
      <w:r w:rsidRPr="002F61DD">
        <w:rPr>
          <w:rFonts w:cstheme="minorHAnsi"/>
        </w:rPr>
        <w:t xml:space="preserve">(t), </w:t>
      </w:r>
      <w:proofErr w:type="spellStart"/>
      <w:r w:rsidRPr="002F61DD">
        <w:rPr>
          <w:rFonts w:cstheme="minorHAnsi"/>
        </w:rPr>
        <w:t>MR_u</w:t>
      </w:r>
      <w:proofErr w:type="spellEnd"/>
      <w:r w:rsidRPr="002F61DD">
        <w:rPr>
          <w:rFonts w:cstheme="minorHAnsi"/>
        </w:rPr>
        <w:t>(t) for fixed cohorts defined at enrollment.</w:t>
      </w:r>
    </w:p>
    <w:p w14:paraId="32715257" w14:textId="77777777" w:rsidR="00A3696B" w:rsidRPr="002F61DD" w:rsidRDefault="00A3696B" w:rsidP="00A3696B">
      <w:pPr>
        <w:rPr>
          <w:rFonts w:cstheme="minorHAnsi"/>
        </w:rPr>
      </w:pPr>
      <w:r w:rsidRPr="002F61DD">
        <w:rPr>
          <w:rFonts w:cstheme="minorHAnsi"/>
        </w:rPr>
        <w:t>2) Compute slope r per cohort/stratum from quiet</w:t>
      </w:r>
      <w:r w:rsidRPr="002F61DD">
        <w:rPr>
          <w:rFonts w:hAnsi="Cambria Math" w:cstheme="minorHAnsi"/>
        </w:rPr>
        <w:t>‑</w:t>
      </w:r>
      <w:r w:rsidRPr="002F61DD">
        <w:rPr>
          <w:rFonts w:cstheme="minorHAnsi"/>
        </w:rPr>
        <w:t xml:space="preserve">period anchors (geometric means in windows separated by </w:t>
      </w:r>
      <w:proofErr w:type="spellStart"/>
      <w:r w:rsidRPr="002F61DD">
        <w:rPr>
          <w:rFonts w:cstheme="minorHAnsi"/>
        </w:rPr>
        <w:t>Δt</w:t>
      </w:r>
      <w:proofErr w:type="spellEnd"/>
      <w:r w:rsidRPr="002F61DD">
        <w:rPr>
          <w:rFonts w:cstheme="minorHAnsi"/>
        </w:rPr>
        <w:t xml:space="preserve"> weeks where </w:t>
      </w:r>
      <w:proofErr w:type="spellStart"/>
      <w:r w:rsidRPr="002F61DD">
        <w:rPr>
          <w:rFonts w:cstheme="minorHAnsi"/>
        </w:rPr>
        <w:t>Δt</w:t>
      </w:r>
      <w:proofErr w:type="spellEnd"/>
      <w:r w:rsidRPr="002F61DD">
        <w:rPr>
          <w:rFonts w:cstheme="minorHAnsi"/>
        </w:rPr>
        <w:t xml:space="preserve"> is ideally around 52 weeks).</w:t>
      </w:r>
    </w:p>
    <w:p w14:paraId="4070971E" w14:textId="77777777" w:rsidR="00A3696B" w:rsidRPr="002F61DD" w:rsidRDefault="00A3696B" w:rsidP="00A3696B">
      <w:pPr>
        <w:rPr>
          <w:rFonts w:cstheme="minorHAnsi"/>
        </w:rPr>
      </w:pPr>
      <w:r w:rsidRPr="002F61DD">
        <w:rPr>
          <w:rFonts w:cstheme="minorHAnsi"/>
        </w:rPr>
        <w:t>3) Slope</w:t>
      </w:r>
      <w:r w:rsidRPr="002F61DD">
        <w:rPr>
          <w:rFonts w:hAnsi="Cambria Math" w:cstheme="minorHAnsi"/>
        </w:rPr>
        <w:t>‑</w:t>
      </w:r>
      <w:r w:rsidRPr="002F61DD">
        <w:rPr>
          <w:rFonts w:cstheme="minorHAnsi"/>
        </w:rPr>
        <w:t xml:space="preserve">adjust the mortality rates </w:t>
      </w:r>
      <w:proofErr w:type="spellStart"/>
      <w:r w:rsidRPr="002F61DD">
        <w:rPr>
          <w:rFonts w:cstheme="minorHAnsi"/>
        </w:rPr>
        <w:t>MR_adj</w:t>
      </w:r>
      <w:proofErr w:type="spellEnd"/>
      <w:r w:rsidRPr="002F61DD">
        <w:rPr>
          <w:rFonts w:cstheme="minorHAnsi"/>
        </w:rPr>
        <w:t>(t) = MR(t)·</w:t>
      </w:r>
      <w:proofErr w:type="gramStart"/>
      <w:r w:rsidRPr="002F61DD">
        <w:rPr>
          <w:rFonts w:cstheme="minorHAnsi"/>
        </w:rPr>
        <w:t>exp(</w:t>
      </w:r>
      <w:proofErr w:type="gramEnd"/>
      <w:r w:rsidRPr="002F61DD">
        <w:rPr>
          <w:rFonts w:cstheme="minorHAnsi"/>
        </w:rPr>
        <w:t>−r</w:t>
      </w:r>
      <w:proofErr w:type="gramStart"/>
      <w:r w:rsidRPr="002F61DD">
        <w:rPr>
          <w:rFonts w:cstheme="minorHAnsi"/>
        </w:rPr>
        <w:t>·(</w:t>
      </w:r>
      <w:proofErr w:type="gramEnd"/>
      <w:r w:rsidRPr="002F61DD">
        <w:rPr>
          <w:rFonts w:cstheme="minorHAnsi"/>
        </w:rPr>
        <w:t xml:space="preserve">t − </w:t>
      </w:r>
      <w:proofErr w:type="spellStart"/>
      <w:r w:rsidRPr="002F61DD">
        <w:rPr>
          <w:rFonts w:cstheme="minorHAnsi"/>
        </w:rPr>
        <w:t>t_e</w:t>
      </w:r>
      <w:proofErr w:type="spellEnd"/>
      <w:r w:rsidRPr="002F61DD">
        <w:rPr>
          <w:rFonts w:cstheme="minorHAnsi"/>
        </w:rPr>
        <w:t>)) for t ≥ 1.</w:t>
      </w:r>
    </w:p>
    <w:p w14:paraId="3A6226A0" w14:textId="77777777" w:rsidR="00A3696B" w:rsidRPr="002F61DD" w:rsidRDefault="00A3696B" w:rsidP="00A3696B">
      <w:pPr>
        <w:rPr>
          <w:rFonts w:cstheme="minorHAnsi"/>
        </w:rPr>
      </w:pPr>
      <w:r w:rsidRPr="002F61DD">
        <w:rPr>
          <w:rFonts w:cstheme="minorHAnsi"/>
        </w:rPr>
        <w:t>4) Transform to discrete hazards: hazard(t) = −</w:t>
      </w:r>
      <w:proofErr w:type="gramStart"/>
      <w:r w:rsidRPr="002F61DD">
        <w:rPr>
          <w:rFonts w:cstheme="minorHAnsi"/>
        </w:rPr>
        <w:t>ln(</w:t>
      </w:r>
      <w:proofErr w:type="gramEnd"/>
      <w:r w:rsidRPr="002F61DD">
        <w:rPr>
          <w:rFonts w:cstheme="minorHAnsi"/>
        </w:rPr>
        <w:t xml:space="preserve">1 − </w:t>
      </w:r>
      <w:proofErr w:type="spellStart"/>
      <w:r w:rsidRPr="002F61DD">
        <w:rPr>
          <w:rFonts w:cstheme="minorHAnsi"/>
        </w:rPr>
        <w:t>MR_adj</w:t>
      </w:r>
      <w:proofErr w:type="spellEnd"/>
      <w:r w:rsidRPr="002F61DD">
        <w:rPr>
          <w:rFonts w:cstheme="minorHAnsi"/>
        </w:rPr>
        <w:t xml:space="preserve">(t)) with clipping </w:t>
      </w:r>
      <w:proofErr w:type="spellStart"/>
      <w:r w:rsidRPr="002F61DD">
        <w:rPr>
          <w:rFonts w:cstheme="minorHAnsi"/>
        </w:rPr>
        <w:t>MR_adj</w:t>
      </w:r>
      <w:proofErr w:type="spellEnd"/>
      <w:r w:rsidRPr="002F61DD">
        <w:rPr>
          <w:rFonts w:cstheme="minorHAnsi"/>
        </w:rPr>
        <w:t>(t) ≤ 0.999.</w:t>
      </w:r>
    </w:p>
    <w:p w14:paraId="6270A1F6" w14:textId="77777777" w:rsidR="00A3696B" w:rsidRPr="002F61DD" w:rsidRDefault="00A3696B" w:rsidP="00A3696B">
      <w:pPr>
        <w:rPr>
          <w:rFonts w:cstheme="minorHAnsi"/>
        </w:rPr>
      </w:pPr>
      <w:r w:rsidRPr="002F61DD">
        <w:rPr>
          <w:rFonts w:cstheme="minorHAnsi"/>
        </w:rPr>
        <w:t>5) Compute cumulative hazards CH(t) = ∑_{i=</w:t>
      </w:r>
      <w:proofErr w:type="gramStart"/>
      <w:r w:rsidRPr="002F61DD">
        <w:rPr>
          <w:rFonts w:cstheme="minorHAnsi"/>
        </w:rPr>
        <w:t>0}^</w:t>
      </w:r>
      <w:proofErr w:type="gramEnd"/>
      <w:r w:rsidRPr="002F61DD">
        <w:rPr>
          <w:rFonts w:cstheme="minorHAnsi"/>
        </w:rPr>
        <w:t>{t} hazard(i).</w:t>
      </w:r>
    </w:p>
    <w:p w14:paraId="16025268" w14:textId="77777777" w:rsidR="00A3696B" w:rsidRPr="002F61DD" w:rsidRDefault="00A3696B" w:rsidP="00A3696B">
      <w:pPr>
        <w:rPr>
          <w:rFonts w:cstheme="minorHAnsi"/>
        </w:rPr>
      </w:pPr>
      <w:r w:rsidRPr="002F61DD">
        <w:rPr>
          <w:rFonts w:cstheme="minorHAnsi"/>
        </w:rPr>
        <w:t xml:space="preserve">6) Normalize KCOR(t) at t0: divide by </w:t>
      </w:r>
      <w:proofErr w:type="spellStart"/>
      <w:r w:rsidRPr="002F61DD">
        <w:rPr>
          <w:rFonts w:cstheme="minorHAnsi"/>
        </w:rPr>
        <w:t>CH_v</w:t>
      </w:r>
      <w:proofErr w:type="spellEnd"/>
      <w:r w:rsidRPr="002F61DD">
        <w:rPr>
          <w:rFonts w:cstheme="minorHAnsi"/>
        </w:rPr>
        <w:t>(t0)/</w:t>
      </w:r>
      <w:proofErr w:type="spellStart"/>
      <w:r w:rsidRPr="002F61DD">
        <w:rPr>
          <w:rFonts w:cstheme="minorHAnsi"/>
        </w:rPr>
        <w:t>CH_u</w:t>
      </w:r>
      <w:proofErr w:type="spellEnd"/>
      <w:r w:rsidRPr="002F61DD">
        <w:rPr>
          <w:rFonts w:cstheme="minorHAnsi"/>
        </w:rPr>
        <w:t>(t0).</w:t>
      </w:r>
    </w:p>
    <w:p w14:paraId="722012CE" w14:textId="77777777" w:rsidR="00A3696B" w:rsidRPr="002F61DD" w:rsidRDefault="00A3696B" w:rsidP="00A3696B">
      <w:pPr>
        <w:rPr>
          <w:rFonts w:cstheme="minorHAnsi"/>
        </w:rPr>
      </w:pPr>
      <w:r w:rsidRPr="002F61DD">
        <w:rPr>
          <w:rFonts w:cstheme="minorHAnsi"/>
        </w:rPr>
        <w:t>7) Compute log</w:t>
      </w:r>
      <w:r w:rsidRPr="002F61DD">
        <w:rPr>
          <w:rFonts w:hAnsi="Cambria Math" w:cstheme="minorHAnsi"/>
        </w:rPr>
        <w:t>‑</w:t>
      </w:r>
      <w:r w:rsidRPr="002F61DD">
        <w:rPr>
          <w:rFonts w:cstheme="minorHAnsi"/>
        </w:rPr>
        <w:t xml:space="preserve">scale CIs with </w:t>
      </w:r>
      <w:proofErr w:type="gramStart"/>
      <w:r w:rsidRPr="002F61DD">
        <w:rPr>
          <w:rFonts w:cstheme="minorHAnsi"/>
        </w:rPr>
        <w:t>Var[</w:t>
      </w:r>
      <w:proofErr w:type="gramEnd"/>
      <w:r w:rsidRPr="002F61DD">
        <w:rPr>
          <w:rFonts w:cstheme="minorHAnsi"/>
        </w:rPr>
        <w:t xml:space="preserve">CH] ≈ </w:t>
      </w:r>
      <w:proofErr w:type="gramStart"/>
      <w:r w:rsidRPr="002F61DD">
        <w:rPr>
          <w:rFonts w:cstheme="minorHAnsi"/>
        </w:rPr>
        <w:t>CH;</w:t>
      </w:r>
      <w:proofErr w:type="gramEnd"/>
      <w:r w:rsidRPr="002F61DD">
        <w:rPr>
          <w:rFonts w:cstheme="minorHAnsi"/>
        </w:rPr>
        <w:t xml:space="preserve"> </w:t>
      </w:r>
    </w:p>
    <w:p w14:paraId="537E5D6C" w14:textId="77777777" w:rsidR="00A3696B" w:rsidRPr="002F61DD" w:rsidRDefault="00A3696B" w:rsidP="00A3696B">
      <w:pPr>
        <w:rPr>
          <w:rFonts w:cstheme="minorHAnsi"/>
        </w:rPr>
      </w:pPr>
      <w:r w:rsidRPr="002F61DD">
        <w:rPr>
          <w:rFonts w:cstheme="minorHAnsi"/>
        </w:rPr>
        <w:t>8) Report KCOR(t) with 95% bands.</w:t>
      </w:r>
    </w:p>
    <w:p w14:paraId="31D2EA5A" w14:textId="77777777" w:rsidR="00A3696B" w:rsidRDefault="00A3696B" w:rsidP="00A3696B">
      <w:pPr>
        <w:pStyle w:val="NoSpacing"/>
      </w:pPr>
    </w:p>
    <w:p w14:paraId="03754AAD" w14:textId="77777777" w:rsidR="00A3696B" w:rsidRPr="00845381" w:rsidRDefault="00A3696B" w:rsidP="00A3696B">
      <w:pPr>
        <w:pStyle w:val="NoSpacing"/>
        <w:rPr>
          <w:color w:val="0070C0"/>
        </w:rPr>
      </w:pPr>
      <w:r w:rsidRPr="00845381">
        <w:rPr>
          <w:color w:val="0070C0"/>
        </w:rPr>
        <w:t>Implementation Notes</w:t>
      </w:r>
    </w:p>
    <w:tbl>
      <w:tblPr>
        <w:tblW w:w="0" w:type="auto"/>
        <w:tblLook w:val="04A0" w:firstRow="1" w:lastRow="0" w:firstColumn="1" w:lastColumn="0" w:noHBand="0" w:noVBand="1"/>
      </w:tblPr>
      <w:tblGrid>
        <w:gridCol w:w="8640"/>
      </w:tblGrid>
      <w:tr w:rsidR="00A3696B" w:rsidRPr="002F61DD" w14:paraId="1366210E" w14:textId="77777777" w:rsidTr="00392142">
        <w:tc>
          <w:tcPr>
            <w:tcW w:w="8640" w:type="dxa"/>
            <w:shd w:val="clear" w:color="auto" w:fill="F3F3F3"/>
          </w:tcPr>
          <w:p w14:paraId="45BE895E" w14:textId="77777777" w:rsidR="00A3696B" w:rsidRPr="002F61DD" w:rsidRDefault="00A3696B" w:rsidP="00392142">
            <w:pPr>
              <w:rPr>
                <w:rFonts w:cstheme="minorHAnsi"/>
              </w:rPr>
            </w:pPr>
            <w:r w:rsidRPr="002F61DD">
              <w:rPr>
                <w:rFonts w:cstheme="minorHAnsi"/>
                <w:b/>
              </w:rPr>
              <w:t>Anchor</w:t>
            </w:r>
            <w:r w:rsidRPr="002F61DD">
              <w:rPr>
                <w:rFonts w:hAnsi="Cambria Math" w:cstheme="minorHAnsi"/>
                <w:b/>
              </w:rPr>
              <w:t>‑</w:t>
            </w:r>
            <w:r w:rsidRPr="002F61DD">
              <w:rPr>
                <w:rFonts w:cstheme="minorHAnsi"/>
                <w:b/>
              </w:rPr>
              <w:t>selection heuristics</w:t>
            </w:r>
          </w:p>
          <w:p w14:paraId="39A8AFAB" w14:textId="77777777" w:rsidR="00A3696B" w:rsidRPr="002F61DD" w:rsidRDefault="00A3696B" w:rsidP="00392142">
            <w:pPr>
              <w:rPr>
                <w:rFonts w:cstheme="minorHAnsi"/>
              </w:rPr>
            </w:pPr>
            <w:r w:rsidRPr="002F61DD">
              <w:rPr>
                <w:rFonts w:cstheme="minorHAnsi"/>
              </w:rPr>
              <w:t>• Identify two quiet (non</w:t>
            </w:r>
            <w:r w:rsidRPr="002F61DD">
              <w:rPr>
                <w:rFonts w:hAnsi="Cambria Math" w:cstheme="minorHAnsi"/>
              </w:rPr>
              <w:t>‑</w:t>
            </w:r>
            <w:r w:rsidRPr="002F61DD">
              <w:rPr>
                <w:rFonts w:cstheme="minorHAnsi"/>
              </w:rPr>
              <w:t xml:space="preserve">differential) windows B1, B2 separated by </w:t>
            </w:r>
            <w:proofErr w:type="spellStart"/>
            <w:r w:rsidRPr="002F61DD">
              <w:rPr>
                <w:rFonts w:cstheme="minorHAnsi"/>
              </w:rPr>
              <w:t>Δt</w:t>
            </w:r>
            <w:proofErr w:type="spellEnd"/>
            <w:r w:rsidRPr="002F61DD">
              <w:rPr>
                <w:rFonts w:cstheme="minorHAnsi"/>
              </w:rPr>
              <w:t xml:space="preserve"> ≈ 8–12 weeks.</w:t>
            </w:r>
          </w:p>
          <w:p w14:paraId="176808C4" w14:textId="77777777" w:rsidR="00A3696B" w:rsidRPr="002F61DD" w:rsidRDefault="00A3696B" w:rsidP="00392142">
            <w:pPr>
              <w:rPr>
                <w:rFonts w:cstheme="minorHAnsi"/>
              </w:rPr>
            </w:pPr>
            <w:r w:rsidRPr="002F61DD">
              <w:rPr>
                <w:rFonts w:cstheme="minorHAnsi"/>
              </w:rPr>
              <w:t>• Use ±2</w:t>
            </w:r>
            <w:r w:rsidRPr="002F61DD">
              <w:rPr>
                <w:rFonts w:hAnsi="Cambria Math" w:cstheme="minorHAnsi"/>
              </w:rPr>
              <w:t>‑</w:t>
            </w:r>
            <w:r w:rsidRPr="002F61DD">
              <w:rPr>
                <w:rFonts w:cstheme="minorHAnsi"/>
              </w:rPr>
              <w:t>week windows and geometric means; avoid weeks with known shocks or reporting artifacts.</w:t>
            </w:r>
          </w:p>
          <w:p w14:paraId="0D251249" w14:textId="77777777" w:rsidR="00A3696B" w:rsidRPr="002F61DD" w:rsidRDefault="00A3696B" w:rsidP="00392142">
            <w:pPr>
              <w:rPr>
                <w:rFonts w:cstheme="minorHAnsi"/>
              </w:rPr>
            </w:pPr>
            <w:r w:rsidRPr="002F61DD">
              <w:rPr>
                <w:rFonts w:cstheme="minorHAnsi"/>
              </w:rPr>
              <w:t>• Prefer trough</w:t>
            </w:r>
            <w:r w:rsidRPr="002F61DD">
              <w:rPr>
                <w:rFonts w:hAnsi="Cambria Math" w:cstheme="minorHAnsi"/>
              </w:rPr>
              <w:t>‑</w:t>
            </w:r>
            <w:proofErr w:type="spellStart"/>
            <w:r w:rsidRPr="002F61DD">
              <w:rPr>
                <w:rFonts w:cstheme="minorHAnsi"/>
              </w:rPr>
              <w:t>centered</w:t>
            </w:r>
            <w:proofErr w:type="spellEnd"/>
            <w:r w:rsidRPr="002F61DD">
              <w:rPr>
                <w:rFonts w:cstheme="minorHAnsi"/>
              </w:rPr>
              <w:t xml:space="preserve"> windows when respiratory mortality is seasonal.</w:t>
            </w:r>
          </w:p>
          <w:p w14:paraId="623B2E25" w14:textId="77777777" w:rsidR="00A3696B" w:rsidRPr="002F61DD" w:rsidRDefault="00A3696B" w:rsidP="00392142">
            <w:pPr>
              <w:rPr>
                <w:rFonts w:cstheme="minorHAnsi"/>
              </w:rPr>
            </w:pPr>
            <w:r w:rsidRPr="002F61DD">
              <w:rPr>
                <w:rFonts w:cstheme="minorHAnsi"/>
              </w:rPr>
              <w:t>• Check both cohorts for parallel log</w:t>
            </w:r>
            <w:r w:rsidRPr="002F61DD">
              <w:rPr>
                <w:rFonts w:hAnsi="Cambria Math" w:cstheme="minorHAnsi"/>
              </w:rPr>
              <w:t>‑</w:t>
            </w:r>
            <w:r w:rsidRPr="002F61DD">
              <w:rPr>
                <w:rFonts w:cstheme="minorHAnsi"/>
              </w:rPr>
              <w:t>MR trends within anchors; if not, adjust windows or stratify further.</w:t>
            </w:r>
          </w:p>
        </w:tc>
      </w:tr>
      <w:tr w:rsidR="00A3696B" w:rsidRPr="002F61DD" w14:paraId="189BFE2C" w14:textId="77777777" w:rsidTr="00392142">
        <w:tc>
          <w:tcPr>
            <w:tcW w:w="8640" w:type="dxa"/>
            <w:shd w:val="clear" w:color="auto" w:fill="F3F3F3"/>
          </w:tcPr>
          <w:p w14:paraId="500EC0DF" w14:textId="77777777" w:rsidR="00A3696B" w:rsidRPr="002F61DD" w:rsidRDefault="00A3696B" w:rsidP="00392142">
            <w:pPr>
              <w:rPr>
                <w:rFonts w:cstheme="minorHAnsi"/>
              </w:rPr>
            </w:pPr>
            <w:r w:rsidRPr="002F61DD">
              <w:rPr>
                <w:rFonts w:cstheme="minorHAnsi"/>
                <w:b/>
              </w:rPr>
              <w:t>Smoothing &amp; defaults</w:t>
            </w:r>
          </w:p>
          <w:p w14:paraId="6109F9FC" w14:textId="77777777" w:rsidR="00A3696B" w:rsidRPr="002F61DD" w:rsidRDefault="00A3696B" w:rsidP="00392142">
            <w:pPr>
              <w:rPr>
                <w:rFonts w:cstheme="minorHAnsi"/>
              </w:rPr>
            </w:pPr>
            <w:r w:rsidRPr="002F61DD">
              <w:rPr>
                <w:rFonts w:cstheme="minorHAnsi"/>
              </w:rPr>
              <w:lastRenderedPageBreak/>
              <w:t xml:space="preserve">• Compute MR(t) using a </w:t>
            </w:r>
            <w:proofErr w:type="spellStart"/>
            <w:r w:rsidRPr="002F61DD">
              <w:rPr>
                <w:rFonts w:cstheme="minorHAnsi"/>
              </w:rPr>
              <w:t>centered</w:t>
            </w:r>
            <w:proofErr w:type="spellEnd"/>
            <w:r w:rsidRPr="002F61DD">
              <w:rPr>
                <w:rFonts w:cstheme="minorHAnsi"/>
              </w:rPr>
              <w:t xml:space="preserve"> 3</w:t>
            </w:r>
            <w:r w:rsidRPr="002F61DD">
              <w:rPr>
                <w:rFonts w:hAnsi="Cambria Math" w:cstheme="minorHAnsi"/>
              </w:rPr>
              <w:t>‑</w:t>
            </w:r>
            <w:r w:rsidRPr="002F61DD">
              <w:rPr>
                <w:rFonts w:cstheme="minorHAnsi"/>
              </w:rPr>
              <w:t>week moving average (fallback: 5</w:t>
            </w:r>
            <w:r w:rsidRPr="002F61DD">
              <w:rPr>
                <w:rFonts w:hAnsi="Cambria Math" w:cstheme="minorHAnsi"/>
              </w:rPr>
              <w:t>‑</w:t>
            </w:r>
            <w:r w:rsidRPr="002F61DD">
              <w:rPr>
                <w:rFonts w:cstheme="minorHAnsi"/>
              </w:rPr>
              <w:t>week if noisy).</w:t>
            </w:r>
          </w:p>
          <w:p w14:paraId="56C8239E" w14:textId="77777777" w:rsidR="00A3696B" w:rsidRPr="002F61DD" w:rsidRDefault="00A3696B" w:rsidP="00392142">
            <w:pPr>
              <w:rPr>
                <w:rFonts w:cstheme="minorHAnsi"/>
              </w:rPr>
            </w:pPr>
            <w:r w:rsidRPr="002F61DD">
              <w:rPr>
                <w:rFonts w:cstheme="minorHAnsi"/>
              </w:rPr>
              <w:t>• Baseline normalization week t0 = 4 by default.</w:t>
            </w:r>
          </w:p>
          <w:p w14:paraId="570B53E4" w14:textId="77777777" w:rsidR="00A3696B" w:rsidRPr="002F61DD" w:rsidRDefault="00A3696B" w:rsidP="00392142">
            <w:pPr>
              <w:rPr>
                <w:rFonts w:cstheme="minorHAnsi"/>
              </w:rPr>
            </w:pPr>
            <w:r w:rsidRPr="002F61DD">
              <w:rPr>
                <w:rFonts w:cstheme="minorHAnsi"/>
              </w:rPr>
              <w:t xml:space="preserve">• Clip </w:t>
            </w:r>
            <w:proofErr w:type="spellStart"/>
            <w:r w:rsidRPr="002F61DD">
              <w:rPr>
                <w:rFonts w:cstheme="minorHAnsi"/>
              </w:rPr>
              <w:t>MR_adj</w:t>
            </w:r>
            <w:proofErr w:type="spellEnd"/>
            <w:r w:rsidRPr="002F61DD">
              <w:rPr>
                <w:rFonts w:cstheme="minorHAnsi"/>
              </w:rPr>
              <w:t>(t) at 0.999 before the hazard transform; treat missing MR(t) via local linear interpolation constrained to [0, 1).</w:t>
            </w:r>
          </w:p>
          <w:p w14:paraId="689E3674" w14:textId="77777777" w:rsidR="00A3696B" w:rsidRPr="002F61DD" w:rsidRDefault="00A3696B" w:rsidP="00392142">
            <w:pPr>
              <w:rPr>
                <w:rFonts w:cstheme="minorHAnsi"/>
              </w:rPr>
            </w:pPr>
            <w:r w:rsidRPr="002F61DD">
              <w:rPr>
                <w:rFonts w:cstheme="minorHAnsi"/>
              </w:rPr>
              <w:t>• Document choices; include sensitivity to smoothing span and anchor placement.</w:t>
            </w:r>
          </w:p>
        </w:tc>
      </w:tr>
    </w:tbl>
    <w:p w14:paraId="3372A564" w14:textId="77777777" w:rsidR="00A3696B" w:rsidRPr="002F61DD" w:rsidRDefault="00A3696B" w:rsidP="00A3696B">
      <w:pPr>
        <w:pStyle w:val="Heading1"/>
        <w:rPr>
          <w:rFonts w:asciiTheme="minorHAnsi" w:hAnsiTheme="minorHAnsi" w:cstheme="minorHAnsi"/>
          <w:sz w:val="24"/>
          <w:szCs w:val="24"/>
        </w:rPr>
      </w:pPr>
      <w:r w:rsidRPr="002F61DD">
        <w:rPr>
          <w:rFonts w:asciiTheme="minorHAnsi" w:hAnsiTheme="minorHAnsi" w:cstheme="minorHAnsi"/>
          <w:sz w:val="24"/>
          <w:szCs w:val="24"/>
        </w:rPr>
        <w:lastRenderedPageBreak/>
        <w:t>3 Application workflow</w:t>
      </w:r>
    </w:p>
    <w:p w14:paraId="503FCB23" w14:textId="77777777" w:rsidR="00A3696B" w:rsidRPr="002F61DD" w:rsidRDefault="00A3696B" w:rsidP="00A3696B">
      <w:pPr>
        <w:rPr>
          <w:rFonts w:cstheme="minorHAnsi"/>
        </w:rPr>
      </w:pPr>
      <w:r w:rsidRPr="002F61DD">
        <w:rPr>
          <w:rFonts w:cstheme="minorHAnsi"/>
        </w:rPr>
        <w:t>• Define fixed cohorts at enrolment (avoid time</w:t>
      </w:r>
      <w:r w:rsidRPr="002F61DD">
        <w:rPr>
          <w:rFonts w:hAnsi="Cambria Math" w:cstheme="minorHAnsi"/>
        </w:rPr>
        <w:t>‑</w:t>
      </w:r>
      <w:r w:rsidRPr="002F61DD">
        <w:rPr>
          <w:rFonts w:cstheme="minorHAnsi"/>
        </w:rPr>
        <w:t>varying composition).</w:t>
      </w:r>
    </w:p>
    <w:p w14:paraId="3A60E770" w14:textId="77777777" w:rsidR="00A3696B" w:rsidRPr="002F61DD" w:rsidRDefault="00A3696B" w:rsidP="00A3696B">
      <w:pPr>
        <w:rPr>
          <w:rFonts w:cstheme="minorHAnsi"/>
        </w:rPr>
      </w:pPr>
      <w:r w:rsidRPr="002F61DD">
        <w:rPr>
          <w:rFonts w:cstheme="minorHAnsi"/>
        </w:rPr>
        <w:t>• Choose anchor windows (B1, B2) used for slope normalization; verify exponential baseline by linearity of log</w:t>
      </w:r>
      <w:r w:rsidRPr="002F61DD">
        <w:rPr>
          <w:rFonts w:hAnsi="Cambria Math" w:cstheme="minorHAnsi"/>
        </w:rPr>
        <w:t>‑</w:t>
      </w:r>
      <w:r w:rsidRPr="002F61DD">
        <w:rPr>
          <w:rFonts w:cstheme="minorHAnsi"/>
        </w:rPr>
        <w:t xml:space="preserve">MR vs. t within anchors. These times are generally at least 6 months and preferably a year post enrollment to minimize interaction with the </w:t>
      </w:r>
    </w:p>
    <w:p w14:paraId="329B98D8" w14:textId="77777777" w:rsidR="00A3696B" w:rsidRPr="002F61DD" w:rsidRDefault="00A3696B" w:rsidP="00A3696B">
      <w:pPr>
        <w:rPr>
          <w:rFonts w:cstheme="minorHAnsi"/>
        </w:rPr>
      </w:pPr>
      <w:r w:rsidRPr="002F61DD">
        <w:rPr>
          <w:rFonts w:cstheme="minorHAnsi"/>
        </w:rPr>
        <w:t>• Compute slope r per cohort/stratum; apply slope</w:t>
      </w:r>
      <w:r w:rsidRPr="002F61DD">
        <w:rPr>
          <w:rFonts w:hAnsi="Cambria Math" w:cstheme="minorHAnsi"/>
        </w:rPr>
        <w:t>‑</w:t>
      </w:r>
      <w:r w:rsidRPr="002F61DD">
        <w:rPr>
          <w:rFonts w:cstheme="minorHAnsi"/>
        </w:rPr>
        <w:t>normali</w:t>
      </w:r>
      <w:r>
        <w:rPr>
          <w:rFonts w:cstheme="minorHAnsi"/>
        </w:rPr>
        <w:t>z</w:t>
      </w:r>
      <w:r w:rsidRPr="002F61DD">
        <w:rPr>
          <w:rFonts w:cstheme="minorHAnsi"/>
        </w:rPr>
        <w:t>ation, discrete hazard transform, and cumulative hazards.</w:t>
      </w:r>
    </w:p>
    <w:p w14:paraId="16435231" w14:textId="77777777" w:rsidR="00A3696B" w:rsidRPr="002F61DD" w:rsidRDefault="00A3696B" w:rsidP="00A3696B">
      <w:pPr>
        <w:rPr>
          <w:rFonts w:cstheme="minorHAnsi"/>
        </w:rPr>
      </w:pPr>
      <w:r w:rsidRPr="002F61DD">
        <w:rPr>
          <w:rFonts w:cstheme="minorHAnsi"/>
        </w:rPr>
        <w:t>• Normalize KCOR(t) at t0; produce CI bands and sensitivity overlays (anchors, smoothing).</w:t>
      </w:r>
    </w:p>
    <w:p w14:paraId="2FB4CC5D" w14:textId="77777777" w:rsidR="00A3696B" w:rsidRDefault="00A3696B" w:rsidP="00A3696B">
      <w:pPr>
        <w:rPr>
          <w:rFonts w:cstheme="minorHAnsi"/>
        </w:rPr>
      </w:pPr>
      <w:r w:rsidRPr="002F61DD">
        <w:rPr>
          <w:rFonts w:cstheme="minorHAnsi"/>
        </w:rPr>
        <w:t>• For pooled summaries, apply expected</w:t>
      </w:r>
      <w:r w:rsidRPr="002F61DD">
        <w:rPr>
          <w:rFonts w:hAnsi="Cambria Math" w:cstheme="minorHAnsi"/>
        </w:rPr>
        <w:t>‑</w:t>
      </w:r>
      <w:r w:rsidRPr="002F61DD">
        <w:rPr>
          <w:rFonts w:cstheme="minorHAnsi"/>
        </w:rPr>
        <w:t>deaths weights across strata.</w:t>
      </w:r>
    </w:p>
    <w:p w14:paraId="4610C5DB" w14:textId="77777777" w:rsidR="00A3696B" w:rsidRPr="002F61DD" w:rsidRDefault="00A3696B" w:rsidP="00A3696B">
      <w:pPr>
        <w:rPr>
          <w:rFonts w:cstheme="minorHAnsi"/>
        </w:rPr>
      </w:pPr>
    </w:p>
    <w:p w14:paraId="0C8333A2" w14:textId="77777777" w:rsidR="00A3696B" w:rsidRPr="002F61DD" w:rsidRDefault="00A3696B" w:rsidP="00A3696B">
      <w:pPr>
        <w:pStyle w:val="Heading1"/>
        <w:rPr>
          <w:rFonts w:asciiTheme="minorHAnsi" w:hAnsiTheme="minorHAnsi" w:cstheme="minorHAnsi"/>
          <w:sz w:val="24"/>
          <w:szCs w:val="24"/>
        </w:rPr>
      </w:pPr>
      <w:r w:rsidRPr="002F61DD">
        <w:rPr>
          <w:rFonts w:asciiTheme="minorHAnsi" w:hAnsiTheme="minorHAnsi" w:cstheme="minorHAnsi"/>
          <w:sz w:val="24"/>
          <w:szCs w:val="24"/>
        </w:rPr>
        <w:t>4 Diagnostics and sensitivity</w:t>
      </w:r>
    </w:p>
    <w:p w14:paraId="206095DC" w14:textId="77777777" w:rsidR="00A3696B" w:rsidRPr="002F61DD" w:rsidRDefault="00A3696B" w:rsidP="00A3696B">
      <w:pPr>
        <w:rPr>
          <w:rFonts w:cstheme="minorHAnsi"/>
        </w:rPr>
      </w:pPr>
      <w:r w:rsidRPr="002F61DD">
        <w:rPr>
          <w:rFonts w:cstheme="minorHAnsi"/>
        </w:rPr>
        <w:t>• Exponential fit check: R² of log</w:t>
      </w:r>
      <w:r w:rsidRPr="002F61DD">
        <w:rPr>
          <w:rFonts w:hAnsi="Cambria Math" w:cstheme="minorHAnsi"/>
        </w:rPr>
        <w:t>‑</w:t>
      </w:r>
      <w:r w:rsidRPr="002F61DD">
        <w:rPr>
          <w:rFonts w:cstheme="minorHAnsi"/>
        </w:rPr>
        <w:t>MR vs. time in quiet ranges; plot residuals.</w:t>
      </w:r>
    </w:p>
    <w:p w14:paraId="3461E1C1" w14:textId="77777777" w:rsidR="00A3696B" w:rsidRPr="002F61DD" w:rsidRDefault="00A3696B" w:rsidP="00A3696B">
      <w:pPr>
        <w:rPr>
          <w:rFonts w:cstheme="minorHAnsi"/>
        </w:rPr>
      </w:pPr>
      <w:r w:rsidRPr="002F61DD">
        <w:rPr>
          <w:rFonts w:cstheme="minorHAnsi"/>
        </w:rPr>
        <w:t>• Anchor sensitivity: vary windows by ±1–2 weeks and re</w:t>
      </w:r>
      <w:r w:rsidRPr="002F61DD">
        <w:rPr>
          <w:rFonts w:hAnsi="Cambria Math" w:cstheme="minorHAnsi"/>
        </w:rPr>
        <w:t>‑</w:t>
      </w:r>
      <w:r w:rsidRPr="002F61DD">
        <w:rPr>
          <w:rFonts w:cstheme="minorHAnsi"/>
        </w:rPr>
        <w:t>estimate r; overlay KCOR(t).</w:t>
      </w:r>
    </w:p>
    <w:p w14:paraId="2A1E71DF" w14:textId="77777777" w:rsidR="00A3696B" w:rsidRPr="002F61DD" w:rsidRDefault="00A3696B" w:rsidP="00A3696B">
      <w:pPr>
        <w:rPr>
          <w:rFonts w:cstheme="minorHAnsi"/>
        </w:rPr>
      </w:pPr>
      <w:r w:rsidRPr="002F61DD">
        <w:rPr>
          <w:rFonts w:cstheme="minorHAnsi"/>
        </w:rPr>
        <w:t>• Smoothing robustness: 3 vs. 5</w:t>
      </w:r>
      <w:r w:rsidRPr="002F61DD">
        <w:rPr>
          <w:rFonts w:hAnsi="Cambria Math" w:cstheme="minorHAnsi"/>
        </w:rPr>
        <w:t>‑</w:t>
      </w:r>
      <w:r w:rsidRPr="002F61DD">
        <w:rPr>
          <w:rFonts w:cstheme="minorHAnsi"/>
        </w:rPr>
        <w:t>week moving average; optionally LOESS with small span.</w:t>
      </w:r>
    </w:p>
    <w:p w14:paraId="6D0339CC" w14:textId="77777777" w:rsidR="00A3696B" w:rsidRPr="002F61DD" w:rsidRDefault="00A3696B" w:rsidP="00A3696B">
      <w:pPr>
        <w:rPr>
          <w:rFonts w:cstheme="minorHAnsi"/>
        </w:rPr>
      </w:pPr>
      <w:r w:rsidRPr="002F61DD">
        <w:rPr>
          <w:rFonts w:cstheme="minorHAnsi"/>
        </w:rPr>
        <w:t>• Negative controls: randomized split cohorts (expect KCOR≈1).</w:t>
      </w:r>
    </w:p>
    <w:p w14:paraId="2FCD3362" w14:textId="77777777" w:rsidR="00A3696B" w:rsidRPr="002F61DD" w:rsidRDefault="00A3696B" w:rsidP="00A3696B">
      <w:pPr>
        <w:rPr>
          <w:rFonts w:cstheme="minorHAnsi"/>
        </w:rPr>
      </w:pPr>
      <w:r w:rsidRPr="002F61DD">
        <w:rPr>
          <w:rFonts w:cstheme="minorHAnsi"/>
        </w:rPr>
        <w:t xml:space="preserve">• Placebo enrolment dates: shift </w:t>
      </w:r>
      <w:proofErr w:type="spellStart"/>
      <w:r w:rsidRPr="002F61DD">
        <w:rPr>
          <w:rFonts w:cstheme="minorHAnsi"/>
        </w:rPr>
        <w:t>t_e</w:t>
      </w:r>
      <w:proofErr w:type="spellEnd"/>
      <w:r w:rsidRPr="002F61DD">
        <w:rPr>
          <w:rFonts w:cstheme="minorHAnsi"/>
        </w:rPr>
        <w:t xml:space="preserve"> by ±k weeks; conclusions should be stable.</w:t>
      </w:r>
    </w:p>
    <w:p w14:paraId="6E38FC35" w14:textId="77777777" w:rsidR="00A3696B" w:rsidRPr="002F61DD" w:rsidRDefault="00A3696B" w:rsidP="00A3696B">
      <w:pPr>
        <w:rPr>
          <w:rFonts w:cstheme="minorHAnsi"/>
        </w:rPr>
      </w:pPr>
      <w:r w:rsidRPr="002F61DD">
        <w:rPr>
          <w:rFonts w:cstheme="minorHAnsi"/>
        </w:rPr>
        <w:t>• Subgroup stratification: age bands; pooled CH using expected</w:t>
      </w:r>
      <w:r w:rsidRPr="002F61DD">
        <w:rPr>
          <w:rFonts w:hAnsi="Cambria Math" w:cstheme="minorHAnsi"/>
        </w:rPr>
        <w:t>‑</w:t>
      </w:r>
      <w:r w:rsidRPr="002F61DD">
        <w:rPr>
          <w:rFonts w:cstheme="minorHAnsi"/>
        </w:rPr>
        <w:t>deaths weights.</w:t>
      </w:r>
    </w:p>
    <w:p w14:paraId="1B3073A5" w14:textId="77777777" w:rsidR="00A3696B" w:rsidRPr="002F61DD" w:rsidRDefault="00A3696B" w:rsidP="00A3696B">
      <w:pPr>
        <w:rPr>
          <w:rFonts w:cstheme="minorHAnsi"/>
          <w:b/>
        </w:rPr>
      </w:pPr>
    </w:p>
    <w:p w14:paraId="2CD1341E" w14:textId="77777777" w:rsidR="00A3696B" w:rsidRPr="00845381" w:rsidRDefault="00A3696B" w:rsidP="00A3696B">
      <w:pPr>
        <w:pStyle w:val="Heading1"/>
        <w:rPr>
          <w:rFonts w:asciiTheme="minorHAnsi" w:hAnsiTheme="minorHAnsi" w:cstheme="minorHAnsi"/>
          <w:sz w:val="24"/>
          <w:szCs w:val="24"/>
        </w:rPr>
      </w:pPr>
      <w:r>
        <w:rPr>
          <w:rFonts w:asciiTheme="minorHAnsi" w:hAnsiTheme="minorHAnsi" w:cstheme="minorHAnsi"/>
          <w:sz w:val="24"/>
          <w:szCs w:val="24"/>
        </w:rPr>
        <w:t>5</w:t>
      </w:r>
      <w:r w:rsidRPr="00845381">
        <w:rPr>
          <w:rFonts w:asciiTheme="minorHAnsi" w:hAnsiTheme="minorHAnsi" w:cstheme="minorHAnsi"/>
          <w:sz w:val="24"/>
          <w:szCs w:val="24"/>
        </w:rPr>
        <w:t xml:space="preserve"> Source code and documentation</w:t>
      </w:r>
    </w:p>
    <w:p w14:paraId="70C93F0F" w14:textId="77777777" w:rsidR="00A3696B" w:rsidRPr="00845381" w:rsidRDefault="00A3696B" w:rsidP="00A3696B">
      <w:pPr>
        <w:rPr>
          <w:rFonts w:cstheme="minorHAnsi"/>
        </w:rPr>
      </w:pPr>
      <w:r w:rsidRPr="00845381">
        <w:rPr>
          <w:rFonts w:cstheme="minorHAnsi"/>
        </w:rPr>
        <w:t xml:space="preserve">Full source code and extensive documentation on the method and validation tests is publicly available at </w:t>
      </w:r>
      <w:hyperlink r:id="rId5" w:history="1">
        <w:r w:rsidRPr="00845381">
          <w:rPr>
            <w:rStyle w:val="Hyperlink"/>
            <w:rFonts w:cstheme="minorHAnsi"/>
          </w:rPr>
          <w:t>https://github.com/skirsch/KCOR</w:t>
        </w:r>
      </w:hyperlink>
      <w:r w:rsidRPr="00845381">
        <w:rPr>
          <w:rFonts w:cstheme="minorHAnsi"/>
        </w:rPr>
        <w:t xml:space="preserve">. </w:t>
      </w:r>
    </w:p>
    <w:p w14:paraId="73850C52" w14:textId="77777777" w:rsidR="00A3696B" w:rsidRPr="002F61DD" w:rsidRDefault="00A3696B" w:rsidP="00A3696B">
      <w:pPr>
        <w:rPr>
          <w:rFonts w:cstheme="minorHAnsi"/>
          <w:b/>
        </w:rPr>
      </w:pPr>
      <w:r w:rsidRPr="002F61DD">
        <w:rPr>
          <w:rFonts w:cstheme="minorHAnsi"/>
          <w:b/>
        </w:rPr>
        <w:br w:type="page"/>
      </w:r>
    </w:p>
    <w:p w14:paraId="523698F4" w14:textId="77777777" w:rsidR="00A3696B" w:rsidRPr="002A7763" w:rsidRDefault="00A3696B" w:rsidP="00A3696B">
      <w:pPr>
        <w:rPr>
          <w:b/>
          <w:sz w:val="28"/>
          <w:szCs w:val="28"/>
        </w:rPr>
      </w:pPr>
      <w:r w:rsidRPr="002A7763">
        <w:rPr>
          <w:b/>
          <w:sz w:val="28"/>
          <w:szCs w:val="28"/>
        </w:rPr>
        <w:lastRenderedPageBreak/>
        <w:t>References</w:t>
      </w:r>
    </w:p>
    <w:p w14:paraId="1396A987" w14:textId="77777777" w:rsidR="00A3696B" w:rsidRPr="005378F7" w:rsidRDefault="00A3696B" w:rsidP="00A3696B">
      <w:pPr>
        <w:shd w:val="clear" w:color="auto" w:fill="FFFFFF"/>
        <w:rPr>
          <w:rFonts w:ascii="Helvetica" w:eastAsia="Times New Roman" w:hAnsi="Helvetica" w:cs="Helvetica"/>
          <w:color w:val="333333"/>
          <w:sz w:val="20"/>
          <w:szCs w:val="20"/>
          <w:lang w:eastAsia="en-GB"/>
        </w:rPr>
      </w:pPr>
      <w:r>
        <w:rPr>
          <w:rFonts w:ascii="Calibri" w:hAnsi="Calibri" w:cs="Calibri"/>
        </w:rPr>
        <w:t xml:space="preserve">1 </w:t>
      </w:r>
      <w:r>
        <w:rPr>
          <w:rFonts w:ascii="Calibri" w:hAnsi="Calibri" w:cs="Calibri"/>
        </w:rPr>
        <w:tab/>
      </w:r>
      <w:r w:rsidRPr="005378F7">
        <w:rPr>
          <w:rFonts w:ascii="Helvetica" w:eastAsia="Times New Roman" w:hAnsi="Helvetica" w:cs="Helvetica"/>
          <w:color w:val="333333"/>
          <w:sz w:val="20"/>
          <w:lang w:eastAsia="en-GB"/>
        </w:rPr>
        <w:t>D</w:t>
      </w:r>
      <w:r>
        <w:rPr>
          <w:rFonts w:ascii="Helvetica" w:eastAsia="Times New Roman" w:hAnsi="Helvetica" w:cs="Helvetica"/>
          <w:color w:val="333333"/>
          <w:sz w:val="20"/>
          <w:lang w:eastAsia="en-GB"/>
        </w:rPr>
        <w:t>UNN</w:t>
      </w:r>
      <w:r w:rsidRPr="005378F7">
        <w:rPr>
          <w:rFonts w:ascii="Helvetica" w:eastAsia="Times New Roman" w:hAnsi="Helvetica" w:cs="Helvetica"/>
          <w:color w:val="333333"/>
          <w:sz w:val="20"/>
          <w:lang w:eastAsia="en-GB"/>
        </w:rPr>
        <w:t> PM</w:t>
      </w:r>
      <w:r>
        <w:rPr>
          <w:rFonts w:ascii="Helvetica" w:eastAsia="Times New Roman" w:hAnsi="Helvetica" w:cs="Helvetica"/>
          <w:color w:val="333333"/>
          <w:sz w:val="20"/>
          <w:lang w:eastAsia="en-GB"/>
        </w:rPr>
        <w:t xml:space="preserve">. </w:t>
      </w:r>
      <w:r w:rsidRPr="005378F7">
        <w:rPr>
          <w:rFonts w:ascii="Helvetica" w:eastAsia="Times New Roman" w:hAnsi="Helvetica" w:cs="Helvetica"/>
          <w:color w:val="333333"/>
          <w:sz w:val="20"/>
          <w:szCs w:val="20"/>
          <w:lang w:eastAsia="en-GB"/>
        </w:rPr>
        <w:t>James Lind (1716-94) of Edinburgh and the treatment of scurvy</w:t>
      </w:r>
      <w:r>
        <w:rPr>
          <w:rFonts w:ascii="Helvetica" w:eastAsia="Times New Roman" w:hAnsi="Helvetica" w:cs="Helvetica"/>
          <w:color w:val="333333"/>
          <w:sz w:val="20"/>
          <w:szCs w:val="20"/>
          <w:lang w:eastAsia="en-GB"/>
        </w:rPr>
        <w:t xml:space="preserve">. </w:t>
      </w:r>
      <w:r w:rsidRPr="005378F7">
        <w:rPr>
          <w:rFonts w:ascii="Helvetica" w:eastAsia="Times New Roman" w:hAnsi="Helvetica" w:cs="Helvetica"/>
          <w:i/>
          <w:iCs/>
          <w:color w:val="333333"/>
          <w:sz w:val="20"/>
          <w:lang w:eastAsia="en-GB"/>
        </w:rPr>
        <w:t xml:space="preserve">Archives of </w:t>
      </w:r>
      <w:r>
        <w:rPr>
          <w:rFonts w:ascii="Helvetica" w:eastAsia="Times New Roman" w:hAnsi="Helvetica" w:cs="Helvetica"/>
          <w:i/>
          <w:iCs/>
          <w:color w:val="333333"/>
          <w:sz w:val="20"/>
          <w:lang w:eastAsia="en-GB"/>
        </w:rPr>
        <w:tab/>
      </w:r>
      <w:r w:rsidRPr="005378F7">
        <w:rPr>
          <w:rFonts w:ascii="Helvetica" w:eastAsia="Times New Roman" w:hAnsi="Helvetica" w:cs="Helvetica"/>
          <w:i/>
          <w:iCs/>
          <w:color w:val="333333"/>
          <w:sz w:val="20"/>
          <w:lang w:eastAsia="en-GB"/>
        </w:rPr>
        <w:t xml:space="preserve">Disease in Childhood - </w:t>
      </w:r>
      <w:proofErr w:type="spellStart"/>
      <w:r w:rsidRPr="005378F7">
        <w:rPr>
          <w:rFonts w:ascii="Helvetica" w:eastAsia="Times New Roman" w:hAnsi="Helvetica" w:cs="Helvetica"/>
          <w:i/>
          <w:iCs/>
          <w:color w:val="333333"/>
          <w:sz w:val="20"/>
          <w:lang w:eastAsia="en-GB"/>
        </w:rPr>
        <w:t>Fetal</w:t>
      </w:r>
      <w:proofErr w:type="spellEnd"/>
      <w:r w:rsidRPr="005378F7">
        <w:rPr>
          <w:rFonts w:ascii="Helvetica" w:eastAsia="Times New Roman" w:hAnsi="Helvetica" w:cs="Helvetica"/>
          <w:i/>
          <w:iCs/>
          <w:color w:val="333333"/>
          <w:sz w:val="20"/>
          <w:lang w:eastAsia="en-GB"/>
        </w:rPr>
        <w:t xml:space="preserve"> and Neonatal Edition </w:t>
      </w:r>
      <w:r w:rsidRPr="005378F7">
        <w:rPr>
          <w:rFonts w:ascii="Helvetica" w:eastAsia="Times New Roman" w:hAnsi="Helvetica" w:cs="Helvetica"/>
          <w:color w:val="333333"/>
          <w:sz w:val="20"/>
          <w:lang w:eastAsia="en-GB"/>
        </w:rPr>
        <w:t>1997;</w:t>
      </w:r>
      <w:proofErr w:type="gramStart"/>
      <w:r w:rsidRPr="00D66565">
        <w:rPr>
          <w:rFonts w:ascii="Helvetica" w:eastAsia="Times New Roman" w:hAnsi="Helvetica" w:cs="Helvetica"/>
          <w:bCs/>
          <w:color w:val="333333"/>
          <w:sz w:val="20"/>
          <w:lang w:eastAsia="en-GB"/>
        </w:rPr>
        <w:t>76</w:t>
      </w:r>
      <w:r w:rsidRPr="005378F7">
        <w:rPr>
          <w:rFonts w:ascii="Helvetica" w:eastAsia="Times New Roman" w:hAnsi="Helvetica" w:cs="Helvetica"/>
          <w:b/>
          <w:bCs/>
          <w:color w:val="333333"/>
          <w:sz w:val="20"/>
          <w:lang w:eastAsia="en-GB"/>
        </w:rPr>
        <w:t>:</w:t>
      </w:r>
      <w:r w:rsidRPr="005378F7">
        <w:rPr>
          <w:rFonts w:ascii="Helvetica" w:eastAsia="Times New Roman" w:hAnsi="Helvetica" w:cs="Helvetica"/>
          <w:color w:val="333333"/>
          <w:sz w:val="20"/>
          <w:lang w:eastAsia="en-GB"/>
        </w:rPr>
        <w:t>F</w:t>
      </w:r>
      <w:proofErr w:type="gramEnd"/>
      <w:r w:rsidRPr="005378F7">
        <w:rPr>
          <w:rFonts w:ascii="Helvetica" w:eastAsia="Times New Roman" w:hAnsi="Helvetica" w:cs="Helvetica"/>
          <w:color w:val="333333"/>
          <w:sz w:val="20"/>
          <w:lang w:eastAsia="en-GB"/>
        </w:rPr>
        <w:t>64-F65.</w:t>
      </w:r>
    </w:p>
    <w:p w14:paraId="15F24E34" w14:textId="77777777" w:rsidR="00A3696B" w:rsidRDefault="00A3696B" w:rsidP="00A3696B">
      <w:pPr>
        <w:shd w:val="clear" w:color="auto" w:fill="FFFFFF"/>
        <w:rPr>
          <w:rFonts w:cstheme="minorHAnsi"/>
        </w:rPr>
      </w:pPr>
      <w:r>
        <w:rPr>
          <w:rFonts w:cstheme="minorHAnsi"/>
        </w:rPr>
        <w:t>2</w:t>
      </w:r>
      <w:r>
        <w:rPr>
          <w:rFonts w:cstheme="minorHAnsi"/>
        </w:rPr>
        <w:tab/>
        <w:t xml:space="preserve">MARSHALL G et al. BMJ, 1948 Oct 30; 4582. </w:t>
      </w:r>
      <w:r w:rsidRPr="00237A24">
        <w:rPr>
          <w:rFonts w:cstheme="minorHAnsi"/>
        </w:rPr>
        <w:t>https://www.bmj.com/content/2/4582/769</w:t>
      </w:r>
    </w:p>
    <w:p w14:paraId="0BAED02D" w14:textId="77777777" w:rsidR="00A3696B" w:rsidRDefault="00A3696B" w:rsidP="00A3696B">
      <w:r>
        <w:t>3</w:t>
      </w:r>
    </w:p>
    <w:p w14:paraId="4C74F310" w14:textId="77777777" w:rsidR="00A3696B" w:rsidRDefault="00A3696B" w:rsidP="00A3696B">
      <w:r>
        <w:t>4</w:t>
      </w:r>
    </w:p>
    <w:p w14:paraId="3D9D86CD" w14:textId="77777777" w:rsidR="00A3696B" w:rsidRPr="00D66565" w:rsidRDefault="00A3696B" w:rsidP="00A3696B">
      <w:pPr>
        <w:shd w:val="clear" w:color="auto" w:fill="FFFFFF"/>
        <w:rPr>
          <w:rFonts w:eastAsia="Times New Roman" w:cstheme="minorHAnsi"/>
          <w:bCs/>
          <w:color w:val="4D4D4D"/>
          <w:spacing w:val="4"/>
          <w:lang w:eastAsia="en-GB"/>
        </w:rPr>
      </w:pPr>
      <w:r w:rsidRPr="00D66565">
        <w:rPr>
          <w:rFonts w:cstheme="minorHAnsi"/>
        </w:rPr>
        <w:t>5</w:t>
      </w:r>
      <w:r w:rsidRPr="00D66565">
        <w:rPr>
          <w:rFonts w:cstheme="minorHAnsi"/>
        </w:rPr>
        <w:tab/>
        <w:t xml:space="preserve">POLACK FP et al. </w:t>
      </w:r>
      <w:r w:rsidRPr="00D66565">
        <w:rPr>
          <w:rFonts w:cstheme="minorHAnsi"/>
          <w:color w:val="1A1A1A"/>
          <w:spacing w:val="4"/>
        </w:rPr>
        <w:t xml:space="preserve">Safety and Efficacy of the BNT162b2 mRNA Covid-19 Vaccine. </w:t>
      </w:r>
      <w:r w:rsidRPr="00D66565">
        <w:rPr>
          <w:rFonts w:eastAsia="Times New Roman" w:cstheme="minorHAnsi"/>
          <w:bCs/>
          <w:color w:val="4D4D4D"/>
          <w:spacing w:val="4"/>
          <w:lang w:eastAsia="en-GB"/>
        </w:rPr>
        <w:t xml:space="preserve">N Engl J </w:t>
      </w:r>
      <w:r>
        <w:rPr>
          <w:rFonts w:eastAsia="Times New Roman" w:cstheme="minorHAnsi"/>
          <w:bCs/>
          <w:color w:val="4D4D4D"/>
          <w:spacing w:val="4"/>
          <w:lang w:eastAsia="en-GB"/>
        </w:rPr>
        <w:tab/>
      </w:r>
      <w:r w:rsidRPr="00D66565">
        <w:rPr>
          <w:rFonts w:eastAsia="Times New Roman" w:cstheme="minorHAnsi"/>
          <w:bCs/>
          <w:color w:val="4D4D4D"/>
          <w:spacing w:val="4"/>
          <w:lang w:eastAsia="en-GB"/>
        </w:rPr>
        <w:t>Med </w:t>
      </w:r>
      <w:proofErr w:type="gramStart"/>
      <w:r w:rsidRPr="00D66565">
        <w:rPr>
          <w:rFonts w:eastAsia="Times New Roman" w:cstheme="minorHAnsi"/>
          <w:bCs/>
          <w:color w:val="4D4D4D"/>
          <w:spacing w:val="4"/>
          <w:lang w:eastAsia="en-GB"/>
        </w:rPr>
        <w:t>2020;383:2603</w:t>
      </w:r>
      <w:proofErr w:type="gramEnd"/>
      <w:r w:rsidRPr="00D66565">
        <w:rPr>
          <w:rFonts w:eastAsia="Times New Roman" w:cstheme="minorHAnsi"/>
          <w:bCs/>
          <w:color w:val="4D4D4D"/>
          <w:spacing w:val="4"/>
          <w:lang w:eastAsia="en-GB"/>
        </w:rPr>
        <w:t>-2615</w:t>
      </w:r>
      <w:r>
        <w:rPr>
          <w:rFonts w:eastAsia="Times New Roman" w:cstheme="minorHAnsi"/>
          <w:bCs/>
          <w:color w:val="4D4D4D"/>
          <w:spacing w:val="4"/>
          <w:lang w:eastAsia="en-GB"/>
        </w:rPr>
        <w:t xml:space="preserve">. </w:t>
      </w:r>
      <w:proofErr w:type="spellStart"/>
      <w:r>
        <w:rPr>
          <w:rFonts w:eastAsia="Times New Roman" w:cstheme="minorHAnsi"/>
          <w:bCs/>
          <w:color w:val="4D4D4D"/>
          <w:spacing w:val="4"/>
          <w:lang w:eastAsia="en-GB"/>
        </w:rPr>
        <w:t>doi</w:t>
      </w:r>
      <w:proofErr w:type="spellEnd"/>
      <w:r w:rsidRPr="00D66565">
        <w:rPr>
          <w:rFonts w:eastAsia="Times New Roman" w:cstheme="minorHAnsi"/>
          <w:bCs/>
          <w:color w:val="4D4D4D"/>
          <w:spacing w:val="4"/>
          <w:lang w:eastAsia="en-GB"/>
        </w:rPr>
        <w:t>: 10.1056/NEJMoa2034577</w:t>
      </w:r>
    </w:p>
    <w:p w14:paraId="5F494614" w14:textId="77777777" w:rsidR="00A3696B" w:rsidRDefault="00A3696B" w:rsidP="00A3696B">
      <w:pPr>
        <w:pStyle w:val="NoSpacing"/>
        <w:rPr>
          <w:bCs/>
        </w:rPr>
      </w:pPr>
      <w:r w:rsidRPr="004A4452">
        <w:t>6</w:t>
      </w:r>
      <w:r w:rsidRPr="004A4452">
        <w:tab/>
        <w:t xml:space="preserve">VOYSEY M et al. Safety and efficacy of the ChAdOx1 nCoV-19 vaccine (AZD1222) against </w:t>
      </w:r>
      <w:r>
        <w:rPr>
          <w:bCs/>
        </w:rPr>
        <w:tab/>
      </w:r>
      <w:r w:rsidRPr="004A4452">
        <w:t xml:space="preserve">SARS-CoV-2: an interim analysis of four randomised controlled trials in Brazil, South Africa, </w:t>
      </w:r>
      <w:r>
        <w:rPr>
          <w:bCs/>
        </w:rPr>
        <w:tab/>
      </w:r>
      <w:r w:rsidRPr="004A4452">
        <w:t>and the UK</w:t>
      </w:r>
      <w:r>
        <w:rPr>
          <w:bCs/>
        </w:rPr>
        <w:t xml:space="preserve">. Lancet </w:t>
      </w:r>
      <w:proofErr w:type="gramStart"/>
      <w:r>
        <w:rPr>
          <w:bCs/>
        </w:rPr>
        <w:t>2021;397:99</w:t>
      </w:r>
      <w:proofErr w:type="gramEnd"/>
      <w:r>
        <w:rPr>
          <w:bCs/>
        </w:rPr>
        <w:t xml:space="preserve">-111. </w:t>
      </w:r>
    </w:p>
    <w:p w14:paraId="191264C7" w14:textId="77777777" w:rsidR="00A3696B" w:rsidRDefault="00A3696B" w:rsidP="00A3696B">
      <w:pPr>
        <w:pStyle w:val="NoSpacing"/>
      </w:pPr>
      <w:r>
        <w:rPr>
          <w:bCs/>
        </w:rPr>
        <w:tab/>
      </w:r>
      <w:r w:rsidRPr="004A4452">
        <w:t>https://www.thelancet.com/article/S0140-6736(20)32661-1/fulltext</w:t>
      </w:r>
    </w:p>
    <w:p w14:paraId="71B0F544" w14:textId="77777777" w:rsidR="00A3696B" w:rsidRPr="004A4452" w:rsidRDefault="00A3696B" w:rsidP="00A3696B">
      <w:pPr>
        <w:pStyle w:val="NoSpacing"/>
      </w:pPr>
    </w:p>
    <w:p w14:paraId="2CBE1CC7" w14:textId="77777777" w:rsidR="00A3696B" w:rsidRPr="00121B72" w:rsidRDefault="00A3696B" w:rsidP="00A3696B">
      <w:pPr>
        <w:rPr>
          <w:rFonts w:cstheme="minorHAnsi"/>
        </w:rPr>
      </w:pPr>
      <w:r>
        <w:t>7</w:t>
      </w:r>
      <w:r>
        <w:tab/>
        <w:t xml:space="preserve">MORDUE A, EVANS EA, ROYLE JT, CRAIG C. Medical ethics and informed consent to </w:t>
      </w:r>
      <w:r>
        <w:tab/>
        <w:t xml:space="preserve">treatment: past, present and future. </w:t>
      </w:r>
      <w:proofErr w:type="spellStart"/>
      <w:r>
        <w:t>Cureus</w:t>
      </w:r>
      <w:proofErr w:type="spellEnd"/>
      <w:r>
        <w:t xml:space="preserve"> 2024;16(12</w:t>
      </w:r>
      <w:proofErr w:type="gramStart"/>
      <w:r>
        <w:t>):e</w:t>
      </w:r>
      <w:proofErr w:type="gramEnd"/>
      <w:r>
        <w:t xml:space="preserve">75377. doi:10.7759/cureus.75377 </w:t>
      </w:r>
    </w:p>
    <w:p w14:paraId="59502584" w14:textId="77777777" w:rsidR="009B67A3" w:rsidRDefault="009B67A3"/>
    <w:sectPr w:rsidR="009B67A3" w:rsidSect="00A369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968"/>
    <w:multiLevelType w:val="multilevel"/>
    <w:tmpl w:val="D49A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303A3"/>
    <w:multiLevelType w:val="multilevel"/>
    <w:tmpl w:val="4CE6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048DC"/>
    <w:multiLevelType w:val="multilevel"/>
    <w:tmpl w:val="B676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062A2"/>
    <w:multiLevelType w:val="multilevel"/>
    <w:tmpl w:val="578624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5A5854"/>
    <w:multiLevelType w:val="multilevel"/>
    <w:tmpl w:val="BB12397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9BB12AB"/>
    <w:multiLevelType w:val="multilevel"/>
    <w:tmpl w:val="9F4C9CB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A0F028F"/>
    <w:multiLevelType w:val="multilevel"/>
    <w:tmpl w:val="B8EA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95408"/>
    <w:multiLevelType w:val="multilevel"/>
    <w:tmpl w:val="0378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99192F"/>
    <w:multiLevelType w:val="hybridMultilevel"/>
    <w:tmpl w:val="CF8481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4D829FB"/>
    <w:multiLevelType w:val="multilevel"/>
    <w:tmpl w:val="6E30CA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A7A5178"/>
    <w:multiLevelType w:val="multilevel"/>
    <w:tmpl w:val="6254BD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8F2382"/>
    <w:multiLevelType w:val="multilevel"/>
    <w:tmpl w:val="D5A4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70B2F"/>
    <w:multiLevelType w:val="multilevel"/>
    <w:tmpl w:val="8FF6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A4781"/>
    <w:multiLevelType w:val="multilevel"/>
    <w:tmpl w:val="B602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C4833"/>
    <w:multiLevelType w:val="multilevel"/>
    <w:tmpl w:val="3924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193228">
    <w:abstractNumId w:val="8"/>
  </w:num>
  <w:num w:numId="2" w16cid:durableId="420108481">
    <w:abstractNumId w:val="11"/>
  </w:num>
  <w:num w:numId="3" w16cid:durableId="1779446222">
    <w:abstractNumId w:val="7"/>
  </w:num>
  <w:num w:numId="4" w16cid:durableId="76557621">
    <w:abstractNumId w:val="1"/>
  </w:num>
  <w:num w:numId="5" w16cid:durableId="1565336920">
    <w:abstractNumId w:val="13"/>
  </w:num>
  <w:num w:numId="6" w16cid:durableId="336928961">
    <w:abstractNumId w:val="3"/>
  </w:num>
  <w:num w:numId="7" w16cid:durableId="1395199638">
    <w:abstractNumId w:val="10"/>
  </w:num>
  <w:num w:numId="8" w16cid:durableId="2058892143">
    <w:abstractNumId w:val="9"/>
  </w:num>
  <w:num w:numId="9" w16cid:durableId="198973590">
    <w:abstractNumId w:val="12"/>
  </w:num>
  <w:num w:numId="10" w16cid:durableId="1200702617">
    <w:abstractNumId w:val="5"/>
  </w:num>
  <w:num w:numId="11" w16cid:durableId="227498600">
    <w:abstractNumId w:val="4"/>
  </w:num>
  <w:num w:numId="12" w16cid:durableId="460654866">
    <w:abstractNumId w:val="14"/>
  </w:num>
  <w:num w:numId="13" w16cid:durableId="1166822774">
    <w:abstractNumId w:val="6"/>
  </w:num>
  <w:num w:numId="14" w16cid:durableId="853878882">
    <w:abstractNumId w:val="2"/>
  </w:num>
  <w:num w:numId="15" w16cid:durableId="2022389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96B"/>
    <w:rsid w:val="000C0589"/>
    <w:rsid w:val="000E3160"/>
    <w:rsid w:val="00122E36"/>
    <w:rsid w:val="00227FDE"/>
    <w:rsid w:val="0026539C"/>
    <w:rsid w:val="0035186D"/>
    <w:rsid w:val="00351B34"/>
    <w:rsid w:val="003E1EFC"/>
    <w:rsid w:val="00405221"/>
    <w:rsid w:val="00413827"/>
    <w:rsid w:val="004166C2"/>
    <w:rsid w:val="00424F3E"/>
    <w:rsid w:val="004306DE"/>
    <w:rsid w:val="00787ECD"/>
    <w:rsid w:val="00870759"/>
    <w:rsid w:val="00873CBC"/>
    <w:rsid w:val="00914851"/>
    <w:rsid w:val="009B67A3"/>
    <w:rsid w:val="009F160D"/>
    <w:rsid w:val="00A3696B"/>
    <w:rsid w:val="00A5590F"/>
    <w:rsid w:val="00AB1FA0"/>
    <w:rsid w:val="00B87A5D"/>
    <w:rsid w:val="00BF1D85"/>
    <w:rsid w:val="00BF2EB4"/>
    <w:rsid w:val="00C72F57"/>
    <w:rsid w:val="00D15C10"/>
    <w:rsid w:val="00D33717"/>
    <w:rsid w:val="00D81CCF"/>
    <w:rsid w:val="00DE4BF0"/>
    <w:rsid w:val="00F15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ACB8F"/>
  <w15:chartTrackingRefBased/>
  <w15:docId w15:val="{F6122901-3C09-4CAE-B7B0-82249A5E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96B"/>
    <w:pPr>
      <w:spacing w:after="200" w:line="276" w:lineRule="auto"/>
    </w:pPr>
    <w:rPr>
      <w:kern w:val="0"/>
      <w:sz w:val="22"/>
      <w:szCs w:val="22"/>
      <w:lang w:val="en-GB"/>
      <w14:ligatures w14:val="none"/>
    </w:rPr>
  </w:style>
  <w:style w:type="paragraph" w:styleId="Heading1">
    <w:name w:val="heading 1"/>
    <w:basedOn w:val="Normal"/>
    <w:next w:val="Normal"/>
    <w:link w:val="Heading1Char"/>
    <w:uiPriority w:val="9"/>
    <w:qFormat/>
    <w:rsid w:val="00A36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6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6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96B"/>
    <w:rPr>
      <w:rFonts w:eastAsiaTheme="majorEastAsia" w:cstheme="majorBidi"/>
      <w:color w:val="272727" w:themeColor="text1" w:themeTint="D8"/>
    </w:rPr>
  </w:style>
  <w:style w:type="paragraph" w:styleId="Title">
    <w:name w:val="Title"/>
    <w:basedOn w:val="Normal"/>
    <w:next w:val="Normal"/>
    <w:link w:val="TitleChar"/>
    <w:uiPriority w:val="10"/>
    <w:qFormat/>
    <w:rsid w:val="00A36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96B"/>
    <w:pPr>
      <w:spacing w:before="160"/>
      <w:jc w:val="center"/>
    </w:pPr>
    <w:rPr>
      <w:i/>
      <w:iCs/>
      <w:color w:val="404040" w:themeColor="text1" w:themeTint="BF"/>
    </w:rPr>
  </w:style>
  <w:style w:type="character" w:customStyle="1" w:styleId="QuoteChar">
    <w:name w:val="Quote Char"/>
    <w:basedOn w:val="DefaultParagraphFont"/>
    <w:link w:val="Quote"/>
    <w:uiPriority w:val="29"/>
    <w:rsid w:val="00A3696B"/>
    <w:rPr>
      <w:i/>
      <w:iCs/>
      <w:color w:val="404040" w:themeColor="text1" w:themeTint="BF"/>
    </w:rPr>
  </w:style>
  <w:style w:type="paragraph" w:styleId="ListParagraph">
    <w:name w:val="List Paragraph"/>
    <w:basedOn w:val="Normal"/>
    <w:uiPriority w:val="34"/>
    <w:qFormat/>
    <w:rsid w:val="00A3696B"/>
    <w:pPr>
      <w:ind w:left="720"/>
      <w:contextualSpacing/>
    </w:pPr>
  </w:style>
  <w:style w:type="character" w:styleId="IntenseEmphasis">
    <w:name w:val="Intense Emphasis"/>
    <w:basedOn w:val="DefaultParagraphFont"/>
    <w:uiPriority w:val="21"/>
    <w:qFormat/>
    <w:rsid w:val="00A3696B"/>
    <w:rPr>
      <w:i/>
      <w:iCs/>
      <w:color w:val="0F4761" w:themeColor="accent1" w:themeShade="BF"/>
    </w:rPr>
  </w:style>
  <w:style w:type="paragraph" w:styleId="IntenseQuote">
    <w:name w:val="Intense Quote"/>
    <w:basedOn w:val="Normal"/>
    <w:next w:val="Normal"/>
    <w:link w:val="IntenseQuoteChar"/>
    <w:uiPriority w:val="30"/>
    <w:qFormat/>
    <w:rsid w:val="00A36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96B"/>
    <w:rPr>
      <w:i/>
      <w:iCs/>
      <w:color w:val="0F4761" w:themeColor="accent1" w:themeShade="BF"/>
    </w:rPr>
  </w:style>
  <w:style w:type="character" w:styleId="IntenseReference">
    <w:name w:val="Intense Reference"/>
    <w:basedOn w:val="DefaultParagraphFont"/>
    <w:uiPriority w:val="32"/>
    <w:qFormat/>
    <w:rsid w:val="00A3696B"/>
    <w:rPr>
      <w:b/>
      <w:bCs/>
      <w:smallCaps/>
      <w:color w:val="0F4761" w:themeColor="accent1" w:themeShade="BF"/>
      <w:spacing w:val="5"/>
    </w:rPr>
  </w:style>
  <w:style w:type="character" w:styleId="Hyperlink">
    <w:name w:val="Hyperlink"/>
    <w:basedOn w:val="DefaultParagraphFont"/>
    <w:uiPriority w:val="99"/>
    <w:semiHidden/>
    <w:unhideWhenUsed/>
    <w:rsid w:val="00A3696B"/>
    <w:rPr>
      <w:color w:val="0000FF"/>
      <w:u w:val="single"/>
    </w:rPr>
  </w:style>
  <w:style w:type="paragraph" w:styleId="NoSpacing">
    <w:name w:val="No Spacing"/>
    <w:uiPriority w:val="1"/>
    <w:qFormat/>
    <w:rsid w:val="00A3696B"/>
    <w:pPr>
      <w:spacing w:after="0" w:line="240" w:lineRule="auto"/>
    </w:pPr>
    <w:rPr>
      <w:kern w:val="0"/>
      <w:sz w:val="22"/>
      <w:szCs w:val="22"/>
      <w:lang w:val="en-GB"/>
      <w14:ligatures w14:val="none"/>
    </w:rPr>
  </w:style>
  <w:style w:type="character" w:styleId="PlaceholderText">
    <w:name w:val="Placeholder Text"/>
    <w:basedOn w:val="DefaultParagraphFont"/>
    <w:uiPriority w:val="99"/>
    <w:semiHidden/>
    <w:rsid w:val="00424F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kirsch/KC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2416</Words>
  <Characters>13777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Kirsch</dc:creator>
  <cp:keywords/>
  <dc:description/>
  <cp:lastModifiedBy>Steve Kirsch</cp:lastModifiedBy>
  <cp:revision>2</cp:revision>
  <dcterms:created xsi:type="dcterms:W3CDTF">2025-11-06T23:51:00Z</dcterms:created>
  <dcterms:modified xsi:type="dcterms:W3CDTF">2025-11-06T23:51:00Z</dcterms:modified>
</cp:coreProperties>
</file>